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Первый заместитель директора-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ab/>
        <w:t>главный инженер филиала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ПАО «РусГидро» - «Загорская ГАЭС»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 В.А. Крымов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«____»____________ 20___ г.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  <w:bookmarkEnd w:id="3"/>
      <w:bookmarkEnd w:id="4"/>
      <w:bookmarkEnd w:id="5"/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</w:r>
      <w:bookmarkStart w:id="6" w:name="_Toc137554584_Копия_1"/>
      <w:bookmarkStart w:id="7" w:name="_Toc141696704_Копия_1"/>
      <w:bookmarkStart w:id="8" w:name="_Toc139856287_Копия_1"/>
      <w:bookmarkStart w:id="9" w:name="_Toc137554584_Копия_1"/>
      <w:bookmarkStart w:id="10" w:name="_Toc141696704_Копия_1"/>
      <w:bookmarkStart w:id="11" w:name="_Toc139856287_Копия_1"/>
      <w:bookmarkEnd w:id="9"/>
      <w:bookmarkEnd w:id="10"/>
      <w:bookmarkEnd w:id="11"/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«ОКПД2 71.12.11.910 Виброаккустическое обследование  трансформаторов </w:t>
      </w:r>
      <w:r>
        <w:rPr>
          <w:sz w:val="26"/>
          <w:szCs w:val="26"/>
        </w:rPr>
        <w:t xml:space="preserve">силовых </w:t>
      </w:r>
      <w:r>
        <w:rPr>
          <w:sz w:val="26"/>
          <w:szCs w:val="26"/>
        </w:rPr>
        <w:t>Т-1-6 Загорской ГАЭС»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6"/>
              <w:vanish w:val="false"/>
              <w:rFonts w:eastAsia="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  <w:rFonts w:eastAsia=""/>
            </w:rPr>
            <w:fldChar w:fldCharType="separate"/>
          </w:r>
          <w:hyperlink w:anchor="_Toc138838658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8838659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8838660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8838661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8838662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8838663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8838664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Требования к объемам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8838665">
            <w:r>
              <w:rPr>
                <w:webHidden/>
                <w:rStyle w:val="Style16"/>
                <w:rFonts w:eastAsia="" w:eastAsiaTheme="majorEastAsia"/>
                <w:vanish w:val="false"/>
              </w:rPr>
              <w:t>Таблица 1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8838666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8838667">
            <w:r>
              <w:rPr>
                <w:webHidden/>
                <w:rStyle w:val="Style16"/>
                <w:rFonts w:eastAsia="" w:eastAsiaTheme="majorEastAsia"/>
                <w:vanish w:val="false"/>
              </w:rPr>
              <w:t>Таблица 2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38838668">
            <w:r>
              <w:rPr>
                <w:webHidden/>
                <w:rStyle w:val="Style16"/>
                <w:rFonts w:eastAsia="" w:eastAsiaTheme="majorEastAsia"/>
                <w:vanish w:val="false"/>
              </w:rPr>
              <w:t>Таблица 3.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/>
          </w:pPr>
          <w:hyperlink w:anchor="_Toc138838670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Требования к документации по ценообразованию на стадии заключения договора.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/>
          </w:pPr>
          <w:r>
            <w:rPr/>
            <w:t>4</w:t>
          </w:r>
          <w:hyperlink w:anchor="_Toc138838670">
            <w:r>
              <w:rPr>
                <w:webHidden/>
                <w:rStyle w:val="Style16"/>
                <w:rFonts w:eastAsia="" w:eastAsiaTheme="majorEastAsia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  <w:rFonts w:eastAsia="" w:eastAsiaTheme="majorEastAsia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_Toc138838670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6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7" w:leader="none"/>
          <w:tab w:val="right" w:pos="9911" w:leader="dot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Heading1"/>
        <w:keepLines w:val="false"/>
        <w:numPr>
          <w:ilvl w:val="0"/>
          <w:numId w:val="22"/>
        </w:numPr>
        <w:spacing w:before="120" w:after="6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12" w:name="_Toc138838658"/>
      <w:bookmarkStart w:id="13" w:name="_Toc53146957"/>
      <w:bookmarkEnd w:id="13"/>
      <w:r>
        <w:rPr>
          <w:rFonts w:cs="Times New Roman" w:ascii="Times New Roman" w:hAnsi="Times New Roman"/>
          <w:b/>
          <w:color w:val="auto"/>
          <w:sz w:val="24"/>
          <w:szCs w:val="24"/>
        </w:rPr>
        <w:t>Общие сведения</w:t>
      </w:r>
      <w:bookmarkEnd w:id="12"/>
    </w:p>
    <w:p>
      <w:pPr>
        <w:pStyle w:val="Heading4"/>
        <w:keepLines w:val="false"/>
        <w:numPr>
          <w:ilvl w:val="1"/>
          <w:numId w:val="23"/>
        </w:numPr>
        <w:spacing w:before="120" w:after="60"/>
        <w:rPr>
          <w:rFonts w:ascii="Times New Roman" w:hAnsi="Times New Roman" w:cs="Times New Roman"/>
          <w:b/>
          <w:i w:val="false"/>
          <w:i w:val="false"/>
          <w:color w:val="auto"/>
        </w:rPr>
      </w:pPr>
      <w:bookmarkStart w:id="14" w:name="_Toc138838659"/>
      <w:bookmarkStart w:id="15" w:name="_Toc46743505"/>
      <w:r>
        <w:rPr>
          <w:rFonts w:cs="Times New Roman" w:ascii="Times New Roman" w:hAnsi="Times New Roman"/>
          <w:b/>
          <w:i w:val="false"/>
          <w:color w:val="auto"/>
        </w:rPr>
        <w:t>Обозначения и сокращения</w:t>
      </w:r>
      <w:bookmarkEnd w:id="14"/>
      <w:bookmarkEnd w:id="15"/>
    </w:p>
    <w:p>
      <w:pPr>
        <w:pStyle w:val="Normal"/>
        <w:rPr>
          <w:rStyle w:val="Style13"/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/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/>
              <w:t>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 xml:space="preserve">техническое задание;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/>
              <w:t>СН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 xml:space="preserve">собственные нужды;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/>
              <w:t>ПТЭ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 xml:space="preserve">правила технической эксплуатации;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/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 xml:space="preserve">открытое распределительное устройство  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/>
              <w:t>КРУЭ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комплектное распределительное устройство элегазовое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/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электрическая подстанция;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/>
              <w:t>ЭБ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электробезопасность</w:t>
            </w:r>
          </w:p>
        </w:tc>
      </w:tr>
    </w:tbl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keepNext w:val="true"/>
        <w:keepLines/>
        <w:jc w:val="both"/>
        <w:rPr/>
      </w:pPr>
      <w:r>
        <w:rPr/>
      </w:r>
      <w:bookmarkStart w:id="16" w:name="_Toc53146957_Копия_1"/>
      <w:bookmarkStart w:id="17" w:name="_Toc53146957_Копия_1"/>
      <w:bookmarkEnd w:id="17"/>
    </w:p>
    <w:p>
      <w:pPr>
        <w:pStyle w:val="Normal"/>
        <w:spacing w:lineRule="auto" w:line="259" w:before="0" w:after="160"/>
        <w:rPr>
          <w:b/>
          <w:bCs/>
          <w:szCs w:val="28"/>
        </w:rPr>
      </w:pPr>
      <w:r>
        <w:rPr>
          <w:b/>
          <w:bCs/>
          <w:szCs w:val="28"/>
        </w:rPr>
      </w:r>
      <w:r>
        <w:br w:type="page"/>
      </w:r>
    </w:p>
    <w:p>
      <w:pPr>
        <w:pStyle w:val="Heading4"/>
        <w:keepLines w:val="false"/>
        <w:numPr>
          <w:ilvl w:val="1"/>
          <w:numId w:val="24"/>
        </w:numPr>
        <w:spacing w:before="120" w:after="60"/>
        <w:rPr>
          <w:rFonts w:ascii="Times New Roman" w:hAnsi="Times New Roman" w:cs="Times New Roman"/>
          <w:b/>
          <w:i w:val="false"/>
          <w:i w:val="false"/>
          <w:color w:val="auto"/>
        </w:rPr>
      </w:pPr>
      <w:r>
        <w:rPr>
          <w:rFonts w:cs="Times New Roman" w:ascii="Times New Roman" w:hAnsi="Times New Roman"/>
          <w:b/>
          <w:i w:val="false"/>
          <w:color w:val="auto"/>
        </w:rPr>
        <w:t>Наименование закупаемой продукции</w:t>
      </w:r>
    </w:p>
    <w:p>
      <w:pPr>
        <w:pStyle w:val="Normal"/>
        <w:ind w:firstLine="709"/>
        <w:jc w:val="both"/>
        <w:rPr/>
      </w:pPr>
      <w:r>
        <w:rPr/>
        <w:t>ОКПД2 71.12.11.910 Виброаккустическое обследование блочных трансформаторов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Heading4"/>
        <w:keepLines w:val="false"/>
        <w:numPr>
          <w:ilvl w:val="1"/>
          <w:numId w:val="25"/>
        </w:numPr>
        <w:spacing w:before="120" w:after="60"/>
        <w:rPr>
          <w:rFonts w:ascii="Times New Roman" w:hAnsi="Times New Roman" w:cs="Times New Roman"/>
          <w:b/>
          <w:i w:val="false"/>
          <w:i w:val="false"/>
          <w:color w:val="auto"/>
        </w:rPr>
      </w:pPr>
      <w:r>
        <w:rPr>
          <w:rFonts w:cs="Times New Roman" w:ascii="Times New Roman" w:hAnsi="Times New Roman"/>
          <w:b/>
          <w:i w:val="false"/>
          <w:color w:val="auto"/>
        </w:rPr>
        <w:t>Цель использования закупаемой продукции</w:t>
      </w:r>
    </w:p>
    <w:p>
      <w:pPr>
        <w:pStyle w:val="Heading4"/>
        <w:numPr>
          <w:ilvl w:val="2"/>
          <w:numId w:val="26"/>
        </w:numPr>
        <w:spacing w:before="120" w:after="60"/>
        <w:ind w:left="0" w:firstLine="720"/>
        <w:jc w:val="both"/>
        <w:rPr>
          <w:rFonts w:ascii="Times New Roman" w:hAnsi="Times New Roman" w:eastAsia="Times New Roman" w:cs="Times New Roman"/>
          <w:bCs/>
          <w:i w:val="false"/>
          <w:i w:val="false"/>
          <w:iCs w:val="false"/>
          <w:color w:val="auto"/>
        </w:rPr>
      </w:pPr>
      <w:r>
        <w:rPr>
          <w:rFonts w:eastAsia="Times New Roman" w:cs="Times New Roman" w:ascii="Times New Roman" w:hAnsi="Times New Roman"/>
          <w:bCs/>
          <w:i w:val="false"/>
          <w:iCs w:val="false"/>
          <w:color w:val="auto"/>
        </w:rPr>
        <w:t>Основная цель: Определить техническое состояние блочных трансформаторов, определить возможные места развития дефектов.</w:t>
      </w:r>
    </w:p>
    <w:p>
      <w:pPr>
        <w:pStyle w:val="Heading4"/>
        <w:numPr>
          <w:ilvl w:val="2"/>
          <w:numId w:val="27"/>
        </w:numPr>
        <w:spacing w:before="120" w:after="60"/>
        <w:ind w:left="0" w:firstLine="720"/>
        <w:jc w:val="both"/>
        <w:rPr>
          <w:rFonts w:ascii="Times New Roman" w:hAnsi="Times New Roman" w:eastAsia="Times New Roman" w:cs="Times New Roman"/>
          <w:bCs/>
          <w:i w:val="false"/>
          <w:i w:val="false"/>
          <w:iCs w:val="false"/>
          <w:color w:val="auto"/>
        </w:rPr>
      </w:pPr>
      <w:r>
        <w:rPr>
          <w:rFonts w:eastAsia="Times New Roman" w:cs="Times New Roman" w:ascii="Times New Roman" w:hAnsi="Times New Roman"/>
          <w:bCs/>
          <w:i w:val="false"/>
          <w:iCs w:val="false"/>
          <w:color w:val="auto"/>
        </w:rPr>
        <w:t>Задача: Оценить техническое состояние, выявить отклонения от нормативных документов в работе электрооборудования; Определить степень развития и опасность возможных дефектов состояния электрооборудования на ранних стадиях.</w:t>
      </w:r>
    </w:p>
    <w:p>
      <w:pPr>
        <w:pStyle w:val="Heading4"/>
        <w:keepLines w:val="false"/>
        <w:numPr>
          <w:ilvl w:val="1"/>
          <w:numId w:val="28"/>
        </w:numPr>
        <w:spacing w:before="120" w:after="60"/>
        <w:rPr>
          <w:rFonts w:ascii="Times New Roman" w:hAnsi="Times New Roman" w:cs="Times New Roman"/>
          <w:b/>
          <w:i w:val="false"/>
          <w:i w:val="false"/>
          <w:color w:val="auto"/>
        </w:rPr>
      </w:pPr>
      <w:r>
        <w:rPr>
          <w:rFonts w:cs="Times New Roman" w:ascii="Times New Roman" w:hAnsi="Times New Roman"/>
          <w:b/>
          <w:i w:val="false"/>
          <w:color w:val="auto"/>
        </w:rPr>
        <w:t>Существующее положение</w:t>
      </w:r>
    </w:p>
    <w:p>
      <w:pPr>
        <w:pStyle w:val="Heading4"/>
        <w:spacing w:before="120" w:after="60"/>
        <w:ind w:firstLine="432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</w:rPr>
        <w:t xml:space="preserve">На Загорской ГАЭС в главной схеме используются 6 блочных трехфазных двухобмоточных трансформаторов типа ТЦ-250000/500; 500/15,75 кВ. </w:t>
      </w:r>
    </w:p>
    <w:p>
      <w:pPr>
        <w:pStyle w:val="Heading4"/>
        <w:spacing w:before="120" w:after="60"/>
        <w:ind w:firstLine="432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</w:rPr>
        <w:t>Годы ввода в эксплуатацию: Т-1 – 1989, Т-2 – 1985, Т-3 – 2011, Т-4 – 1990, Т-5 – 1994, Т-6 – 1995. Завод-изготовитель: Запорожский трансформаторный завод.</w:t>
      </w:r>
    </w:p>
    <w:p>
      <w:pPr>
        <w:pStyle w:val="Heading4"/>
        <w:keepLines w:val="false"/>
        <w:numPr>
          <w:ilvl w:val="0"/>
          <w:numId w:val="0"/>
        </w:numPr>
        <w:spacing w:before="120" w:after="60"/>
        <w:ind w:left="0" w:firstLine="432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</w:rPr>
        <w:t>Оборудование распределительного устройства 500 кВ (РУ-500кВ) располагается на открытом воздухе на отм. 11,85 со стороны напорных трубопроводов.</w:t>
      </w:r>
    </w:p>
    <w:p>
      <w:pPr>
        <w:pStyle w:val="Heading4"/>
        <w:keepLines w:val="false"/>
        <w:numPr>
          <w:ilvl w:val="0"/>
          <w:numId w:val="0"/>
        </w:numPr>
        <w:spacing w:before="120" w:after="60"/>
        <w:ind w:left="432" w:hanging="432"/>
        <w:rPr>
          <w:rFonts w:ascii="Times New Roman" w:hAnsi="Times New Roman" w:cs="Times New Roman"/>
          <w:b/>
          <w:i w:val="false"/>
          <w:i w:val="false"/>
          <w:color w:val="auto"/>
        </w:rPr>
      </w:pPr>
      <w:r>
        <w:rPr>
          <w:rFonts w:cs="Times New Roman" w:ascii="Times New Roman" w:hAnsi="Times New Roman"/>
          <w:b/>
          <w:i w:val="false"/>
          <w:color w:val="auto"/>
        </w:rPr>
        <w:t>Таблица 1 Перечень объектов заказчика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92"/>
        <w:gridCol w:w="2790"/>
        <w:gridCol w:w="2490"/>
        <w:gridCol w:w="2943"/>
        <w:gridCol w:w="1061"/>
      </w:tblGrid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b/>
                <w:i/>
                <w:iCs/>
                <w:sz w:val="22"/>
                <w:szCs w:val="22"/>
              </w:rPr>
              <w:t>(место производства работ)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основного средства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41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‍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комплексного инструментального обследования трансформатора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>
                <w:rStyle w:val="Style13"/>
                <w:rFonts w:ascii="Times New Roman" w:hAnsi="Times New Roman" w:cs="Times New Roman"/>
                <w:b w:val="false"/>
                <w:i w:val="false"/>
                <w:i w:val="false"/>
                <w:iCs/>
                <w:szCs w:val="22"/>
                <w:shd w:fill="FFFFFF" w:val="clear"/>
              </w:rPr>
            </w:pPr>
            <w:r>
              <w:rPr>
                <w:rStyle w:val="Style13"/>
                <w:rFonts w:cs="Times New Roman" w:ascii="Times New Roman" w:hAnsi="Times New Roman"/>
                <w:b w:val="false"/>
                <w:i w:val="false"/>
                <w:iCs/>
                <w:szCs w:val="22"/>
                <w:shd w:fill="FFFFFF" w:val="clear"/>
              </w:rPr>
              <w:t>Российская Федерация, Московская обл., г.о. Сергиево-Посадский, рп Богородское, д.100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 силовой ТЦ-250000/500, РУ-500 кВ, Т-1, инвентарный номер ЗГ40081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комплексного инструментального обследования трансформатора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>
                <w:rStyle w:val="Style13"/>
                <w:rFonts w:ascii="Times New Roman" w:hAnsi="Times New Roman" w:cs="Times New Roman"/>
                <w:b w:val="false"/>
                <w:i w:val="false"/>
                <w:i w:val="false"/>
                <w:iCs/>
                <w:szCs w:val="22"/>
                <w:shd w:fill="FFFFFF" w:val="clear"/>
              </w:rPr>
            </w:pPr>
            <w:r>
              <w:rPr>
                <w:rStyle w:val="Style13"/>
                <w:rFonts w:cs="Times New Roman" w:ascii="Times New Roman" w:hAnsi="Times New Roman"/>
                <w:b w:val="false"/>
                <w:i w:val="false"/>
                <w:iCs/>
                <w:szCs w:val="22"/>
                <w:shd w:fill="FFFFFF" w:val="clear"/>
              </w:rPr>
              <w:t>Российская Федерация, Московская обл., г.о. Сергиево-Посадский, рп Богородское, д.100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 силовой ТЦ-250000/500, РУ-500 кВ, Т-2, инвентарный номер ЗГ200547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комплексного инструментального обследования трансформатора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>
                <w:rStyle w:val="Style13"/>
                <w:rFonts w:ascii="Times New Roman" w:hAnsi="Times New Roman" w:cs="Times New Roman"/>
                <w:b w:val="false"/>
                <w:i w:val="false"/>
                <w:i w:val="false"/>
                <w:iCs/>
                <w:szCs w:val="22"/>
                <w:shd w:fill="FFFFFF" w:val="clear"/>
              </w:rPr>
            </w:pPr>
            <w:r>
              <w:rPr>
                <w:rStyle w:val="Style13"/>
                <w:rFonts w:cs="Times New Roman" w:ascii="Times New Roman" w:hAnsi="Times New Roman"/>
                <w:b w:val="false"/>
                <w:i w:val="false"/>
                <w:iCs/>
                <w:szCs w:val="22"/>
                <w:shd w:fill="FFFFFF" w:val="clear"/>
              </w:rPr>
              <w:t>Российская Федерация, Московская обл., г.о. Сергиево-Посадский, рп Богородское, д.100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 силовой ТЦ-250000/500, РУ-500 кВ, Т-3, инвентарный номер ЗГ40700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комплексного инструментального обследования трансформатора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>
                <w:rStyle w:val="Style13"/>
                <w:rFonts w:ascii="Times New Roman" w:hAnsi="Times New Roman" w:cs="Times New Roman"/>
                <w:b w:val="false"/>
                <w:i w:val="false"/>
                <w:i w:val="false"/>
                <w:iCs/>
                <w:szCs w:val="22"/>
                <w:shd w:fill="FFFFFF" w:val="clear"/>
              </w:rPr>
            </w:pPr>
            <w:r>
              <w:rPr>
                <w:rStyle w:val="Style13"/>
                <w:rFonts w:cs="Times New Roman" w:ascii="Times New Roman" w:hAnsi="Times New Roman"/>
                <w:b w:val="false"/>
                <w:i w:val="false"/>
                <w:iCs/>
                <w:szCs w:val="22"/>
                <w:shd w:fill="FFFFFF" w:val="clear"/>
              </w:rPr>
              <w:t>Российская Федерация, Московская обл., г.о. Сергиево-Посадский, рп Богородское, д.100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 силовой ТЦ-250000/500, РУ-500 кВ, Т-4, инвентарный номер ЗГ400521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‍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комплексного инструментального обследования трансформатора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>
                <w:rStyle w:val="Style13"/>
                <w:rFonts w:ascii="Times New Roman" w:hAnsi="Times New Roman" w:cs="Times New Roman"/>
                <w:b w:val="false"/>
                <w:i w:val="false"/>
                <w:i w:val="false"/>
                <w:iCs/>
                <w:szCs w:val="22"/>
                <w:shd w:fill="FFFFFF" w:val="clear"/>
              </w:rPr>
            </w:pPr>
            <w:r>
              <w:rPr>
                <w:rStyle w:val="Style13"/>
                <w:rFonts w:cs="Times New Roman" w:ascii="Times New Roman" w:hAnsi="Times New Roman"/>
                <w:b w:val="false"/>
                <w:i w:val="false"/>
                <w:iCs/>
                <w:szCs w:val="22"/>
                <w:shd w:fill="FFFFFF" w:val="clear"/>
              </w:rPr>
              <w:t>Российская Федерация, Московская обл., г.о. Сергиево-Посадский, рп Богородское, д.100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 силовой ТЦ-250000/500, РУ-500 кВ, Т-5, инвентарный номер ЗГ40129</w:t>
              <w:tab/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комплексного инструментального обследования трансформатора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>
                <w:rStyle w:val="Style13"/>
                <w:rFonts w:ascii="Times New Roman" w:hAnsi="Times New Roman" w:cs="Times New Roman"/>
                <w:b w:val="false"/>
                <w:i w:val="false"/>
                <w:i w:val="false"/>
                <w:iCs/>
                <w:szCs w:val="22"/>
                <w:shd w:fill="FFFFFF" w:val="clear"/>
              </w:rPr>
            </w:pPr>
            <w:r>
              <w:rPr>
                <w:rStyle w:val="Style13"/>
                <w:rFonts w:cs="Times New Roman" w:ascii="Times New Roman" w:hAnsi="Times New Roman"/>
                <w:b w:val="false"/>
                <w:i w:val="false"/>
                <w:iCs/>
                <w:szCs w:val="22"/>
                <w:shd w:fill="FFFFFF" w:val="clear"/>
              </w:rPr>
              <w:t>Российская Федерация, Московская обл., г.о. Сергиево-Посадский, рп Богородское, д.100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 силовой ТЦ-250000/500, РУ-500 кВ, Т-6, инвентарный номер ЗГ40132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rPr>
          <w:b/>
          <w:bCs/>
          <w:szCs w:val="28"/>
        </w:rPr>
      </w:pPr>
      <w:r>
        <w:rPr>
          <w:b/>
          <w:bCs/>
          <w:szCs w:val="28"/>
        </w:rPr>
      </w:r>
      <w:r>
        <w:br w:type="page"/>
      </w:r>
    </w:p>
    <w:p>
      <w:pPr>
        <w:pStyle w:val="ListParagraph"/>
        <w:widowControl/>
        <w:numPr>
          <w:ilvl w:val="0"/>
          <w:numId w:val="29"/>
        </w:numPr>
        <w:suppressAutoHyphens w:val="true"/>
        <w:bidi w:val="0"/>
        <w:spacing w:lineRule="auto" w:line="240" w:before="0" w:after="0"/>
        <w:ind w:left="3061" w:right="0" w:hanging="340"/>
        <w:jc w:val="both"/>
        <w:rPr>
          <w:b/>
          <w:bCs/>
          <w:sz w:val="28"/>
        </w:rPr>
      </w:pPr>
      <w:r>
        <w:rPr>
          <w:b/>
          <w:bCs/>
          <w:sz w:val="28"/>
        </w:rPr>
        <w:t>Требования к продукции</w:t>
      </w:r>
    </w:p>
    <w:p>
      <w:pPr>
        <w:pStyle w:val="Heading4"/>
        <w:keepLines w:val="false"/>
        <w:numPr>
          <w:ilvl w:val="1"/>
          <w:numId w:val="30"/>
        </w:numPr>
        <w:spacing w:before="120" w:after="60"/>
        <w:rPr>
          <w:rFonts w:ascii="Times New Roman" w:hAnsi="Times New Roman" w:cs="Times New Roman"/>
          <w:b/>
          <w:i w:val="false"/>
          <w:i w:val="false"/>
          <w:color w:val="auto"/>
        </w:rPr>
      </w:pPr>
      <w:r>
        <w:rPr>
          <w:rFonts w:cs="Times New Roman" w:ascii="Times New Roman" w:hAnsi="Times New Roman"/>
          <w:b/>
          <w:i w:val="false"/>
          <w:color w:val="auto"/>
        </w:rPr>
        <w:t>Требования к объемам</w:t>
      </w:r>
    </w:p>
    <w:p>
      <w:pPr>
        <w:pStyle w:val="Heading4"/>
        <w:ind w:left="432" w:hanging="0"/>
        <w:rPr>
          <w:rFonts w:ascii="Times New Roman" w:hAnsi="Times New Roman" w:cs="Times New Roman"/>
          <w:b/>
          <w:i w:val="false"/>
          <w:i w:val="false"/>
          <w:color w:val="auto"/>
        </w:rPr>
      </w:pPr>
      <w:bookmarkStart w:id="18" w:name="_Toc138838665"/>
      <w:bookmarkStart w:id="19" w:name="_Toc51339695"/>
      <w:r>
        <w:rPr>
          <w:rFonts w:cs="Times New Roman" w:ascii="Times New Roman" w:hAnsi="Times New Roman"/>
          <w:b/>
          <w:i w:val="false"/>
          <w:color w:val="auto"/>
        </w:rPr>
        <w:t xml:space="preserve">Таблица 2 Перечень </w:t>
      </w:r>
      <w:bookmarkEnd w:id="19"/>
      <w:r>
        <w:rPr>
          <w:rFonts w:cs="Times New Roman" w:ascii="Times New Roman" w:hAnsi="Times New Roman"/>
          <w:b/>
          <w:i w:val="false"/>
          <w:color w:val="auto"/>
        </w:rPr>
        <w:t>и объем оказываемых услуг</w:t>
      </w:r>
      <w:bookmarkEnd w:id="18"/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4"/>
        <w:gridCol w:w="5707"/>
        <w:gridCol w:w="1557"/>
        <w:gridCol w:w="1417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/>
              <w:t>п/п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120"/>
              <w:ind w:left="0" w:hanging="0"/>
              <w:jc w:val="both"/>
              <w:rPr/>
            </w:pPr>
            <w:r>
              <w:rPr/>
              <w:t>Виброаккустическое обследование блочных трансформаторов Т-1-6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/>
              </w:rPr>
            </w:pPr>
            <w:r>
              <w:rPr>
                <w:lang w:val="en-US"/>
              </w:rPr>
              <w:t>объект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1.1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/>
              <w:t>Работы  по разработанной и согласованной программе: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0" w:after="120"/>
              <w:ind w:left="354" w:hanging="354"/>
              <w:jc w:val="both"/>
              <w:rPr/>
            </w:pPr>
            <w:r>
              <w:rPr/>
              <w:t>Проведение виброакустического обследования блочных трансформаторов для определения качества прессовки обмотки и сердечника, определения целостности конструкции;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0" w:after="120"/>
              <w:ind w:left="354" w:hanging="354"/>
              <w:jc w:val="both"/>
              <w:rPr/>
            </w:pPr>
            <w:r>
              <w:rPr/>
              <w:t>Диагностика состояния механизмов системы охлаждения, а также анализ состояния электрооборудования;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0" w:after="120"/>
              <w:ind w:left="354" w:hanging="354"/>
              <w:jc w:val="both"/>
              <w:rPr/>
            </w:pPr>
            <w:r>
              <w:rPr/>
              <w:t>Разработка рекомендаций по устранению отклонений от норм эксплуатации.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/>
              </w:rPr>
            </w:pPr>
            <w:r>
              <w:rPr>
                <w:lang w:val="en-US"/>
              </w:rPr>
              <w:t>объект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6</w:t>
            </w:r>
          </w:p>
        </w:tc>
      </w:tr>
    </w:tbl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Heading4"/>
        <w:keepLines w:val="false"/>
        <w:numPr>
          <w:ilvl w:val="1"/>
          <w:numId w:val="31"/>
        </w:numPr>
        <w:spacing w:before="120" w:after="60"/>
        <w:rPr>
          <w:rFonts w:ascii="Times New Roman" w:hAnsi="Times New Roman" w:cs="Times New Roman"/>
          <w:b/>
          <w:i w:val="false"/>
          <w:i w:val="false"/>
          <w:color w:val="auto"/>
        </w:rPr>
      </w:pPr>
      <w:r>
        <w:rPr>
          <w:rFonts w:cs="Times New Roman" w:ascii="Times New Roman" w:hAnsi="Times New Roman"/>
          <w:b/>
          <w:i w:val="false"/>
          <w:color w:val="auto"/>
        </w:rPr>
        <w:t>Требования к срокам оказания услуг</w:t>
      </w:r>
    </w:p>
    <w:p>
      <w:pPr>
        <w:pStyle w:val="Heading4"/>
        <w:ind w:left="432" w:hanging="0"/>
        <w:rPr>
          <w:rFonts w:ascii="Times New Roman" w:hAnsi="Times New Roman" w:cs="Times New Roman"/>
          <w:b/>
          <w:i w:val="false"/>
          <w:i w:val="false"/>
          <w:color w:val="auto"/>
        </w:rPr>
      </w:pPr>
      <w:bookmarkStart w:id="20" w:name="_Toc138838667"/>
      <w:bookmarkStart w:id="21" w:name="_Toc50125127"/>
      <w:bookmarkStart w:id="22" w:name="_Toc51339697"/>
      <w:r>
        <w:rPr>
          <w:rFonts w:cs="Times New Roman" w:ascii="Times New Roman" w:hAnsi="Times New Roman"/>
          <w:b/>
          <w:i w:val="false"/>
          <w:color w:val="auto"/>
        </w:rPr>
        <w:t xml:space="preserve">Таблица 3 </w:t>
      </w:r>
      <w:bookmarkStart w:id="23" w:name="_Hlk50465284"/>
      <w:r>
        <w:rPr>
          <w:rFonts w:cs="Times New Roman" w:ascii="Times New Roman" w:hAnsi="Times New Roman"/>
          <w:b/>
          <w:i w:val="false"/>
          <w:color w:val="auto"/>
        </w:rPr>
        <w:t xml:space="preserve">Требования к срокам </w:t>
      </w:r>
      <w:bookmarkEnd w:id="21"/>
      <w:bookmarkEnd w:id="22"/>
      <w:bookmarkEnd w:id="23"/>
      <w:r>
        <w:rPr>
          <w:rFonts w:cs="Times New Roman" w:ascii="Times New Roman" w:hAnsi="Times New Roman"/>
          <w:b/>
          <w:i w:val="false"/>
          <w:color w:val="auto"/>
        </w:rPr>
        <w:t>оказания услуг</w:t>
      </w:r>
      <w:bookmarkEnd w:id="20"/>
      <w:r>
        <w:rPr>
          <w:rFonts w:cs="Times New Roman" w:ascii="Times New Roman" w:hAnsi="Times New Roman"/>
          <w:b/>
          <w:i w:val="false"/>
          <w:color w:val="auto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3"/>
        <w:gridCol w:w="2700"/>
        <w:gridCol w:w="2120"/>
        <w:gridCol w:w="2132"/>
        <w:gridCol w:w="1843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услуг/ этапа услуг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оказания услуг/ этапа услуг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оказания услуг / этапа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62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Виброаккустическое обследование блочных трансформаторов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с даты заключения договора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20.11.2027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5" w:footer="709" w:bottom="766"/>
          <w:pgNumType w:fmt="decimal"/>
          <w:formProt w:val="false"/>
          <w:textDirection w:val="lrTb"/>
          <w:docGrid w:type="default" w:linePitch="326" w:charSpace="0"/>
        </w:sectPr>
        <w:pStyle w:val="Normal"/>
        <w:ind w:firstLine="709"/>
        <w:jc w:val="both"/>
        <w:rPr>
          <w:bCs/>
        </w:rPr>
      </w:pPr>
      <w:r>
        <w:rPr/>
        <w:t>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Таблица 4. Требования к качеству услуг</w:t>
      </w:r>
    </w:p>
    <w:p>
      <w:pPr>
        <w:pStyle w:val="Normal"/>
        <w:spacing w:before="0" w:after="120"/>
        <w:rPr>
          <w:i/>
          <w:i/>
          <w:iCs/>
          <w:shd w:fill="FFFF99" w:val="clear"/>
        </w:rPr>
      </w:pPr>
      <w:r>
        <w:rPr>
          <w:b/>
        </w:rPr>
        <w:t>Виброаккустическое обследование блочных трансформаторов</w:t>
      </w:r>
      <w:r>
        <w:rPr>
          <w:b/>
          <w:bCs/>
          <w:i/>
          <w:iCs/>
        </w:rPr>
        <w:t>.</w:t>
      </w:r>
    </w:p>
    <w:tbl>
      <w:tblPr>
        <w:tblStyle w:val="af5"/>
        <w:tblW w:w="14676" w:type="dxa"/>
        <w:jc w:val="left"/>
        <w:tblInd w:w="-5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9"/>
        <w:gridCol w:w="2721"/>
        <w:gridCol w:w="5260"/>
        <w:gridCol w:w="1880"/>
        <w:gridCol w:w="2041"/>
        <w:gridCol w:w="1994"/>
      </w:tblGrid>
      <w:tr>
        <w:trPr>
          <w:trHeight w:val="276" w:hRule="atLeast"/>
        </w:trPr>
        <w:tc>
          <w:tcPr>
            <w:tcW w:w="77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lang w:val="ru-RU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‍</w:t>
            </w:r>
          </w:p>
        </w:tc>
        <w:tc>
          <w:tcPr>
            <w:tcW w:w="272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ru-RU" w:bidi="ar-SA"/>
              </w:rPr>
              <w:t>Наименование параметра</w:t>
            </w:r>
          </w:p>
        </w:tc>
        <w:tc>
          <w:tcPr>
            <w:tcW w:w="5260" w:type="dxa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Требование заказчика</w:t>
            </w:r>
          </w:p>
        </w:tc>
        <w:tc>
          <w:tcPr>
            <w:tcW w:w="3921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kern w:val="0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kern w:val="0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36" w:hRule="atLeast"/>
        </w:trPr>
        <w:tc>
          <w:tcPr>
            <w:tcW w:w="77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2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5260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8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kern w:val="0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0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kern w:val="0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bidi="ar-SA"/>
              </w:rPr>
              <w:t xml:space="preserve">Предоставление подтверждающего документа или иной способ подтверждения 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kern w:val="0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bidi="ar-SA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</w:t>
            </w:r>
          </w:p>
        </w:tc>
        <w:tc>
          <w:tcPr>
            <w:tcW w:w="27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2</w:t>
            </w:r>
          </w:p>
        </w:tc>
        <w:tc>
          <w:tcPr>
            <w:tcW w:w="526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3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kern w:val="0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bidi="ar-SA"/>
              </w:rPr>
              <w:t>4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kern w:val="0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bidi="ar-SA"/>
              </w:rPr>
              <w:t>5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kern w:val="0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bidi="ar-SA"/>
              </w:rPr>
              <w:t>6</w:t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981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 xml:space="preserve">Требования к оказанию услуг 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kern w:val="0"/>
                <w:lang w:val="ru-RU" w:bidi="ar-SA"/>
              </w:rPr>
            </w:pPr>
            <w:r>
              <w:rPr>
                <w:rFonts w:cs="Times New Roman"/>
                <w:b/>
                <w:kern w:val="0"/>
                <w:lang w:val="ru-RU" w:bidi="ar-SA"/>
              </w:rPr>
              <w:t>-//-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kern w:val="0"/>
                <w:lang w:val="ru-RU" w:bidi="ar-SA"/>
              </w:rPr>
            </w:pPr>
            <w:r>
              <w:rPr>
                <w:rFonts w:cs="Times New Roman"/>
                <w:b/>
                <w:kern w:val="0"/>
                <w:lang w:val="ru-RU" w:bidi="ar-SA"/>
              </w:rPr>
              <w:t>-//-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kern w:val="0"/>
                <w:lang w:val="ru-RU" w:bidi="ar-SA"/>
              </w:rPr>
            </w:pPr>
            <w:r>
              <w:rPr>
                <w:rFonts w:cs="Times New Roman"/>
                <w:b/>
                <w:kern w:val="0"/>
                <w:lang w:val="ru-RU" w:bidi="ar-SA"/>
              </w:rPr>
              <w:t>-//-</w:t>
            </w:r>
          </w:p>
        </w:tc>
      </w:tr>
      <w:tr>
        <w:trPr>
          <w:trHeight w:val="530" w:hRule="atLeast"/>
        </w:trPr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1389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Соблюдение при оказании услуг норм и правил нормативно-технических документов</w:t>
            </w:r>
          </w:p>
          <w:p>
            <w:pPr>
              <w:pStyle w:val="Style2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 w:cs="" w:ascii="Calibri" w:hAnsi="Calibri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26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kern w:val="0"/>
                <w:lang w:val="ru-RU" w:bidi="ar-SA"/>
              </w:rPr>
              <w:t>Правила технической эксплуатации электрических станций и сетей Российской Федерации, утвержденных приказом Министерства энергетики Российской Федерации от 4 октября 2022 года N 1070;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kern w:val="0"/>
                <w:lang w:val="ru-RU" w:bidi="ar-SA"/>
              </w:rPr>
              <w:t>Правила по охране труда при эксплуатации электроустановок, утвержденных приказом министерства труда и социальной защиты РФ от 15 декабря 2020 года №903н с изменениями от 29 апреля 2022 г;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 w:themeColor="text1"/>
                <w:kern w:val="0"/>
                <w:lang w:val="ru-RU" w:bidi="ar-SA"/>
              </w:rPr>
              <w:t>РД 34.45-51.300-97 «Объем и нормы испытаний электрооборудования»;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kern w:val="0"/>
                <w:lang w:val="ru-RU" w:bidi="ar-SA"/>
              </w:rPr>
              <w:t xml:space="preserve">Стандарт СТО РусГидро 02.01.124-2020 «Силовые трансформаторы гидроэлектростанций. Организация эксплуатации и технического обслуживания. Нормы и требования» </w:t>
            </w:r>
            <w:hyperlink r:id="rId3">
              <w:r>
                <w:rPr>
                  <w:rStyle w:val="Hyperlink"/>
                  <w:kern w:val="0"/>
                  <w:lang w:val="en-US" w:bidi="ar-SA"/>
                </w:rPr>
                <w:t>https</w:t>
              </w:r>
              <w:r>
                <w:rPr>
                  <w:rStyle w:val="Hyperlink"/>
                  <w:kern w:val="0"/>
                  <w:lang w:val="ru-RU" w:bidi="ar-SA"/>
                </w:rPr>
                <w:t>://</w:t>
              </w:r>
              <w:r>
                <w:rPr>
                  <w:rStyle w:val="Hyperlink"/>
                  <w:kern w:val="0"/>
                  <w:lang w:val="en-US" w:bidi="ar-SA"/>
                </w:rPr>
                <w:t>rushydro</w:t>
              </w:r>
              <w:r>
                <w:rPr>
                  <w:rStyle w:val="Hyperlink"/>
                  <w:kern w:val="0"/>
                  <w:lang w:val="ru-RU" w:bidi="ar-SA"/>
                </w:rPr>
                <w:t>.</w:t>
              </w:r>
              <w:r>
                <w:rPr>
                  <w:rStyle w:val="Hyperlink"/>
                  <w:kern w:val="0"/>
                  <w:lang w:val="en-US" w:bidi="ar-SA"/>
                </w:rPr>
                <w:t>ru</w:t>
              </w:r>
              <w:r>
                <w:rPr>
                  <w:rStyle w:val="Hyperlink"/>
                  <w:kern w:val="0"/>
                  <w:lang w:val="ru-RU" w:bidi="ar-SA"/>
                </w:rPr>
                <w:t>/</w:t>
              </w:r>
              <w:r>
                <w:rPr>
                  <w:rStyle w:val="Hyperlink"/>
                  <w:kern w:val="0"/>
                  <w:lang w:val="en-US" w:bidi="ar-SA"/>
                </w:rPr>
                <w:t>activity</w:t>
              </w:r>
              <w:r>
                <w:rPr>
                  <w:rStyle w:val="Hyperlink"/>
                  <w:kern w:val="0"/>
                  <w:lang w:val="ru-RU" w:bidi="ar-SA"/>
                </w:rPr>
                <w:t>/</w:t>
              </w:r>
              <w:r>
                <w:rPr>
                  <w:rStyle w:val="Hyperlink"/>
                  <w:kern w:val="0"/>
                  <w:lang w:val="en-US" w:bidi="ar-SA"/>
                </w:rPr>
                <w:t>safety</w:t>
              </w:r>
              <w:r>
                <w:rPr>
                  <w:rStyle w:val="Hyperlink"/>
                  <w:kern w:val="0"/>
                  <w:lang w:val="ru-RU" w:bidi="ar-SA"/>
                </w:rPr>
                <w:t>/</w:t>
              </w:r>
              <w:r>
                <w:rPr>
                  <w:rStyle w:val="Hyperlink"/>
                  <w:kern w:val="0"/>
                  <w:lang w:val="en-US" w:bidi="ar-SA"/>
                </w:rPr>
                <w:t>library</w:t>
              </w:r>
              <w:r>
                <w:rPr>
                  <w:rStyle w:val="Hyperlink"/>
                  <w:kern w:val="0"/>
                  <w:lang w:val="ru-RU" w:bidi="ar-SA"/>
                </w:rPr>
                <w:t>/</w:t>
              </w:r>
              <w:r>
                <w:rPr>
                  <w:rStyle w:val="Hyperlink"/>
                  <w:kern w:val="0"/>
                  <w:lang w:val="en-US" w:bidi="ar-SA"/>
                </w:rPr>
                <w:t>teksty</w:t>
              </w:r>
              <w:r>
                <w:rPr>
                  <w:rStyle w:val="Hyperlink"/>
                  <w:kern w:val="0"/>
                  <w:lang w:val="ru-RU" w:bidi="ar-SA"/>
                </w:rPr>
                <w:t>-</w:t>
              </w:r>
              <w:r>
                <w:rPr>
                  <w:rStyle w:val="Hyperlink"/>
                  <w:kern w:val="0"/>
                  <w:lang w:val="en-US" w:bidi="ar-SA"/>
                </w:rPr>
                <w:t>deystvuyushchikh</w:t>
              </w:r>
              <w:r>
                <w:rPr>
                  <w:rStyle w:val="Hyperlink"/>
                  <w:kern w:val="0"/>
                  <w:lang w:val="ru-RU" w:bidi="ar-SA"/>
                </w:rPr>
                <w:t>-</w:t>
              </w:r>
              <w:r>
                <w:rPr>
                  <w:rStyle w:val="Hyperlink"/>
                  <w:kern w:val="0"/>
                  <w:lang w:val="en-US" w:bidi="ar-SA"/>
                </w:rPr>
                <w:t>standartov</w:t>
              </w:r>
              <w:r>
                <w:rPr>
                  <w:rStyle w:val="Hyperlink"/>
                  <w:kern w:val="0"/>
                  <w:lang w:val="ru-RU" w:bidi="ar-SA"/>
                </w:rPr>
                <w:t>-</w:t>
              </w:r>
              <w:r>
                <w:rPr>
                  <w:rStyle w:val="Hyperlink"/>
                  <w:kern w:val="0"/>
                  <w:lang w:val="en-US" w:bidi="ar-SA"/>
                </w:rPr>
                <w:t>pao</w:t>
              </w:r>
              <w:r>
                <w:rPr>
                  <w:rStyle w:val="Hyperlink"/>
                  <w:kern w:val="0"/>
                  <w:lang w:val="ru-RU" w:bidi="ar-SA"/>
                </w:rPr>
                <w:t>-</w:t>
              </w:r>
              <w:r>
                <w:rPr>
                  <w:rStyle w:val="Hyperlink"/>
                  <w:kern w:val="0"/>
                  <w:lang w:val="en-US" w:bidi="ar-SA"/>
                </w:rPr>
                <w:t>rusgidro</w:t>
              </w:r>
              <w:r>
                <w:rPr>
                  <w:rStyle w:val="Hyperlink"/>
                  <w:kern w:val="0"/>
                  <w:lang w:val="ru-RU" w:bidi="ar-SA"/>
                </w:rPr>
                <w:t>/</w:t>
              </w:r>
            </w:hyperlink>
            <w:r>
              <w:rPr>
                <w:color w:val="000000" w:themeColor="text1"/>
                <w:kern w:val="0"/>
                <w:lang w:val="ru-RU" w:bidi="ar-SA"/>
              </w:rPr>
              <w:t>.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Cs/>
                <w:kern w:val="0"/>
                <w:lang w:val="ru-RU" w:bidi="ar-SA"/>
              </w:rPr>
            </w:pPr>
            <w:r>
              <w:rPr>
                <w:rFonts w:cs="Times New Roman"/>
                <w:iCs/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</w:t>
            </w:r>
          </w:p>
        </w:tc>
        <w:tc>
          <w:tcPr>
            <w:tcW w:w="19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9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процедурам оказания услуг</w:t>
            </w:r>
          </w:p>
        </w:tc>
      </w:tr>
      <w:tr>
        <w:trPr>
          <w:trHeight w:val="2398" w:hRule="atLeast"/>
        </w:trPr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2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26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firstLine="320"/>
              <w:jc w:val="both"/>
              <w:rPr>
                <w:kern w:val="0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Cs/>
                <w:kern w:val="0"/>
                <w:lang w:val="ru-RU" w:bidi="ar-SA"/>
              </w:rPr>
              <w:t>Допуск персонала исполнителя для оказания услуг должен осуществляться в соответствии с регламентом процесса «Методика допуска персонала подрядных организаций к выполнению работ на объектах Общества» (Приложение 1) с обязательным оформлением необходимых нарядов-допусков.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firstLine="320"/>
              <w:jc w:val="both"/>
              <w:rPr>
                <w:kern w:val="0"/>
                <w:lang w:val="ru-RU" w:bidi="ar-SA"/>
              </w:rPr>
            </w:pPr>
            <w:r>
              <w:rPr>
                <w:rFonts w:cs="Times New Roman"/>
                <w:b w:val="false"/>
                <w:bCs w:val="false"/>
                <w:iCs/>
                <w:kern w:val="0"/>
                <w:lang w:val="ru-RU" w:bidi="ar-SA"/>
              </w:rPr>
              <w:t>Подготовку рабочих мест и допуск к оказанию услуг выполняет персонал заказчика.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Cs/>
                <w:kern w:val="0"/>
                <w:lang w:val="ru-RU" w:bidi="ar-SA"/>
              </w:rPr>
            </w:pPr>
            <w:r>
              <w:rPr>
                <w:rFonts w:cs="Times New Roman"/>
                <w:iCs/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</w:t>
            </w:r>
          </w:p>
        </w:tc>
        <w:tc>
          <w:tcPr>
            <w:tcW w:w="199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firstLine="32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Autospacing="1" w:afterAutospacing="1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Требование к информационной безопасности</w:t>
            </w:r>
          </w:p>
        </w:tc>
        <w:tc>
          <w:tcPr>
            <w:tcW w:w="5260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-78" w:hanging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1880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Cs/>
                <w:kern w:val="0"/>
                <w:lang w:val="ru-RU" w:bidi="ar-SA"/>
              </w:rPr>
            </w:pPr>
            <w:r>
              <w:rPr>
                <w:rFonts w:cs="Times New Roman"/>
                <w:iCs/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04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</w:t>
            </w:r>
          </w:p>
        </w:tc>
        <w:tc>
          <w:tcPr>
            <w:tcW w:w="199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-78" w:hanging="0"/>
              <w:jc w:val="left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  <w:bookmarkStart w:id="24" w:name="_Ref54012570"/>
            <w:bookmarkStart w:id="25" w:name="_Ref54012570"/>
            <w:bookmarkEnd w:id="25"/>
          </w:p>
        </w:tc>
        <w:tc>
          <w:tcPr>
            <w:tcW w:w="1389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применяемым при оказании услуг оборудованию и инструментам</w:t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Требования к используемому оборудованию</w:t>
            </w:r>
          </w:p>
          <w:p>
            <w:pPr>
              <w:pStyle w:val="Style2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26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Виброметр: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Диана-2М с пределами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0,3 - 100 м/с</w:t>
            </w:r>
            <w:r>
              <w:rPr>
                <w:bCs/>
                <w:kern w:val="0"/>
                <w:vertAlign w:val="superscript"/>
                <w:lang w:val="ru-RU" w:bidi="ar-SA"/>
              </w:rPr>
              <w:t>2</w:t>
            </w:r>
            <w:r>
              <w:rPr>
                <w:bCs/>
                <w:kern w:val="0"/>
                <w:lang w:val="ru-RU" w:bidi="ar-SA"/>
              </w:rPr>
              <w:t xml:space="preserve">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 xml:space="preserve">0,3 - 100 мм/с,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 xml:space="preserve">5 - 500 мкм,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10 - 5000 Гц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ВК-310А с пределами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3 – 5000 Гц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Cs/>
                <w:kern w:val="0"/>
                <w:lang w:val="ru-RU" w:bidi="ar-SA"/>
              </w:rPr>
            </w:pPr>
            <w:r>
              <w:rPr>
                <w:rFonts w:cs="Times New Roman"/>
                <w:iCs/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</w:t>
            </w:r>
          </w:p>
        </w:tc>
        <w:tc>
          <w:tcPr>
            <w:tcW w:w="19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9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Квалификация персонала исполнителя, привлекаемого к оказанию услуг</w:t>
            </w:r>
          </w:p>
          <w:p>
            <w:pPr>
              <w:pStyle w:val="Style2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260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10" w:hanging="283"/>
              <w:contextualSpacing/>
              <w:jc w:val="left"/>
              <w:rPr>
                <w:iCs/>
              </w:rPr>
            </w:pPr>
            <w:r>
              <w:rPr>
                <w:iCs/>
                <w:kern w:val="0"/>
                <w:lang w:val="en-US" w:bidi="ar-SA"/>
              </w:rPr>
              <w:t xml:space="preserve">Наличие у участника квалифицированного персонала в количестве: 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10" w:hanging="283"/>
              <w:contextualSpacing/>
              <w:jc w:val="left"/>
              <w:rPr>
                <w:iCs/>
              </w:rPr>
            </w:pPr>
            <w:r>
              <w:rPr>
                <w:iCs/>
                <w:kern w:val="0"/>
                <w:lang w:val="en-US" w:bidi="ar-SA"/>
              </w:rPr>
              <w:t xml:space="preserve"> </w:t>
            </w:r>
            <w:r>
              <w:rPr>
                <w:iCs/>
                <w:kern w:val="0"/>
                <w:lang w:val="en-US" w:bidi="ar-SA"/>
              </w:rPr>
              <w:t>- инженерно-технический работник, имеющий V группу по ЭБ, имеющий право быть ответственным руководителем работ.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10" w:hanging="283"/>
              <w:contextualSpacing/>
              <w:jc w:val="left"/>
              <w:rPr>
                <w:iCs/>
              </w:rPr>
            </w:pPr>
            <w:r>
              <w:rPr>
                <w:iCs/>
                <w:kern w:val="0"/>
                <w:lang w:val="en-US" w:bidi="ar-SA"/>
              </w:rPr>
              <w:t>- работник, имеющий IV группу по ЭБ, имеющий право быть производителем работ, членом бригады.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Cs/>
                <w:kern w:val="0"/>
                <w:lang w:val="ru-RU" w:bidi="ar-SA"/>
              </w:rPr>
            </w:pPr>
            <w:r>
              <w:rPr>
                <w:rFonts w:cs="Times New Roman"/>
                <w:iCs/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</w:t>
            </w:r>
          </w:p>
        </w:tc>
        <w:tc>
          <w:tcPr>
            <w:tcW w:w="199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10" w:hanging="283"/>
              <w:contextualSpacing/>
              <w:jc w:val="left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</w:rPr>
            </w:pPr>
            <w:r>
              <w:rPr>
                <w:color w:val="000000" w:themeColor="text1"/>
                <w:kern w:val="0"/>
                <w:lang w:val="ru-RU" w:bidi="ar-SA"/>
              </w:rPr>
              <w:t>Требования к безопасности работ и охране труда</w:t>
            </w:r>
          </w:p>
        </w:tc>
        <w:tc>
          <w:tcPr>
            <w:tcW w:w="526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</w:rPr>
            </w:pPr>
            <w:r>
              <w:rPr>
                <w:rStyle w:val="Hyperlink"/>
                <w:rFonts w:eastAsia="" w:cs="Times New Roman"/>
                <w:color w:val="auto"/>
                <w:kern w:val="0"/>
                <w:u w:val="none"/>
                <w:lang w:val="ru-RU" w:bidi="ar-SA"/>
              </w:rPr>
              <w:t>Соблюдение норм нарядно-допускной системы в соответствии с Правилами по охране труда при эксплуатации электроустановок, утвержденные приказом Министерства труда и социальной защиты РФ от 15.12.2020 г. № 903н.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</w:rPr>
            </w:pPr>
            <w:r>
              <w:rPr>
                <w:rStyle w:val="Hyperlink"/>
                <w:rFonts w:eastAsia="" w:cs="Times New Roman"/>
                <w:iCs/>
                <w:color w:val="auto"/>
                <w:kern w:val="0"/>
                <w:u w:val="none"/>
                <w:lang w:val="ru-RU" w:bidi="ar-SA"/>
              </w:rPr>
              <w:t>Персонал подрядной организации, при оказании услуг на филиале ПАО «РусГидро» - «Загорская ГАЭС» обязан применять сертифицированную специальную одежду, специальную обувь и другие средства индивидуальной защиты, соответствующие характеру выполняемой работы. При оказании услуг персонал должен применять СИЗ в обязательном порядке без исключений.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Cs/>
                <w:kern w:val="0"/>
                <w:lang w:val="ru-RU" w:bidi="ar-SA"/>
              </w:rPr>
            </w:pPr>
            <w:r>
              <w:rPr>
                <w:rFonts w:cs="Times New Roman"/>
                <w:iCs/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</w:t>
            </w:r>
          </w:p>
        </w:tc>
        <w:tc>
          <w:tcPr>
            <w:tcW w:w="19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9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Требования к результатам у</w:t>
            </w:r>
            <w:r>
              <w:rPr>
                <w:b/>
                <w:kern w:val="0"/>
                <w:lang w:val="ru-RU" w:bidi="ar-SA"/>
              </w:rPr>
              <w:t>слуг</w:t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9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Результат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526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</w:rPr>
            </w:pPr>
            <w:r>
              <w:rPr>
                <w:bCs/>
                <w:kern w:val="0"/>
                <w:lang w:val="ru-RU" w:bidi="ar-SA"/>
              </w:rPr>
              <w:t xml:space="preserve">По результатам оказываемых услуг предоставляется технический отчет по проведению </w:t>
            </w:r>
            <w:r>
              <w:rPr>
                <w:kern w:val="0"/>
                <w:lang w:val="ru-RU" w:bidi="ar-SA"/>
              </w:rPr>
              <w:t>виброаккустического обследование блочных трансформаторов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Cs/>
                <w:kern w:val="0"/>
                <w:lang w:val="ru-RU" w:bidi="ar-SA"/>
              </w:rPr>
            </w:pPr>
            <w:r>
              <w:rPr>
                <w:rFonts w:cs="Times New Roman"/>
                <w:iCs/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</w:t>
            </w:r>
          </w:p>
        </w:tc>
        <w:tc>
          <w:tcPr>
            <w:tcW w:w="19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9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Autospacing="1" w:after="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lang w:val="en-US"/>
              </w:rPr>
            </w:pPr>
            <w:r>
              <w:rPr>
                <w:iCs/>
                <w:kern w:val="0"/>
                <w:lang w:val="en-US" w:bidi="ar-SA"/>
              </w:rPr>
              <w:t>Требование к оформлению отчета</w:t>
            </w:r>
          </w:p>
        </w:tc>
        <w:tc>
          <w:tcPr>
            <w:tcW w:w="526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69" w:right="-114"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 xml:space="preserve">Отчет должен включать в себя </w:t>
            </w:r>
            <w:r>
              <w:rPr>
                <w:kern w:val="0"/>
                <w:lang w:val="ru-RU" w:bidi="ar-SA"/>
              </w:rPr>
              <w:t>(не ограничиваясь):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Паспортные данные трансформатора и условия эксплуатации;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Результаты вибрационного обследование активной части трансформатора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Результаты вибрационного обследование маслонасосов трансформатора;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jc w:val="left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Выводы и рекомендации.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Cs/>
                <w:kern w:val="0"/>
                <w:lang w:val="ru-RU" w:bidi="ar-SA"/>
              </w:rPr>
            </w:pPr>
            <w:r>
              <w:rPr>
                <w:rFonts w:cs="Times New Roman"/>
                <w:iCs/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</w:t>
            </w:r>
          </w:p>
        </w:tc>
        <w:tc>
          <w:tcPr>
            <w:tcW w:w="19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69" w:right="-114" w:hanging="0"/>
              <w:jc w:val="left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lang w:val="en-US"/>
              </w:rPr>
            </w:pPr>
            <w:r>
              <w:rPr>
                <w:iCs/>
                <w:kern w:val="0"/>
                <w:lang w:val="en-US" w:bidi="ar-SA"/>
              </w:rPr>
              <w:t>Форма предоставления отчета</w:t>
            </w:r>
          </w:p>
        </w:tc>
        <w:tc>
          <w:tcPr>
            <w:tcW w:w="526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Отчет должен быть предоставлен на бумажном носителе в количестве не менее 2 (двух) экземпляров и на электронном носителе на (CD или DVD-носителе) в сканированном виде в формате PDF полностью соответствующим бумажному носителю с подписями ответственных исполнителей.</w:t>
            </w:r>
          </w:p>
        </w:tc>
        <w:tc>
          <w:tcPr>
            <w:tcW w:w="188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Cs/>
                <w:kern w:val="0"/>
                <w:lang w:val="ru-RU" w:bidi="ar-SA"/>
              </w:rPr>
            </w:pPr>
            <w:r>
              <w:rPr>
                <w:rFonts w:cs="Times New Roman"/>
                <w:iCs/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04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</w:t>
            </w:r>
          </w:p>
        </w:tc>
        <w:tc>
          <w:tcPr>
            <w:tcW w:w="19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spacing w:before="0" w:after="120"/>
        <w:ind w:left="792" w:hanging="0"/>
        <w:jc w:val="both"/>
        <w:rPr>
          <w:iCs/>
        </w:rPr>
      </w:pPr>
      <w:r>
        <w:rPr>
          <w:iCs/>
        </w:rPr>
      </w:r>
      <w:r>
        <w:br w:type="page"/>
      </w:r>
    </w:p>
    <w:p>
      <w:pPr>
        <w:pStyle w:val="Normal"/>
        <w:spacing w:before="0" w:after="120"/>
        <w:ind w:left="792" w:hanging="0"/>
        <w:jc w:val="both"/>
        <w:rPr>
          <w:iCs/>
        </w:rPr>
      </w:pPr>
      <w:r>
        <w:rPr>
          <w:iCs/>
        </w:rPr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0"/>
        <w:jc w:val="both"/>
        <w:rPr>
          <w:iCs/>
        </w:rPr>
      </w:pPr>
      <w:r>
        <w:rPr>
          <w:iCs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rPr>
          <w:b/>
        </w:rPr>
      </w:pPr>
      <w:r>
        <w:rPr>
          <w:b/>
          <w:lang w:val="x-none" w:eastAsia="x-none"/>
        </w:rPr>
        <w:t xml:space="preserve">Требования </w:t>
      </w:r>
      <w:r>
        <w:rPr>
          <w:b/>
          <w:lang w:eastAsia="x-none"/>
        </w:rPr>
        <w:t>к документации по ценообразованию на стадии проведения закупки</w:t>
      </w:r>
    </w:p>
    <w:p>
      <w:pPr>
        <w:pStyle w:val="ListParagraph"/>
        <w:ind w:left="360" w:hanging="0"/>
        <w:rPr>
          <w:b/>
        </w:rPr>
      </w:pPr>
      <w:r>
        <w:rPr>
          <w:b/>
        </w:rPr>
      </w:r>
    </w:p>
    <w:p>
      <w:pPr>
        <w:pStyle w:val="ListParagraph"/>
        <w:ind w:left="0" w:firstLine="360"/>
        <w:rPr>
          <w:iCs/>
        </w:rPr>
      </w:pPr>
      <w:r>
        <w:rPr>
          <w:b w:val="false"/>
          <w:i w:val="false"/>
          <w:caps w:val="false"/>
          <w:smallCaps w:val="false"/>
          <w:spacing w:val="0"/>
        </w:rPr>
        <w:t>3.1.В обоснование стоимости своей заявки Участник предоставляет Коммерческое</w:t>
      </w:r>
      <w:r>
        <w:rPr>
          <w:caps w:val="false"/>
          <w:smallCaps w:val="false"/>
          <w:spacing w:val="0"/>
        </w:rPr>
        <w:t xml:space="preserve"> </w:t>
      </w:r>
      <w:r>
        <w:rPr>
          <w:b w:val="false"/>
          <w:i w:val="false"/>
          <w:caps w:val="false"/>
          <w:smallCaps w:val="false"/>
          <w:spacing w:val="0"/>
        </w:rPr>
        <w:t>предложение по форме (с учетом прилагаемой к ней инструкции по</w:t>
      </w:r>
      <w:r>
        <w:rPr>
          <w:caps w:val="false"/>
          <w:smallCaps w:val="false"/>
          <w:spacing w:val="0"/>
        </w:rPr>
        <w:t xml:space="preserve"> </w:t>
      </w:r>
      <w:r>
        <w:rPr>
          <w:b w:val="false"/>
          <w:i w:val="false"/>
          <w:caps w:val="false"/>
          <w:smallCaps w:val="false"/>
          <w:spacing w:val="0"/>
        </w:rPr>
        <w:t>заполнению), приведенной в Документации о закупке.</w:t>
      </w:r>
      <w:r>
        <w:rPr>
          <w:caps w:val="false"/>
          <w:smallCaps w:val="false"/>
          <w:spacing w:val="0"/>
        </w:rPr>
        <w:t xml:space="preserve"> </w:t>
      </w:r>
    </w:p>
    <w:p>
      <w:pPr>
        <w:pStyle w:val="ListParagraph"/>
        <w:ind w:left="0" w:firstLine="360"/>
        <w:rPr>
          <w:iCs/>
        </w:rPr>
      </w:pPr>
      <w:r>
        <w:rPr>
          <w:b w:val="false"/>
          <w:i w:val="false"/>
          <w:caps w:val="false"/>
          <w:smallCaps w:val="false"/>
          <w:spacing w:val="0"/>
        </w:rPr>
        <w:t>3.2.Дополнительные документы по ценообразованию в состав заявки не</w:t>
      </w:r>
      <w:r>
        <w:rPr>
          <w:caps w:val="false"/>
          <w:smallCaps w:val="false"/>
          <w:spacing w:val="0"/>
        </w:rPr>
        <w:t xml:space="preserve"> </w:t>
      </w:r>
      <w:r>
        <w:rPr>
          <w:b w:val="false"/>
          <w:i w:val="false"/>
          <w:caps w:val="false"/>
          <w:smallCaps w:val="false"/>
          <w:spacing w:val="0"/>
        </w:rPr>
        <w:t>включаются</w:t>
      </w:r>
    </w:p>
    <w:p>
      <w:pPr>
        <w:pStyle w:val="ListParagraph"/>
        <w:ind w:left="0" w:firstLine="360"/>
        <w:rPr/>
      </w:pPr>
      <w:r>
        <w:rPr/>
      </w:r>
    </w:p>
    <w:p>
      <w:pPr>
        <w:pStyle w:val="ListParagraph"/>
        <w:numPr>
          <w:ilvl w:val="0"/>
          <w:numId w:val="7"/>
        </w:numPr>
        <w:spacing w:before="0" w:after="0"/>
        <w:contextualSpacing/>
        <w:rPr>
          <w:b/>
          <w:lang w:val="x-none" w:eastAsia="x-none"/>
        </w:rPr>
      </w:pPr>
      <w:r>
        <w:rPr>
          <w:b/>
          <w:lang w:val="x-none" w:eastAsia="x-none"/>
        </w:rPr>
        <w:t>Приложения.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>
          <w:lang w:eastAsia="x-none"/>
        </w:rPr>
      </w:pPr>
      <w:r>
        <w:rPr>
          <w:lang w:eastAsia="x-none"/>
        </w:rPr>
        <w:t xml:space="preserve">Приложение №1. </w:t>
      </w:r>
      <w:r>
        <w:rPr/>
        <w:t>Методика допуска персонала подрядных организаций к выполнению работ на объектах Общества.</w:t>
      </w:r>
    </w:p>
    <w:p>
      <w:pPr>
        <w:pStyle w:val="ListParagraph"/>
        <w:ind w:left="0" w:firstLine="360"/>
        <w:rPr/>
      </w:pPr>
      <w:r>
        <w:rPr/>
      </w:r>
    </w:p>
    <w:sectPr>
      <w:footerReference w:type="default" r:id="rId4"/>
      <w:footerReference w:type="first" r:id="rId5"/>
      <w:type w:val="nextPage"/>
      <w:pgSz w:orient="landscape" w:w="16838" w:h="11906"/>
      <w:pgMar w:left="1701" w:right="851" w:gutter="0" w:header="0" w:top="1134" w:footer="709" w:bottom="7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8032860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6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5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ru-RU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</w:numbering>
</file>

<file path=word/settings.xml><?xml version="1.0" encoding="utf-8"?>
<w:settings xmlns:w="http://schemas.openxmlformats.org/wordprocessingml/2006/main">
  <w:zoom w:percent="75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3e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1"/>
    <w:qFormat/>
    <w:rsid w:val="001c04b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c335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1c04bc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Стиль1 Знак"/>
    <w:basedOn w:val="DefaultParagraphFont"/>
    <w:link w:val="12"/>
    <w:qFormat/>
    <w:rsid w:val="00e916b3"/>
    <w:rPr>
      <w:rFonts w:eastAsia="Geneva"/>
      <w:sz w:val="28"/>
      <w:szCs w:val="28"/>
    </w:rPr>
  </w:style>
  <w:style w:type="character" w:styleId="Style6" w:customStyle="1">
    <w:name w:val="Название Знак"/>
    <w:qFormat/>
    <w:rsid w:val="00070e71"/>
    <w:rPr>
      <w:sz w:val="28"/>
    </w:rPr>
  </w:style>
  <w:style w:type="character" w:styleId="Style7" w:customStyle="1">
    <w:name w:val="Текст сноски Знак"/>
    <w:basedOn w:val="DefaultParagraphFont"/>
    <w:uiPriority w:val="99"/>
    <w:qFormat/>
    <w:rsid w:val="00070e71"/>
    <w:rPr>
      <w:rFonts w:ascii="Calibri" w:hAnsi="Calibri" w:eastAsia="Calibri" w:cs="Times New Roman"/>
      <w:sz w:val="20"/>
      <w:szCs w:val="20"/>
    </w:rPr>
  </w:style>
  <w:style w:type="character" w:styleId="Style8">
    <w:name w:val="Символ сноски"/>
    <w:uiPriority w:val="99"/>
    <w:unhideWhenUsed/>
    <w:qFormat/>
    <w:rsid w:val="00070e7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Нижний колонтитул Знак"/>
    <w:basedOn w:val="DefaultParagraphFont"/>
    <w:uiPriority w:val="99"/>
    <w:qFormat/>
    <w:rsid w:val="00070e7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070e7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4c335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380945"/>
    <w:rPr>
      <w:rFonts w:ascii="Segoe UI" w:hAnsi="Segoe UI" w:eastAsia="Times New Roman" w:cs="Segoe UI"/>
      <w:sz w:val="18"/>
      <w:szCs w:val="18"/>
      <w:lang w:eastAsia="ru-RU"/>
    </w:rPr>
  </w:style>
  <w:style w:type="character" w:styleId="Style11" w:customStyle="1">
    <w:name w:val="Основной текст Знак"/>
    <w:basedOn w:val="DefaultParagraphFont"/>
    <w:uiPriority w:val="99"/>
    <w:semiHidden/>
    <w:qFormat/>
    <w:rsid w:val="00a650e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Текст примечания Знак"/>
    <w:basedOn w:val="DefaultParagraphFont"/>
    <w:link w:val="Annotationtext"/>
    <w:qFormat/>
    <w:rsid w:val="00a650e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1c04bc"/>
    <w:rPr>
      <w:color w:val="0000FF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1c04b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1c04bc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ru-RU"/>
    </w:rPr>
  </w:style>
  <w:style w:type="character" w:styleId="Style13" w:customStyle="1">
    <w:name w:val="комментарий"/>
    <w:qFormat/>
    <w:rsid w:val="001c04bc"/>
    <w:rPr>
      <w:b/>
      <w:i/>
      <w:shd w:fill="FFFF99" w:val="clear"/>
    </w:rPr>
  </w:style>
  <w:style w:type="character" w:styleId="Style14" w:customStyle="1">
    <w:name w:val="Абзац списка Знак"/>
    <w:link w:val="ListParagraph"/>
    <w:uiPriority w:val="34"/>
    <w:qFormat/>
    <w:locked/>
    <w:rsid w:val="00b90b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c08c4"/>
    <w:rPr>
      <w:sz w:val="16"/>
      <w:szCs w:val="16"/>
    </w:rPr>
  </w:style>
  <w:style w:type="character" w:styleId="Style15" w:customStyle="1">
    <w:name w:val="Тема примечания Знак"/>
    <w:basedOn w:val="Style12"/>
    <w:link w:val="Annotationsubject"/>
    <w:uiPriority w:val="99"/>
    <w:semiHidden/>
    <w:qFormat/>
    <w:rsid w:val="001c08c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rPr/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1"/>
    <w:uiPriority w:val="99"/>
    <w:semiHidden/>
    <w:unhideWhenUsed/>
    <w:rsid w:val="00a650e5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12" w:customStyle="1">
    <w:name w:val="Стиль1"/>
    <w:basedOn w:val="Normal"/>
    <w:link w:val="1"/>
    <w:qFormat/>
    <w:rsid w:val="00e916b3"/>
    <w:pPr>
      <w:numPr>
        <w:ilvl w:val="0"/>
        <w:numId w:val="2"/>
      </w:numPr>
      <w:ind w:firstLine="709"/>
      <w:jc w:val="both"/>
    </w:pPr>
    <w:rPr>
      <w:rFonts w:eastAsia="Geneva"/>
      <w:sz w:val="28"/>
      <w:szCs w:val="28"/>
    </w:rPr>
  </w:style>
  <w:style w:type="paragraph" w:styleId="ListParagraph">
    <w:name w:val="List Paragraph"/>
    <w:basedOn w:val="Normal"/>
    <w:link w:val="Style14"/>
    <w:uiPriority w:val="34"/>
    <w:qFormat/>
    <w:rsid w:val="00070e71"/>
    <w:pPr>
      <w:ind w:left="708" w:hanging="0"/>
    </w:pPr>
    <w:rPr/>
  </w:style>
  <w:style w:type="paragraph" w:styleId="ConsPlusNormal" w:customStyle="1">
    <w:name w:val="ConsPlusNormal"/>
    <w:qFormat/>
    <w:rsid w:val="00070e7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070e7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Style7"/>
    <w:uiPriority w:val="99"/>
    <w:unhideWhenUsed/>
    <w:rsid w:val="00070e71"/>
    <w:pPr/>
    <w:rPr>
      <w:rFonts w:ascii="Calibri" w:hAnsi="Calibri" w:eastAsia="Calibri"/>
      <w:sz w:val="20"/>
      <w:szCs w:val="20"/>
      <w:lang w:eastAsia="en-US"/>
    </w:rPr>
  </w:style>
  <w:style w:type="paragraph" w:styleId="Style19">
    <w:name w:val="Колонтитул"/>
    <w:basedOn w:val="Normal"/>
    <w:qFormat/>
    <w:pPr/>
    <w:rPr/>
  </w:style>
  <w:style w:type="paragraph" w:styleId="Footer">
    <w:name w:val="Footer"/>
    <w:basedOn w:val="Normal"/>
    <w:link w:val="Style9"/>
    <w:uiPriority w:val="99"/>
    <w:unhideWhenUsed/>
    <w:rsid w:val="00070e7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link w:val="3"/>
    <w:qFormat/>
    <w:rsid w:val="00070e71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380945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2"/>
    <w:unhideWhenUsed/>
    <w:qFormat/>
    <w:rsid w:val="00a650e5"/>
    <w:pPr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1c04bc"/>
    <w:pPr>
      <w:spacing w:before="120" w:after="0"/>
    </w:pPr>
    <w:rPr>
      <w:rFonts w:cs="Calibri Light (Заголовки)"/>
      <w:b/>
      <w:bCs/>
    </w:rPr>
  </w:style>
  <w:style w:type="paragraph" w:styleId="TOC3">
    <w:name w:val="TOC 3"/>
    <w:basedOn w:val="Normal"/>
    <w:next w:val="Normal"/>
    <w:autoRedefine/>
    <w:uiPriority w:val="39"/>
    <w:rsid w:val="001c04b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c04bc"/>
    <w:pPr>
      <w:ind w:left="560" w:hanging="0"/>
    </w:pPr>
    <w:rPr>
      <w:rFonts w:cs="Calibri" w:cstheme="minorHAnsi"/>
      <w:sz w:val="20"/>
      <w:szCs w:val="20"/>
    </w:rPr>
  </w:style>
  <w:style w:type="paragraph" w:styleId="Style20" w:customStyle="1">
    <w:name w:val="Таблица шапка"/>
    <w:basedOn w:val="Normal"/>
    <w:qFormat/>
    <w:rsid w:val="00b90bf0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1" w:customStyle="1">
    <w:name w:val="Таблица"/>
    <w:basedOn w:val="Normal"/>
    <w:qFormat/>
    <w:rsid w:val="00d74ecc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Revision">
    <w:name w:val="Revision"/>
    <w:uiPriority w:val="99"/>
    <w:semiHidden/>
    <w:qFormat/>
    <w:rsid w:val="00d734f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3" w:customStyle="1">
    <w:name w:val="Текст1"/>
    <w:basedOn w:val="Normal"/>
    <w:qFormat/>
    <w:rsid w:val="00762f3f"/>
    <w:pPr>
      <w:suppressAutoHyphens w:val="true"/>
    </w:pPr>
    <w:rPr>
      <w:rFonts w:ascii="Calibri" w:hAnsi="Calibri" w:eastAsia="Calibri" w:cs="Calibri"/>
      <w:sz w:val="22"/>
      <w:szCs w:val="21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1c08c4"/>
    <w:pPr/>
    <w:rPr>
      <w:b/>
      <w:bCs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rsid w:val="00d74ec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rushydro.ru/activity/safety/library/teksty-deystvuyushchikh-standartov-pao-rusgidro/" TargetMode="Externa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Application>AlterOffice/3.4.0.9$Linux_X86_64 LibreOffice_project/b8daf9e823b1a5463a2f48435ddc2e8696e7d4fc</Application>
  <AppVersion>15.0000</AppVersion>
  <Pages>10</Pages>
  <Words>1162</Words>
  <Characters>8411</Characters>
  <CharactersWithSpaces>9346</CharactersWithSpaces>
  <Paragraphs>231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2019-12-25T08:46:00Z</dcterms:created>
  <dc:creator>Серышев Александр Владимирович</dc:creator>
  <dc:description/>
  <dc:language>ru-RU</dc:language>
  <cp:lastModifiedBy>pugandv@corp.gidroogk.com</cp:lastModifiedBy>
  <dcterms:modified xsi:type="dcterms:W3CDTF">2026-05-21T08:28:19Z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