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ОЦЕНКИ И СОПОСТАВЛЕНИЯ ЗАЯВОК УЧАСТНИКОВ: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i/>
          <w:i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 w:val="false"/>
          <w:i/>
          <w:iCs/>
          <w:caps w:val="false"/>
          <w:smallCaps w:val="false"/>
          <w:spacing w:val="0"/>
          <w:kern w:val="2"/>
          <w:sz w:val="28"/>
          <w:szCs w:val="28"/>
          <w:lang w:eastAsia="ru-RU"/>
        </w:rPr>
        <w:t>ОКПД2 71.12.11.910 Виброаккустическое обследование трансформаторов</w:t>
      </w:r>
      <w:r>
        <w:rPr>
          <w:rFonts w:eastAsia="Times New Roman" w:ascii="Times New Roman" w:hAnsi="Times New Roman"/>
          <w:i/>
          <w:iCs/>
          <w:caps w:val="false"/>
          <w:smallCaps w:val="false"/>
          <w:spacing w:val="0"/>
          <w:kern w:val="2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 w:val="false"/>
          <w:i/>
          <w:iCs/>
          <w:caps w:val="false"/>
          <w:smallCaps w:val="false"/>
          <w:spacing w:val="0"/>
          <w:kern w:val="2"/>
          <w:sz w:val="28"/>
          <w:szCs w:val="28"/>
          <w:lang w:eastAsia="ru-RU"/>
        </w:rPr>
        <w:t>силовых Т-1-6 Загорской ГАЭС</w:t>
      </w:r>
      <w:bookmarkStart w:id="0" w:name="_Ref418851963"/>
    </w:p>
    <w:tbl>
      <w:tblPr>
        <w:tblW w:w="1462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5"/>
        <w:gridCol w:w="1560"/>
        <w:gridCol w:w="2127"/>
        <w:gridCol w:w="1983"/>
        <w:gridCol w:w="1305"/>
        <w:gridCol w:w="1418"/>
        <w:gridCol w:w="4960"/>
      </w:tblGrid>
      <w:tr>
        <w:trPr>
          <w:cantSplit w:val="true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Номер критерия оценки в структуре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0"/>
                <w:szCs w:val="20"/>
                <w:lang w:eastAsia="ru-RU"/>
              </w:rPr>
              <w:t>Направление оценки заявок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критерия оценки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Значимость критерия оценки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частного критерия оценки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Расчет оценки предпочтительности заявки</w:t>
            </w:r>
          </w:p>
        </w:tc>
      </w:tr>
      <w:tr>
        <w:trPr>
          <w:cantSplit w:val="true"/>
        </w:trPr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критерий оценки первого уровня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критерий оценки второго уровня</w:t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438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  <w:shd w:fill="FFFFFF" w:val="clear"/>
              </w:rPr>
              <w:t>Ценовой (стоимостный) частный критерий оценки первого уровня /</w:t>
            </w:r>
            <w:r>
              <w:rPr>
                <w:rFonts w:eastAsia="Times New Roman" w:ascii="Times New Roman" w:hAnsi="Times New Roman"/>
                <w:i/>
                <w:sz w:val="18"/>
                <w:szCs w:val="18"/>
                <w:shd w:fill="FFFFFF" w:val="clear"/>
              </w:rPr>
              <w:t>ЦЕНА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FFFFFF" w:val="clear"/>
              </w:rPr>
              <w:t>Цена договора</w:t>
            </w:r>
            <w:r>
              <w:rPr>
                <w:rFonts w:eastAsia="Times New Roman" w:ascii="Times New Roman" w:hAnsi="Times New Roman"/>
                <w:sz w:val="18"/>
                <w:szCs w:val="18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shd w:fill="FFFFFF" w:val="clear"/>
                <w:lang w:val="en-US" w:eastAsia="ru-RU"/>
              </w:rPr>
              <w:t>(стоимость заявки)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40" w:after="40"/>
              <w:ind w:left="0" w:hanging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85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%</w:t>
              <w:br/>
              <w:t>(В</w:t>
            </w:r>
            <w:r>
              <w:rPr>
                <w:rFonts w:eastAsia="Times New Roman" w:ascii="Times New Roman" w:hAnsi="Times New Roman"/>
                <w:sz w:val="18"/>
                <w:szCs w:val="18"/>
                <w:vertAlign w:val="subscript"/>
                <w:lang w:eastAsia="ru-RU"/>
              </w:rPr>
              <w:t>1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= 0,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85</w:t>
            </w:r>
            <w:bookmarkStart w:id="1" w:name="_GoBack"/>
            <w:bookmarkEnd w:id="1"/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Чем меньше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стоимость заявки Участника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, тем выше предпочтительность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96" w:after="9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Расчет оценки предпочтительности по частному критерию по методу «Математическая формула, задающая «функцию ценности»»:</w:t>
            </w:r>
          </w:p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ЦЕНА</m:t>
                    </m:r>
                    <m:r>
                      <w:rPr>
                        <w:rFonts w:ascii="Cambria Math" w:hAnsi="Cambria Math"/>
                      </w:rPr>
                      <m:t xml:space="preserve">min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ЦЕНА</m:t>
                    </m:r>
                    <m:r>
                      <w:rPr>
                        <w:rFonts w:ascii="Cambria Math" w:hAnsi="Cambria Math"/>
                      </w:rPr>
                      <m:t xml:space="preserve">i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×</m:t>
                </m:r>
                <m:r>
                  <w:rPr>
                    <w:rFonts w:ascii="Cambria Math" w:hAnsi="Cambria Math"/>
                  </w:rPr>
                  <m:t xml:space="preserve">Ш</m:t>
                </m:r>
                <m:r>
                  <w:rPr>
                    <w:rFonts w:ascii="Cambria Math" w:hAnsi="Cambria Math"/>
                  </w:rPr>
                  <m:t xml:space="preserve">,</m:t>
                </m:r>
              </m:oMath>
            </m:oMathPara>
          </w:p>
          <w:p>
            <w:pPr>
              <w:pStyle w:val="Normal"/>
              <w:widowControl w:val="false"/>
              <w:spacing w:lineRule="auto" w:line="240" w:before="96" w:after="9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>
            <w:pPr>
              <w:pStyle w:val="Normal"/>
              <w:widowControl w:val="false"/>
              <w:spacing w:lineRule="auto" w:line="240" w:before="96" w:after="9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рассчитанная оценка предпочтительности по частному критерию оценки в баллах;</w:t>
            </w:r>
          </w:p>
          <w:p>
            <w:pPr>
              <w:pStyle w:val="Normal"/>
              <w:widowControl w:val="false"/>
              <w:spacing w:lineRule="auto" w:line="240" w:before="96" w:after="9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ЦЕНА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vertAlign w:val="subscript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– цена договора, указанная в заявке допущенного участника, руб. без НДС;</w:t>
            </w:r>
          </w:p>
          <w:p>
            <w:pPr>
              <w:pStyle w:val="Normal"/>
              <w:widowControl w:val="false"/>
              <w:spacing w:lineRule="auto" w:line="240" w:before="96" w:after="9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ЦЕНА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val="en-US" w:eastAsia="ru-RU"/>
              </w:rPr>
              <w:t>min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– минимальная цена договора среди всех допущенных заявок участников, руб. без НДС;</w:t>
            </w:r>
          </w:p>
          <w:p>
            <w:pPr>
              <w:pStyle w:val="Normal"/>
              <w:widowControl w:val="false"/>
              <w:spacing w:lineRule="auto" w:line="240" w:before="96" w:after="9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 – максимально возможный балл (максимальная возможная оценка предпочтительности) по установленной в документации о закупке шкале оценок (Ш = 5).</w:t>
            </w:r>
          </w:p>
          <w:p>
            <w:pPr>
              <w:pStyle w:val="Normal"/>
              <w:widowControl w:val="false"/>
              <w:spacing w:lineRule="auto" w:line="240" w:before="96" w:after="9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 без учета НДС. 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96" w:after="96"/>
              <w:ind w:left="0" w:hanging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Шкала оценок от 0 до 5 баллов.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ru-RU"/>
              </w:rPr>
              <w:t>Неценовой критерий оценки первого уровня /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Квалификация (предпочтительность) участника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i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10%</w:t>
              <w:br/>
              <w:t>(В</w:t>
            </w:r>
            <w:r>
              <w:rPr>
                <w:rFonts w:eastAsia="Times New Roman" w:ascii="Times New Roman" w:hAnsi="Times New Roman"/>
                <w:sz w:val="18"/>
                <w:szCs w:val="18"/>
                <w:vertAlign w:val="subscript"/>
                <w:lang w:eastAsia="ru-RU"/>
              </w:rPr>
              <w:t>2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= 0,10)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Чем больше опыт выполнения работ по проведению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иброаккустическо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го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обследовани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я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 трансформаторов силовых Т-1-6 , тем выше предпочтительность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96" w:after="96"/>
              <w:ind w:lef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 Порядок осуществления оценки (значение оцениваемого параметра), в зависимости от информации, предоставленной в i-ой заявке в «Справка об опыте Участника» (Справка), подтверждающей наличие опыта проведения измерений уровня частичных разрядов обмотки статора и контроля плотности прессовки стали генератор-двигателей  за последние 5 лет, предшествующие дате подачи заявок на участие в закупке. Участником должны быть исполнены работы в общем/совокупном объёме не менее 30% от начальной (максимальной) цены лота, указанной в Документации о закупке, с учётом правопреемства.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96" w:after="96"/>
              <w:ind w:left="0" w:hanging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96" w:after="96"/>
              <w:contextualSpacing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копии договоров, подписанных с обеих сторон;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96" w:after="96"/>
              <w:contextualSpacing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копии документов, подписанных с обеих сторон, свидетельствующих о выполнении работ в рамках каждого предоставленного в виде копии договора.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96" w:after="96"/>
              <w:ind w:left="0" w:hanging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К рассмотрению не принимаются подтверждающие документы, не указанные в «Справке об опыте Участника». Сведения, не позволяющие явно/однозначно определить наличие требуемого опыта у Участника, не оцениваются.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96" w:after="96"/>
              <w:ind w:left="0" w:hanging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Наличие опыта будет оцениваться, по подтверждённым сведениям, о выполнении Участником работ.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96" w:after="96"/>
              <w:ind w:left="0" w:hanging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В случае наличия у Участника опыта работ менее 30% от НМЦ, данный Участник не будет отклонен. Расчет итоговой оценки предпочтительности определяется в соответствии с п.13.1. Порядка и критериев оценки и сопоставления заявок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96" w:after="96"/>
              <w:ind w:left="0" w:hanging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Наличие опыта будет оцениваться, по подтверждённым сведениям, о выполнении Участником работ.  </w:t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12"/>
              <w:gridCol w:w="3266"/>
              <w:gridCol w:w="867"/>
            </w:tblGrid>
            <w:tr>
              <w:trPr>
                <w:trHeight w:val="302" w:hRule="atLeast"/>
                <w:cantSplit w:val="true"/>
              </w:trPr>
              <w:tc>
                <w:tcPr>
                  <w:tcW w:w="61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pacing w:lineRule="auto" w:line="240" w:before="96" w:after="96"/>
                    <w:ind w:left="0" w:hanging="0"/>
                    <w:rPr>
                      <w:rFonts w:ascii="Times New Roman" w:hAnsi="Times New Roman"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>Б</w:t>
                  </w:r>
                  <w:r>
                    <w:rPr>
                      <w:rFonts w:eastAsia="Times New Roman" w:ascii="Times New Roman" w:hAnsi="Times New Roman"/>
                      <w:sz w:val="18"/>
                      <w:szCs w:val="18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 xml:space="preserve"> = 0</w:t>
                  </w:r>
                </w:p>
              </w:tc>
              <w:tc>
                <w:tcPr>
                  <w:tcW w:w="3266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pacing w:lineRule="auto" w:line="240" w:before="96" w:after="96"/>
                    <w:ind w:left="0" w:hanging="0"/>
                    <w:rPr>
                      <w:rFonts w:ascii="Times New Roman" w:hAnsi="Times New Roman"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>0%- 30 % НМЦ «без учета НДС» включительно; .</w:t>
                  </w:r>
                </w:p>
              </w:tc>
              <w:tc>
                <w:tcPr>
                  <w:tcW w:w="867" w:type="dxa"/>
                  <w:tcBorders/>
                  <w:tcMar>
                    <w:left w:w="0" w:type="dxa"/>
                    <w:right w:w="10" w:type="dxa"/>
                  </w:tcMar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cantSplit w:val="true"/>
              </w:trPr>
              <w:tc>
                <w:tcPr>
                  <w:tcW w:w="61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pacing w:lineRule="auto" w:line="240" w:before="96" w:after="96"/>
                    <w:ind w:left="0" w:hanging="0"/>
                    <w:rPr>
                      <w:rFonts w:ascii="Times New Roman" w:hAnsi="Times New Roman"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>Б</w:t>
                  </w:r>
                  <w:r>
                    <w:rPr>
                      <w:rFonts w:eastAsia="Times New Roman" w:ascii="Times New Roman" w:hAnsi="Times New Roman"/>
                      <w:sz w:val="18"/>
                      <w:szCs w:val="18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 xml:space="preserve"> = 1</w:t>
                  </w:r>
                </w:p>
              </w:tc>
              <w:tc>
                <w:tcPr>
                  <w:tcW w:w="4133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pacing w:lineRule="auto" w:line="240" w:before="96" w:after="96"/>
                    <w:ind w:left="0" w:hanging="0"/>
                    <w:rPr>
                      <w:rFonts w:ascii="Times New Roman" w:hAnsi="Times New Roman"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>Более 30 до 40  % (включительно) НМЦ «без учета НДС»,;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61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pacing w:lineRule="auto" w:line="240" w:before="96" w:after="96"/>
                    <w:ind w:left="0" w:hanging="0"/>
                    <w:rPr>
                      <w:rFonts w:ascii="Times New Roman" w:hAnsi="Times New Roman"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>Б</w:t>
                  </w:r>
                  <w:r>
                    <w:rPr>
                      <w:rFonts w:eastAsia="Times New Roman" w:ascii="Times New Roman" w:hAnsi="Times New Roman"/>
                      <w:sz w:val="18"/>
                      <w:szCs w:val="18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 xml:space="preserve"> = 2</w:t>
                  </w:r>
                </w:p>
              </w:tc>
              <w:tc>
                <w:tcPr>
                  <w:tcW w:w="4133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pacing w:lineRule="auto" w:line="240" w:before="96" w:after="96"/>
                    <w:ind w:left="0" w:hanging="0"/>
                    <w:rPr>
                      <w:rFonts w:ascii="Times New Roman" w:hAnsi="Times New Roman"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>Более 40 до 50 % (включительно) НМЦ «без учета НДС».;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61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pacing w:lineRule="auto" w:line="240" w:before="96" w:after="96"/>
                    <w:ind w:left="0" w:hanging="0"/>
                    <w:rPr>
                      <w:rFonts w:ascii="Times New Roman" w:hAnsi="Times New Roman"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>Б</w:t>
                  </w:r>
                  <w:r>
                    <w:rPr>
                      <w:rFonts w:eastAsia="Times New Roman" w:ascii="Times New Roman" w:hAnsi="Times New Roman"/>
                      <w:sz w:val="18"/>
                      <w:szCs w:val="18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 xml:space="preserve"> = 3</w:t>
                  </w:r>
                </w:p>
              </w:tc>
              <w:tc>
                <w:tcPr>
                  <w:tcW w:w="4133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pacing w:lineRule="auto" w:line="240" w:before="96" w:after="96"/>
                    <w:ind w:left="0" w:hanging="0"/>
                    <w:rPr>
                      <w:rFonts w:ascii="Times New Roman" w:hAnsi="Times New Roman"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>Более 50 до 60 % (включительно) НМЦ «без учета НДС».;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61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pacing w:lineRule="auto" w:line="240" w:before="96" w:after="96"/>
                    <w:ind w:left="0" w:hanging="0"/>
                    <w:rPr>
                      <w:rFonts w:ascii="Times New Roman" w:hAnsi="Times New Roman"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>Б</w:t>
                  </w:r>
                  <w:r>
                    <w:rPr>
                      <w:rFonts w:eastAsia="Times New Roman" w:ascii="Times New Roman" w:hAnsi="Times New Roman"/>
                      <w:sz w:val="18"/>
                      <w:szCs w:val="18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 xml:space="preserve"> = 4</w:t>
                  </w:r>
                </w:p>
              </w:tc>
              <w:tc>
                <w:tcPr>
                  <w:tcW w:w="4133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pacing w:lineRule="auto" w:line="240" w:before="96" w:after="96"/>
                    <w:ind w:left="0" w:hanging="0"/>
                    <w:rPr>
                      <w:rFonts w:ascii="Times New Roman" w:hAnsi="Times New Roman"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>Более 60 до 70 % (включительно) НМЦ «без учета НДС»,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612" w:type="dxa"/>
                  <w:tcBorders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pacing w:lineRule="auto" w:line="240" w:before="96" w:after="96"/>
                    <w:ind w:left="0" w:hanging="0"/>
                    <w:rPr>
                      <w:rFonts w:ascii="Times New Roman" w:hAnsi="Times New Roman"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>Б</w:t>
                  </w:r>
                  <w:r>
                    <w:rPr>
                      <w:rFonts w:eastAsia="Times New Roman" w:ascii="Times New Roman" w:hAnsi="Times New Roman"/>
                      <w:sz w:val="18"/>
                      <w:szCs w:val="18"/>
                      <w:vertAlign w:val="subscript"/>
                      <w:lang w:eastAsia="ru-RU"/>
                    </w:rPr>
                    <w:t>2</w:t>
                  </w: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 xml:space="preserve"> = 5</w:t>
                  </w:r>
                </w:p>
              </w:tc>
              <w:tc>
                <w:tcPr>
                  <w:tcW w:w="4133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pacing w:lineRule="auto" w:line="240" w:before="96" w:after="96"/>
                    <w:ind w:left="0" w:hanging="0"/>
                    <w:rPr>
                      <w:rFonts w:ascii="Times New Roman" w:hAnsi="Times New Roman"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18"/>
                      <w:szCs w:val="18"/>
                      <w:lang w:eastAsia="ru-RU"/>
                    </w:rPr>
                    <w:t>выше 70 % НМЦ «без учета НДС».</w:t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96" w:after="96"/>
              <w:ind w:left="0" w:hanging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Б</w:t>
            </w:r>
            <w:r>
              <w:rPr>
                <w:rFonts w:eastAsia="Times New Roman" w:ascii="Times New Roman" w:hAnsi="Times New Roman"/>
                <w:sz w:val="18"/>
                <w:szCs w:val="18"/>
                <w:vertAlign w:val="subscript"/>
                <w:lang w:eastAsia="ru-RU"/>
              </w:rPr>
              <w:t>2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            –        рассчитанная оценка предпочтительности по данному частному критерию оценки в баллах.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42" w:leader="none"/>
                <w:tab w:val="left" w:pos="1167" w:leader="none"/>
              </w:tabs>
              <w:spacing w:lineRule="auto" w:line="240" w:before="120" w:after="0"/>
              <w:ind w:left="0" w:hanging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18"/>
                <w:szCs w:val="18"/>
                <w:lang w:eastAsia="ru-RU"/>
              </w:rPr>
              <w:t>Шкала оценок от 0 до 5 баллов.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 w:eastAsia="ru-RU"/>
              </w:rPr>
              <w:t>Неценовой критерий оценки первого уровня 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ОРГ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bookmarkStart w:id="2" w:name="Финсостояние"/>
            <w:r>
              <w:rPr>
                <w:rFonts w:ascii="Times New Roman" w:hAnsi="Times New Roman"/>
                <w:sz w:val="18"/>
                <w:szCs w:val="18"/>
              </w:rPr>
              <w:t>Финансовое состояние (устойчивость) Участника</w:t>
            </w:r>
            <w:bookmarkEnd w:id="2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/>
                <w:i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отсутствует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5%</w:t>
              <w:br/>
              <w:t>(В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= 0,05)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both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Чем выше результат оценки финансового состояния (устойчивости) Участника, тем выше предпочтительность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bidi w:val="0"/>
              <w:spacing w:lineRule="auto" w:line="240" w:before="120" w:after="0"/>
              <w:ind w:left="346" w:hanging="284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bidi w:val="0"/>
              <w:spacing w:lineRule="auto" w:line="240" w:before="120" w:after="120"/>
              <w:ind w:left="346" w:hanging="284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/>
            </w:r>
          </w:p>
          <w:tbl>
            <w:tblPr>
              <w:tblW w:w="372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884"/>
              <w:gridCol w:w="2841"/>
            </w:tblGrid>
            <w:tr>
              <w:trPr>
                <w:cantSplit w:val="true"/>
              </w:trPr>
              <w:tc>
                <w:tcPr>
                  <w:tcW w:w="884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7"/>
                      <w:numId w:val="9"/>
                    </w:numPr>
                    <w:spacing w:lineRule="auto" w:line="240" w:before="40" w:after="4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/>
                  </w:r>
                </w:p>
              </w:tc>
              <w:tc>
                <w:tcPr>
                  <w:tcW w:w="284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-1"/>
                    <w:widowControl w:val="false"/>
                    <w:numPr>
                      <w:ilvl w:val="4"/>
                      <w:numId w:val="10"/>
                    </w:numPr>
                    <w:suppressAutoHyphens w:val="true"/>
                    <w:bidi w:val="0"/>
                    <w:spacing w:lineRule="auto" w:line="240" w:before="40" w:after="40"/>
                    <w:ind w:left="209" w:hanging="209"/>
                    <w:jc w:val="left"/>
                    <w:rPr>
                      <w:rFonts w:cs="Times New Roman"/>
                      <w:sz w:val="18"/>
                      <w:szCs w:val="18"/>
                      <w:lang w:eastAsia="ru-RU"/>
                    </w:rPr>
                  </w:pPr>
                  <w:r>
                    <w:rPr/>
                  </w:r>
                </w:p>
              </w:tc>
            </w:tr>
            <w:tr>
              <w:trPr>
                <w:cantSplit w:val="true"/>
              </w:trPr>
              <w:tc>
                <w:tcPr>
                  <w:tcW w:w="8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7"/>
                      <w:numId w:val="11"/>
                    </w:numPr>
                    <w:spacing w:lineRule="auto" w:line="240" w:before="40" w:after="4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/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-1"/>
                    <w:widowControl w:val="false"/>
                    <w:spacing w:lineRule="auto" w:line="240" w:before="40" w:after="40"/>
                    <w:ind w:left="0" w:hanging="0"/>
                    <w:jc w:val="left"/>
                    <w:rPr>
                      <w:rFonts w:cs="Times New Roman"/>
                      <w:sz w:val="18"/>
                      <w:szCs w:val="18"/>
                      <w:lang w:eastAsia="ru-RU"/>
                    </w:rPr>
                  </w:pPr>
                  <w:r>
                    <w:rPr/>
                  </w:r>
                </w:p>
              </w:tc>
            </w:tr>
            <w:tr>
              <w:trPr>
                <w:cantSplit w:val="true"/>
              </w:trPr>
              <w:tc>
                <w:tcPr>
                  <w:tcW w:w="8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7"/>
                      <w:numId w:val="12"/>
                    </w:numPr>
                    <w:spacing w:lineRule="auto" w:line="240" w:before="40" w:after="4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/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-1"/>
                    <w:widowControl w:val="false"/>
                    <w:spacing w:lineRule="auto" w:line="240" w:before="40" w:after="40"/>
                    <w:ind w:left="0" w:hanging="0"/>
                    <w:jc w:val="left"/>
                    <w:rPr>
                      <w:rFonts w:cs="Times New Roman"/>
                      <w:sz w:val="18"/>
                      <w:szCs w:val="18"/>
                      <w:lang w:eastAsia="ru-RU"/>
                    </w:rPr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96" w:after="96"/>
              <w:ind w:left="0" w:hanging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Порядок осуществления оценки (значение оцениваемого параметра), в зависимости от полученного Участником (с </w:t>
            </w: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  <w:lang w:val="en-US"/>
              </w:rPr>
              <w:t>i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-ой заявкой) значения расчетного балла (интегрального показателя финансового состояния) и установленной соответствующей характеристики его финансового состояния (кризисное / неустойчивое / устойчивое) по результатам проведенной в рамках аккредитации оценки его финансового состояния (устойчивости), при этом: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685" w:hanging="36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порядок проведения оценки финансового состояния (устойчивости) Участника</w:t>
            </w:r>
            <w:r>
              <w:rPr>
                <w:rStyle w:val="FootnoteReference"/>
                <w:rFonts w:eastAsia="Times New Roman" w:cs="Times New Roman" w:ascii="Times New Roman" w:hAnsi="Times New Roman"/>
                <w:sz w:val="18"/>
                <w:szCs w:val="18"/>
                <w:vertAlign w:val="superscript"/>
              </w:rPr>
              <w:footnoteReference w:id="2"/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установлен Приложением №4 к Положению об аккредитации;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685" w:hanging="36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исходными данными для расчета интегрального показателя финансового состояния Участника являются сведения, опубликованные в государственном информационном ресурсе бухгалтерской (финансовой) отчетности организаций (</w:t>
            </w:r>
            <w:hyperlink r:id="rId2">
              <w:r>
                <w:rPr>
                  <w:rStyle w:val="Hyperlink"/>
                  <w:rFonts w:eastAsia="Times New Roman" w:cs="Times New Roman" w:ascii="Times New Roman" w:hAnsi="Times New Roman"/>
                  <w:sz w:val="18"/>
                  <w:szCs w:val="18"/>
                </w:rPr>
                <w:t>https://bo.nalog.ru</w:t>
              </w:r>
            </w:hyperlink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) за предыдущий отчетный период (год) по состоянию на дату окончания срока подачи заявок.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Если Участник в соответствии с законодательством РФ не размещает сведения о своей бухгалтерской (финансовой) отчетности (по формам ОКУД 0710001, 0710002) в упомянутом государственном информационном ресурсе – оценка его финансового состояния производится на основании электронной копии бухгалтерского баланса (ОКУД 0710001) и отчета о финансовых результатах (ОКУД 0710002) за последний завершенный финансовый год, с отметкой налогового органа о приеме или с приложением квитанции о приеме и (или) извещения о вводе сведений налоговым органом, представленной в составе Заявки на аккредитацию (или отдельно в составе заявки на участие в закупке, если ранее при прохождении аккредитации не были представлены);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Если Участник в соответствии с законодательством формирует отчетность по формам ОКУД 0503730, 0503721 (и (или) освобожден от предоставления дополнительного экземпляра отчетности для размещения на официальном сайте ФНС России) – оценка его финансового состояния производится на основании представленных в составе заявки: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электронной копии бухгалтерской (финансовой) отчетности по формам ОКУД 0503730, 0503721 за последний завершенный и предшествующий ему финансовый год, с отметкой налогового органа о приеме или с приложением квитанции о приеме и (или) извещения о вводе сведений налоговым органом;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дополнительных сведений о размере всех требуемых показателей согласно данным бухгалтерской (финансовой) отчетности по установленной форме (Приложение № _ к Документации о закупке).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Оценка предпочтительности по частному критерию осуществляется в соответствии со следующей шкалой:</w:t>
            </w:r>
          </w:p>
          <w:tbl>
            <w:tblPr>
              <w:tblW w:w="641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884"/>
              <w:gridCol w:w="5527"/>
            </w:tblGrid>
            <w:tr>
              <w:trPr>
                <w:cantSplit w:val="true"/>
              </w:trPr>
              <w:tc>
                <w:tcPr>
                  <w:tcW w:w="884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7"/>
                      <w:numId w:val="3"/>
                    </w:numPr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18"/>
                      <w:szCs w:val="18"/>
                    </w:rPr>
                    <w:t>Б</w:t>
                  </w:r>
                  <w:r>
                    <w:rPr>
                      <w:rFonts w:eastAsia="Times New Roman" w:cs="Times New Roman" w:ascii="Times New Roman" w:hAnsi="Times New Roman"/>
                      <w:sz w:val="18"/>
                      <w:szCs w:val="18"/>
                      <w:vertAlign w:val="subscript"/>
                    </w:rPr>
                    <w:t>3</w:t>
                  </w:r>
                  <w:r>
                    <w:rPr>
                      <w:rFonts w:eastAsia="Times New Roman" w:cs="Times New Roman" w:ascii="Times New Roman" w:hAnsi="Times New Roman"/>
                      <w:sz w:val="18"/>
                      <w:szCs w:val="18"/>
                    </w:rPr>
                    <w:t xml:space="preserve"> = 0</w:t>
                  </w:r>
                </w:p>
              </w:tc>
              <w:tc>
                <w:tcPr>
                  <w:tcW w:w="552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18"/>
                      <w:szCs w:val="18"/>
                    </w:rPr>
                    <w:t>Результат оценки финансового состояния (устойчивости): менее 0,45 балла – Кризисное финансовое состояние;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i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i/>
                      <w:iCs/>
                      <w:sz w:val="18"/>
                      <w:szCs w:val="18"/>
                    </w:rPr>
                    <w:t>или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18"/>
                      <w:szCs w:val="18"/>
                    </w:rPr>
                    <w:t xml:space="preserve">в случае отсутствия исходных данных для оценки финансового состояния Участника, в том числе если он является: </w:t>
                  </w:r>
                </w:p>
                <w:p>
                  <w:pPr>
                    <w:pStyle w:val="Normal"/>
                    <w:widowControl w:val="false"/>
                    <w:numPr>
                      <w:ilvl w:val="4"/>
                      <w:numId w:val="3"/>
                    </w:numPr>
                    <w:spacing w:lineRule="auto" w:line="240" w:before="0" w:after="0"/>
                    <w:ind w:left="828" w:hanging="567"/>
                    <w:jc w:val="both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18"/>
                      <w:szCs w:val="18"/>
                    </w:rPr>
                    <w:t>вновь созданным юридическим лицом, которое на дату подачи заявки на участие в закупке в соответствии с законодательством РФ не предоставил в налоговые органы бухгалтерскую (финансовую) отчетность за завершенный финансовый год;</w:t>
                  </w:r>
                </w:p>
                <w:p>
                  <w:pPr>
                    <w:pStyle w:val="Normal"/>
                    <w:widowControl w:val="false"/>
                    <w:numPr>
                      <w:ilvl w:val="4"/>
                      <w:numId w:val="3"/>
                    </w:numPr>
                    <w:spacing w:lineRule="auto" w:line="240" w:before="0" w:after="0"/>
                    <w:ind w:left="828" w:hanging="567"/>
                    <w:jc w:val="both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18"/>
                      <w:szCs w:val="18"/>
                    </w:rPr>
                    <w:t>физическим лицом (индивидуальным предпринимателем и/или применяющим специальный налоговый режим «Налог на профессиональный доход»), не ведущим бухгалтерскую (финансовую) отчетность;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8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7"/>
                      <w:numId w:val="3"/>
                    </w:numPr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18"/>
                      <w:szCs w:val="18"/>
                    </w:rPr>
                    <w:t>Б</w:t>
                  </w:r>
                  <w:r>
                    <w:rPr>
                      <w:rFonts w:eastAsia="Times New Roman" w:cs="Times New Roman" w:ascii="Times New Roman" w:hAnsi="Times New Roman"/>
                      <w:sz w:val="18"/>
                      <w:szCs w:val="18"/>
                      <w:vertAlign w:val="subscript"/>
                    </w:rPr>
                    <w:t>3</w:t>
                  </w:r>
                  <w:r>
                    <w:rPr>
                      <w:rFonts w:eastAsia="Times New Roman" w:cs="Times New Roman" w:ascii="Times New Roman" w:hAnsi="Times New Roman"/>
                      <w:sz w:val="18"/>
                      <w:szCs w:val="18"/>
                    </w:rPr>
                    <w:t xml:space="preserve"> = 3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18"/>
                      <w:szCs w:val="18"/>
                    </w:rPr>
                    <w:t>Результат оценки финансового состояния (устойчивости): от 0,45 балла включительно до 0,90 балла включительно – Неустойчивое финансовое состояние;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8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7"/>
                      <w:numId w:val="3"/>
                    </w:numPr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18"/>
                      <w:szCs w:val="18"/>
                    </w:rPr>
                    <w:t>Б</w:t>
                  </w:r>
                  <w:r>
                    <w:rPr>
                      <w:rFonts w:eastAsia="Times New Roman" w:cs="Times New Roman" w:ascii="Times New Roman" w:hAnsi="Times New Roman"/>
                      <w:sz w:val="18"/>
                      <w:szCs w:val="18"/>
                      <w:vertAlign w:val="subscript"/>
                    </w:rPr>
                    <w:t>3</w:t>
                  </w:r>
                  <w:r>
                    <w:rPr>
                      <w:rFonts w:eastAsia="Times New Roman" w:cs="Times New Roman" w:ascii="Times New Roman" w:hAnsi="Times New Roman"/>
                      <w:sz w:val="18"/>
                      <w:szCs w:val="18"/>
                    </w:rPr>
                    <w:t xml:space="preserve"> = 5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18"/>
                      <w:szCs w:val="18"/>
                    </w:rPr>
                    <w:t>Результат оценки финансового состояния (устойчивости): более 0,90 балла – Удовлетворительное финансовое состояние.</w:t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6"/>
                <w:numId w:val="3"/>
              </w:numPr>
              <w:spacing w:lineRule="auto" w:line="240" w:before="0" w:after="0"/>
              <w:ind w:left="826" w:hanging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где:</w:t>
            </w:r>
          </w:p>
          <w:p>
            <w:pPr>
              <w:pStyle w:val="Normal"/>
              <w:widowControl w:val="false"/>
              <w:numPr>
                <w:ilvl w:val="6"/>
                <w:numId w:val="3"/>
              </w:numPr>
              <w:spacing w:lineRule="auto" w:line="240" w:before="0" w:after="0"/>
              <w:ind w:left="826" w:hanging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ab/>
              <w:t>–</w:t>
              <w:tab/>
              <w:t>рассчитанная оценка предпочтительности по данному частному критерию оценки в баллах.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 случае участия в закупке Генерального подрядчика – балл по данному критерию присваивается исходя из оценки финансового состояния Генерального подрядчика без учета субподрядчиков.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96" w:after="96"/>
              <w:ind w:left="0" w:hanging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Шкала оценок от 0 до 5 баллов.</w:t>
            </w:r>
          </w:p>
        </w:tc>
      </w:tr>
      <w:tr>
        <w:trPr/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40" w:after="40"/>
              <w:ind w:left="0" w:hanging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Итоговая оценка предпочтительности заявки: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120" w:after="0"/>
              <w:ind w:left="0" w:hanging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-ой заявки: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120" w:after="0"/>
              <w:ind w:left="0" w:hanging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96" w:after="0"/>
              <w:ind w:left="0" w:hanging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ИТОГ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nary>
                  <m:naryPr>
                    <m:chr m:val="∑"/>
                    <m:subHide m:val="1"/>
                    <m:supHide m:val="1"/>
                  </m:naryPr>
                  <m:sub/>
                  <m:sup/>
                  <m:e>
                    <m:d>
                      <m:dPr>
                        <m:begChr m:val="("/>
                        <m:endChr m:val=")"/>
                      </m:dPr>
                      <m:e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Б</m:t>
                            </m:r>
                          </m:e>
                          <m:sub>
                            <m:sSub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1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уровень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×</m:t>
                        </m:r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В</m:t>
                            </m:r>
                          </m:e>
                          <m:sub>
                            <m:sSub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1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уровень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/>
                  </w:rPr>
                  <m:t xml:space="preserve">,</m:t>
                </m:r>
              </m:oMath>
            </m:oMathPara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96" w:after="0"/>
              <w:ind w:left="0" w:hanging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42" w:leader="none"/>
                <w:tab w:val="left" w:pos="1167" w:leader="none"/>
              </w:tabs>
              <w:spacing w:lineRule="auto" w:line="240" w:before="120" w:after="0"/>
              <w:ind w:left="0" w:hanging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ИТОГ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ab/>
              <w:t>–</w:t>
              <w:tab/>
              <w:t>рассчитанная итоговая оценка предпочтительности в баллах;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42" w:leader="none"/>
                <w:tab w:val="left" w:pos="1167" w:leader="none"/>
              </w:tabs>
              <w:spacing w:lineRule="auto" w:line="240" w:before="120" w:after="0"/>
              <w:ind w:left="0" w:hanging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1 уровень k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ab/>
              <w:t>–</w:t>
              <w:tab/>
              <w:t>оценка предпочтительности по k-тому критерию оценки первого уровня в баллах;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42" w:leader="none"/>
                <w:tab w:val="left" w:pos="1167" w:leader="none"/>
              </w:tabs>
              <w:spacing w:lineRule="auto" w:line="240" w:before="120" w:after="0"/>
              <w:ind w:left="0" w:hanging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1 уровень k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ab/>
              <w:t>–</w:t>
              <w:tab/>
              <w:t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42" w:leader="none"/>
                <w:tab w:val="left" w:pos="1167" w:leader="none"/>
              </w:tabs>
              <w:spacing w:lineRule="auto" w:line="240" w:before="120" w:after="0"/>
              <w:ind w:left="0" w:hanging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bookmarkEnd w:id="0"/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notePr>
        <w:numFmt w:val="decimal"/>
      </w:footnotePr>
      <w:type w:val="nextPage"/>
      <w:pgSz w:orient="landscape" w:w="16838" w:h="11906"/>
      <w:pgMar w:left="1134" w:right="1134" w:gutter="0" w:header="0" w:top="709" w:footer="0" w:bottom="850"/>
      <w:pgNumType w:fmt="decimal"/>
      <w:formProt w:val="false"/>
      <w:textDirection w:val="lrTb"/>
      <w:docGrid w:type="default" w:linePitch="38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Calibri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В Положении об аккредитации используется термин «Заявитель».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Style18"/>
      <w:numFmt w:val="upperRoman"/>
      <w:lvlText w:val="Раздел %1"/>
      <w:lvlJc w:val="left"/>
      <w:pPr>
        <w:tabs>
          <w:tab w:val="num" w:pos="0"/>
        </w:tabs>
        <w:ind w:left="1701" w:hanging="1701"/>
      </w:pPr>
      <w:rPr>
        <w:rFonts w:cs="Times New Roman"/>
      </w:rPr>
    </w:lvl>
    <w:lvl w:ilvl="1">
      <w:start w:val="1"/>
      <w:pStyle w:val="Style17"/>
      <w:numFmt w:val="decimal"/>
      <w:lvlText w:val="Глава %2"/>
      <w:lvlJc w:val="left"/>
      <w:pPr>
        <w:tabs>
          <w:tab w:val="num" w:pos="0"/>
        </w:tabs>
        <w:ind w:left="1701" w:hanging="1701"/>
      </w:pPr>
      <w:rPr>
        <w:rFonts w:cs="Times New Roman"/>
      </w:rPr>
    </w:lvl>
    <w:lvl w:ilvl="2">
      <w:start w:val="1"/>
      <w:pStyle w:val="Style19"/>
      <w:numFmt w:val="decimal"/>
      <w:lvlText w:val="%2.%3"/>
      <w:lvlJc w:val="left"/>
      <w:pPr>
        <w:tabs>
          <w:tab w:val="num" w:pos="0"/>
        </w:tabs>
        <w:ind w:left="1701" w:hanging="1701"/>
      </w:pPr>
      <w:rPr>
        <w:rFonts w:cs="Times New Roman"/>
      </w:rPr>
    </w:lvl>
    <w:lvl w:ilvl="3">
      <w:start w:val="1"/>
      <w:pStyle w:val="Style20"/>
      <w:numFmt w:val="decimal"/>
      <w:lvlText w:val="%2.%3.%4"/>
      <w:lvlJc w:val="left"/>
      <w:pPr>
        <w:tabs>
          <w:tab w:val="num" w:pos="0"/>
        </w:tabs>
        <w:ind w:left="1701" w:hanging="1701"/>
      </w:pPr>
      <w:rPr>
        <w:rFonts w:cs="Times New Roman"/>
      </w:rPr>
    </w:lvl>
    <w:lvl w:ilvl="4">
      <w:start w:val="1"/>
      <w:pStyle w:val="Style21"/>
      <w:numFmt w:val="russianLower"/>
      <w:lvlText w:val="%5)"/>
      <w:lvlJc w:val="left"/>
      <w:pPr>
        <w:tabs>
          <w:tab w:val="num" w:pos="0"/>
        </w:tabs>
        <w:ind w:left="2268" w:hanging="567"/>
      </w:pPr>
      <w:rPr>
        <w:rFonts w:cs="Times New Roman"/>
      </w:rPr>
    </w:lvl>
    <w:lvl w:ilvl="5">
      <w:start w:val="1"/>
      <w:pStyle w:val="Style22"/>
      <w:numFmt w:val="bullet"/>
      <w:lvlText w:val=""/>
      <w:lvlJc w:val="left"/>
      <w:pPr>
        <w:tabs>
          <w:tab w:val="num" w:pos="0"/>
        </w:tabs>
        <w:ind w:left="2268" w:hanging="567"/>
      </w:pPr>
      <w:rPr>
        <w:rFonts w:ascii="Symbol" w:hAnsi="Symbol" w:cs="Symbol" w:hint="default"/>
      </w:rPr>
    </w:lvl>
    <w:lvl w:ilvl="6">
      <w:start w:val="1"/>
      <w:pStyle w:val="Style23"/>
      <w:numFmt w:val="none"/>
      <w:suff w:val="nothing"/>
      <w:lvlText w:val="%7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1701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1701"/>
      </w:pPr>
      <w:rPr>
        <w:rFonts w:cs="Times New Roman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701" w:hanging="567"/>
      </w:pPr>
      <w:rPr>
        <w:rFonts w:cs="Times New Roman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>
        <w:rFonts w:cs="Times New Roman"/>
      </w:rPr>
    </w:lvl>
  </w:abstractNum>
  <w:abstractNum w:abstractNumId="4">
    <w:lvl w:ilvl="0">
      <w:start w:val="1"/>
      <w:numFmt w:val="bullet"/>
      <w:lvlText w:val="‒"/>
      <w:lvlJc w:val="left"/>
      <w:pPr>
        <w:tabs>
          <w:tab w:val="num" w:pos="0"/>
        </w:tabs>
        <w:ind w:left="103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701" w:hanging="567"/>
      </w:pPr>
      <w:rPr>
        <w:rFonts w:cs="Times New Roman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701" w:hanging="567"/>
      </w:pPr>
      <w:rPr>
        <w:rFonts w:cs="Times New Roman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701" w:hanging="567"/>
      </w:pPr>
      <w:rPr>
        <w:rFonts w:cs="Times New Roman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701" w:hanging="567"/>
      </w:pPr>
      <w:rPr>
        <w:rFonts w:cs="Times New Roman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5"/>
  </w:num>
  <w:num w:numId="11">
    <w:abstractNumId w:val="5"/>
  </w:num>
  <w:num w:numId="12">
    <w:abstractNumId w:val="5"/>
  </w:num>
</w:numbering>
</file>

<file path=word/settings.xml><?xml version="1.0" encoding="utf-8"?>
<w:settings xmlns:w="http://schemas.openxmlformats.org/wordprocessingml/2006/main">
  <w:zoom w:percent="85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7da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133b8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8133b8"/>
    <w:rPr>
      <w:rFonts w:ascii="Calibri" w:hAnsi="Calibri" w:eastAsia="Calibri" w:cs="Times New Roman"/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8133b8"/>
    <w:rPr>
      <w:rFonts w:ascii="Calibri" w:hAnsi="Calibri" w:eastAsia="Calibri" w:cs="Times New Roman"/>
      <w:b/>
      <w:bCs/>
      <w:sz w:val="20"/>
      <w:szCs w:val="20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8133b8"/>
    <w:rPr>
      <w:rFonts w:ascii="Segoe UI" w:hAnsi="Segoe UI" w:eastAsia="Calibr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f59a7"/>
    <w:rPr>
      <w:rFonts w:ascii="Times New Roman" w:hAnsi="Times New Roman" w:cs="Times New Roman"/>
      <w:color w:val="0563C1" w:themeColor="hyperlink"/>
      <w:u w:val="single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bf59a7"/>
    <w:rPr>
      <w:rFonts w:ascii="Geneva CY" w:hAnsi="Geneva CY" w:eastAsia="Times New Roman" w:cs="Times New Roman"/>
      <w:sz w:val="20"/>
      <w:szCs w:val="20"/>
    </w:rPr>
  </w:style>
  <w:style w:type="character" w:styleId="-" w:customStyle="1">
    <w:name w:val="УРОВЕНЬ_- Знак"/>
    <w:link w:val="-1"/>
    <w:qFormat/>
    <w:locked/>
    <w:rsid w:val="00bf59a7"/>
    <w:rPr>
      <w:rFonts w:ascii="Times New Roman" w:hAnsi="Times New Roman"/>
      <w:sz w:val="28"/>
    </w:rPr>
  </w:style>
  <w:style w:type="character" w:styleId="2" w:customStyle="1">
    <w:name w:val="УРОВЕНЬ_Абзац_тип2 Знак"/>
    <w:link w:val="21"/>
    <w:qFormat/>
    <w:locked/>
    <w:rsid w:val="00bf59a7"/>
    <w:rPr>
      <w:rFonts w:ascii="Times New Roman" w:hAnsi="Times New Roman"/>
      <w:sz w:val="28"/>
    </w:rPr>
  </w:style>
  <w:style w:type="character" w:styleId="3" w:customStyle="1">
    <w:name w:val="УРОВЕНЬ_Абзац_тип3 Знак"/>
    <w:link w:val="31"/>
    <w:qFormat/>
    <w:locked/>
    <w:rsid w:val="00bf59a7"/>
    <w:rPr>
      <w:rFonts w:ascii="Times New Roman" w:hAnsi="Times New Roman"/>
      <w:sz w:val="28"/>
    </w:rPr>
  </w:style>
  <w:style w:type="character" w:styleId="Style13">
    <w:name w:val="Символ сноски"/>
    <w:uiPriority w:val="99"/>
    <w:semiHidden/>
    <w:unhideWhenUsed/>
    <w:qFormat/>
    <w:rsid w:val="00bf59a7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8133b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8133b8"/>
    <w:pPr/>
    <w:rPr>
      <w:b/>
      <w:bCs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8133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c2192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>
    <w:name w:val="Footnote Text"/>
    <w:basedOn w:val="Normal"/>
    <w:link w:val="Style12"/>
    <w:uiPriority w:val="99"/>
    <w:semiHidden/>
    <w:unhideWhenUsed/>
    <w:rsid w:val="00bf59a7"/>
    <w:pPr>
      <w:suppressAutoHyphens w:val="true"/>
      <w:spacing w:lineRule="auto" w:line="240" w:before="0" w:after="0"/>
    </w:pPr>
    <w:rPr>
      <w:rFonts w:ascii="Geneva CY" w:hAnsi="Geneva CY" w:eastAsia="Times New Roman"/>
      <w:sz w:val="20"/>
      <w:szCs w:val="20"/>
    </w:rPr>
  </w:style>
  <w:style w:type="paragraph" w:styleId="-1" w:customStyle="1">
    <w:name w:val="УРОВЕНЬ_-"/>
    <w:basedOn w:val="ListParagraph"/>
    <w:link w:val="-"/>
    <w:qFormat/>
    <w:rsid w:val="00bf59a7"/>
    <w:pPr>
      <w:tabs>
        <w:tab w:val="left" w:pos="708" w:leader="none"/>
      </w:tabs>
      <w:spacing w:lineRule="exact" w:line="360" w:before="120" w:after="0"/>
      <w:ind w:left="2268" w:firstLine="567"/>
      <w:contextualSpacing w:val="false"/>
      <w:jc w:val="both"/>
      <w:outlineLvl w:val="4"/>
    </w:pPr>
    <w:rPr>
      <w:rFonts w:ascii="Times New Roman" w:hAnsi="Times New Roman" w:eastAsia="Calibri" w:cs="" w:cstheme="minorBidi" w:eastAsiaTheme="minorHAnsi"/>
      <w:sz w:val="28"/>
    </w:rPr>
  </w:style>
  <w:style w:type="paragraph" w:styleId="21" w:customStyle="1">
    <w:name w:val="УРОВЕНЬ_Абзац_тип2"/>
    <w:basedOn w:val="ListParagraph"/>
    <w:link w:val="2"/>
    <w:qFormat/>
    <w:rsid w:val="00bf59a7"/>
    <w:pPr>
      <w:spacing w:lineRule="exact" w:line="360" w:before="120" w:after="0"/>
      <w:ind w:left="1701" w:hanging="0"/>
      <w:contextualSpacing w:val="false"/>
      <w:jc w:val="both"/>
    </w:pPr>
    <w:rPr>
      <w:rFonts w:ascii="Times New Roman" w:hAnsi="Times New Roman" w:eastAsia="Calibri" w:cs="" w:cstheme="minorBidi" w:eastAsiaTheme="minorHAnsi"/>
      <w:sz w:val="28"/>
    </w:rPr>
  </w:style>
  <w:style w:type="paragraph" w:styleId="31" w:customStyle="1">
    <w:name w:val="УРОВЕНЬ_Абзац_тип3"/>
    <w:basedOn w:val="ListParagraph"/>
    <w:link w:val="3"/>
    <w:qFormat/>
    <w:rsid w:val="00bf59a7"/>
    <w:pPr>
      <w:spacing w:lineRule="exact" w:line="360" w:before="120" w:after="0"/>
      <w:ind w:left="0" w:hanging="0"/>
      <w:contextualSpacing w:val="false"/>
      <w:jc w:val="both"/>
    </w:pPr>
    <w:rPr>
      <w:rFonts w:ascii="Times New Roman" w:hAnsi="Times New Roman" w:eastAsia="Calibri" w:cs="" w:cstheme="minorBidi" w:eastAsiaTheme="minorHAnsi"/>
      <w:sz w:val="28"/>
    </w:rPr>
  </w:style>
  <w:style w:type="paragraph" w:styleId="Style17" w:customStyle="1">
    <w:name w:val="[РусГидро] Глава"/>
    <w:basedOn w:val="ListParagraph"/>
    <w:next w:val="Style19"/>
    <w:qFormat/>
    <w:rsid w:val="00bf59a7"/>
    <w:pPr>
      <w:keepNext w:val="true"/>
      <w:keepLines/>
      <w:numPr>
        <w:ilvl w:val="1"/>
        <w:numId w:val="1"/>
      </w:numPr>
      <w:spacing w:lineRule="auto" w:line="240" w:before="360" w:after="240"/>
      <w:ind w:left="1134" w:hanging="1134"/>
      <w:contextualSpacing w:val="false"/>
      <w:jc w:val="both"/>
      <w:outlineLvl w:val="1"/>
    </w:pPr>
    <w:rPr>
      <w:rFonts w:ascii="Times New Roman" w:hAnsi="Times New Roman" w:eastAsia="Times New Roman"/>
      <w:b/>
      <w:bCs/>
      <w:caps/>
      <w:color w:val="000000" w:themeColor="text1"/>
      <w:sz w:val="26"/>
      <w:szCs w:val="26"/>
    </w:rPr>
  </w:style>
  <w:style w:type="paragraph" w:styleId="Style18" w:customStyle="1">
    <w:name w:val="[РусГидро] Раздел"/>
    <w:basedOn w:val="ListParagraph"/>
    <w:next w:val="Style17"/>
    <w:qFormat/>
    <w:rsid w:val="00bf59a7"/>
    <w:pPr>
      <w:keepNext w:val="true"/>
      <w:keepLines/>
      <w:pageBreakBefore/>
      <w:numPr>
        <w:ilvl w:val="0"/>
        <w:numId w:val="1"/>
      </w:numPr>
      <w:spacing w:lineRule="auto" w:line="240" w:before="0" w:after="0"/>
      <w:ind w:left="1134" w:hanging="1134"/>
      <w:contextualSpacing w:val="false"/>
      <w:jc w:val="both"/>
      <w:outlineLvl w:val="0"/>
    </w:pPr>
    <w:rPr>
      <w:rFonts w:ascii="Times New Roman" w:hAnsi="Times New Roman" w:eastAsia="Times New Roman"/>
      <w:b/>
      <w:bCs/>
      <w:caps/>
      <w:color w:val="000000" w:themeColor="text1"/>
      <w:sz w:val="26"/>
      <w:szCs w:val="26"/>
    </w:rPr>
  </w:style>
  <w:style w:type="paragraph" w:styleId="Style19" w:customStyle="1">
    <w:name w:val="[РусГидро] Пункт"/>
    <w:basedOn w:val="ListParagraph"/>
    <w:qFormat/>
    <w:rsid w:val="00bf59a7"/>
    <w:pPr>
      <w:numPr>
        <w:ilvl w:val="2"/>
        <w:numId w:val="1"/>
      </w:numPr>
      <w:spacing w:lineRule="auto" w:line="240" w:before="120" w:after="0"/>
      <w:ind w:left="1134" w:hanging="1134"/>
      <w:contextualSpacing w:val="false"/>
      <w:jc w:val="both"/>
      <w:outlineLvl w:val="2"/>
    </w:pPr>
    <w:rPr>
      <w:rFonts w:ascii="Times New Roman" w:hAnsi="Times New Roman" w:eastAsia="Times New Roman"/>
      <w:color w:val="000000" w:themeColor="text1"/>
      <w:sz w:val="26"/>
      <w:szCs w:val="26"/>
    </w:rPr>
  </w:style>
  <w:style w:type="paragraph" w:styleId="Style20" w:customStyle="1">
    <w:name w:val="[РусГидро] Подпункт"/>
    <w:basedOn w:val="ListParagraph"/>
    <w:qFormat/>
    <w:rsid w:val="00bf59a7"/>
    <w:pPr>
      <w:numPr>
        <w:ilvl w:val="3"/>
        <w:numId w:val="1"/>
      </w:numPr>
      <w:spacing w:lineRule="auto" w:line="240" w:before="120" w:after="0"/>
      <w:ind w:hanging="567"/>
      <w:contextualSpacing w:val="false"/>
      <w:jc w:val="both"/>
      <w:outlineLvl w:val="3"/>
    </w:pPr>
    <w:rPr>
      <w:rFonts w:ascii="Times New Roman" w:hAnsi="Times New Roman" w:eastAsia="Times New Roman"/>
      <w:color w:val="000000" w:themeColor="text1"/>
      <w:sz w:val="26"/>
      <w:szCs w:val="26"/>
    </w:rPr>
  </w:style>
  <w:style w:type="paragraph" w:styleId="Style21" w:customStyle="1">
    <w:name w:val="[РусГидро] Перечисление"/>
    <w:basedOn w:val="ListParagraph"/>
    <w:qFormat/>
    <w:rsid w:val="00bf59a7"/>
    <w:pPr>
      <w:numPr>
        <w:ilvl w:val="4"/>
        <w:numId w:val="1"/>
      </w:numPr>
      <w:spacing w:lineRule="auto" w:line="240" w:before="120" w:after="0"/>
      <w:contextualSpacing w:val="false"/>
      <w:jc w:val="both"/>
      <w:outlineLvl w:val="4"/>
    </w:pPr>
    <w:rPr>
      <w:rFonts w:ascii="Times New Roman" w:hAnsi="Times New Roman" w:eastAsia="Times New Roman"/>
      <w:color w:val="000000" w:themeColor="text1"/>
      <w:sz w:val="26"/>
      <w:szCs w:val="26"/>
    </w:rPr>
  </w:style>
  <w:style w:type="paragraph" w:styleId="Style22" w:customStyle="1">
    <w:name w:val="[РусГидро] Буллиты"/>
    <w:basedOn w:val="ListParagraph"/>
    <w:qFormat/>
    <w:rsid w:val="00bf59a7"/>
    <w:pPr>
      <w:numPr>
        <w:ilvl w:val="5"/>
        <w:numId w:val="1"/>
      </w:numPr>
      <w:spacing w:lineRule="auto" w:line="240" w:before="120" w:after="0"/>
      <w:ind w:left="1134" w:hanging="0"/>
      <w:contextualSpacing w:val="false"/>
      <w:jc w:val="both"/>
      <w:outlineLvl w:val="5"/>
    </w:pPr>
    <w:rPr>
      <w:rFonts w:ascii="Times New Roman" w:hAnsi="Times New Roman" w:eastAsia="Times New Roman"/>
      <w:color w:val="000000" w:themeColor="text1"/>
      <w:sz w:val="26"/>
      <w:szCs w:val="26"/>
    </w:rPr>
  </w:style>
  <w:style w:type="paragraph" w:styleId="Style23" w:customStyle="1">
    <w:name w:val="[РусГидро] Текст"/>
    <w:basedOn w:val="ListParagraph"/>
    <w:qFormat/>
    <w:rsid w:val="00bf59a7"/>
    <w:pPr>
      <w:numPr>
        <w:ilvl w:val="6"/>
        <w:numId w:val="1"/>
      </w:numPr>
      <w:tabs>
        <w:tab w:val="clear" w:pos="708"/>
        <w:tab w:val="left" w:pos="1701" w:leader="none"/>
      </w:tabs>
      <w:spacing w:lineRule="auto" w:line="240" w:before="120" w:after="0"/>
      <w:ind w:left="1701" w:hanging="0"/>
      <w:contextualSpacing w:val="false"/>
      <w:jc w:val="both"/>
      <w:outlineLvl w:val="6"/>
    </w:pPr>
    <w:rPr>
      <w:rFonts w:ascii="Times New Roman" w:hAnsi="Times New Roman" w:eastAsia="Times New Roman"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f59a7"/>
    <w:pPr>
      <w:spacing w:before="0" w:after="200"/>
      <w:ind w:left="720" w:hanging="0"/>
      <w:contextualSpacing/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8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o.nalog.ru/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AlterOffice/3.4.0.9$Linux_X86_64 LibreOffice_project/b8daf9e823b1a5463a2f48435ddc2e8696e7d4fc</Application>
  <AppVersion>15.0000</AppVersion>
  <Pages>5</Pages>
  <Words>1101</Words>
  <Characters>7415</Characters>
  <CharactersWithSpaces>8463</CharactersWithSpaces>
  <Paragraphs>93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2023-01-10T06:38:00Z</dcterms:created>
  <dc:creator>Жизневская Анжела Захарьевна</dc:creator>
  <dc:description/>
  <dc:language>ru-RU</dc:language>
  <cp:lastModifiedBy>pugandv@corp.gidroogk.com</cp:lastModifiedBy>
  <dcterms:modified xsi:type="dcterms:W3CDTF">2026-05-21T10:29:41Z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