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 </w:t>
      </w:r>
      <w:r>
        <w:rPr>
          <w:rFonts w:eastAsia="Calibri"/>
          <w:b/>
          <w:caps/>
        </w:rPr>
        <w:t>ОКПД2 8</w:t>
      </w:r>
      <w:r>
        <w:rPr>
          <w:b/>
          <w:bCs/>
          <w:szCs w:val="28"/>
        </w:rPr>
        <w:t xml:space="preserve">6.90.1 «ОКАЗАНИЕ УСЛУГ ПО ИССЛЕДОВАНИЮ И КОНТОРОЛЮ КАЧЕСТВА ПИТЬЕВОЙ ВОДЫ В ЗДАНИИ </w:t>
      </w:r>
    </w:p>
    <w:p>
      <w:pPr>
        <w:pStyle w:val="Normal"/>
        <w:jc w:val="center"/>
        <w:rPr>
          <w:rFonts w:eastAsia="Calibri"/>
          <w:b/>
          <w:caps/>
        </w:rPr>
      </w:pPr>
      <w:r>
        <w:rPr>
          <w:b/>
          <w:bCs/>
          <w:szCs w:val="28"/>
        </w:rPr>
        <w:t>АО «ЛЕНГИДРОПРОЕКТ»</w:t>
      </w:r>
      <w:r>
        <w:rPr>
          <w:b/>
        </w:rPr>
        <w:t>»</w:t>
      </w:r>
      <w:r>
        <w:rPr>
          <w:rFonts w:eastAsia="Calibri"/>
          <w:b/>
          <w:caps/>
        </w:rPr>
        <w:t xml:space="preserve"> </w:t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>АО «Ленгидропроект» (далее – Заказчик) сообщает о проведении анализа технико-коммерческих предложений потенциальных поставщиков</w:t>
      </w:r>
      <w:r>
        <w:rPr>
          <w:b w:val="false"/>
          <w:bCs w:val="false"/>
        </w:rPr>
        <w:t xml:space="preserve"> «</w:t>
      </w:r>
      <w:r>
        <w:rPr>
          <w:rFonts w:eastAsia="Calibri"/>
          <w:b w:val="false"/>
          <w:bCs w:val="false"/>
          <w:sz w:val="26"/>
          <w:szCs w:val="26"/>
        </w:rPr>
        <w:t xml:space="preserve">ОКПД2 86.90.1 Оказание услуг по исследованию и контролю качества питьевой воды в здании </w:t>
      </w:r>
      <w:r>
        <w:rPr>
          <w:bCs/>
          <w:szCs w:val="28"/>
        </w:rPr>
        <w:t>АО «Ленгидропроект»</w:t>
      </w:r>
      <w:r>
        <w:rPr/>
        <w:t>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цену предложения в рублях (без учета НДС).</w:t>
      </w:r>
    </w:p>
    <w:p>
      <w:pPr>
        <w:pStyle w:val="Normal"/>
        <w:numPr>
          <w:ilvl w:val="0"/>
          <w:numId w:val="3"/>
        </w:numPr>
        <w:spacing w:before="60" w:after="60"/>
        <w:ind w:left="567" w:hanging="567"/>
        <w:jc w:val="both"/>
        <w:rPr/>
      </w:pPr>
      <w:r>
        <w:rPr/>
        <w:t xml:space="preserve">Срок подачи технико-коммерческих предложений: до </w:t>
      </w:r>
      <w:r>
        <w:rPr>
          <w:u w:val="single"/>
        </w:rPr>
        <w:t>10:00 28.05.2026 </w:t>
      </w:r>
      <w:r>
        <w:rPr/>
        <w:t xml:space="preserve">г. 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 w:tgtFrame="_blank">
        <w:r>
          <w:rPr>
            <w:rStyle w:val="Hyperlink"/>
            <w:rFonts w:ascii="Helvetica Neue;Helvetica;Arial;" w:hAnsi="Helvetica Neue;Helvetica;Arial;"/>
            <w:color w:val="FF5429"/>
            <w:sz w:val="21"/>
            <w:u w:val="none"/>
          </w:rPr>
          <w:t>StepanovaTV@lhp.ru</w:t>
        </w:r>
      </w:hyperlink>
      <w:r>
        <w:rPr/>
        <w:t>, рабочий телефон: +7 (921) 970-01-63.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bookmarkStart w:id="0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0"/>
    </w:p>
    <w:p>
      <w:pPr>
        <w:pStyle w:val="Normal"/>
        <w:spacing w:before="60" w:after="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1" w:name="_Toc141696704"/>
      <w:bookmarkStart w:id="2" w:name="_Toc137554584"/>
      <w:bookmarkStart w:id="3" w:name="_Toc139856287"/>
      <w:bookmarkStart w:id="4" w:name="_Toc141696704"/>
      <w:bookmarkStart w:id="5" w:name="_Toc137554584"/>
      <w:bookmarkStart w:id="6" w:name="_Toc139856287"/>
      <w:bookmarkEnd w:id="4"/>
      <w:bookmarkEnd w:id="5"/>
      <w:bookmarkEnd w:id="6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для проведения мониторинга цен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«ОКПД2 86.90.1 Оказание услуг по исследованию и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контролю качества питьевой воды в здании АО "Ленгидропроект"»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Heading1"/>
        <w:rPr>
          <w:caps/>
        </w:rPr>
      </w:pPr>
      <w:bookmarkStart w:id="7" w:name="_Toc54643694"/>
      <w:r>
        <w:rPr>
          <w:lang w:val="ru-RU"/>
        </w:rPr>
        <w:t xml:space="preserve">1. </w:t>
      </w:r>
      <w:r>
        <w:rPr/>
        <w:t>Общие сведения</w:t>
      </w:r>
      <w:bookmarkEnd w:id="7"/>
    </w:p>
    <w:p>
      <w:pPr>
        <w:pStyle w:val="Heading4"/>
        <w:tabs>
          <w:tab w:val="clear" w:pos="0"/>
        </w:tabs>
        <w:rPr/>
      </w:pPr>
      <w:bookmarkStart w:id="8" w:name="_Toc54643695"/>
      <w:bookmarkStart w:id="9" w:name="_Toc46743505"/>
      <w:r>
        <w:rPr>
          <w:lang w:val="ru-RU"/>
        </w:rPr>
        <w:t xml:space="preserve">1.1. </w:t>
      </w:r>
      <w:r>
        <w:rPr/>
        <w:t>Обозначения и сокращения</w:t>
      </w:r>
      <w:bookmarkEnd w:id="8"/>
      <w:bookmarkEnd w:id="9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3"/>
        <w:gridCol w:w="7799"/>
      </w:tblGrid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Style w:val="Style8"/>
                <w:b w:val="false"/>
                <w:i w:val="false"/>
                <w:i w:val="false"/>
                <w:sz w:val="24"/>
                <w:szCs w:val="24"/>
                <w:shd w:fill="auto" w:val="clear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  <w:t>ТТ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rPr>
                <w:b w:val="false"/>
              </w:rPr>
            </w:pPr>
            <w:r>
              <w:rPr>
                <w:b w:val="false"/>
              </w:rPr>
              <w:t>Общество,</w:t>
            </w:r>
          </w:p>
          <w:p>
            <w:pPr>
              <w:pStyle w:val="Heading4"/>
              <w:widowControl w:val="false"/>
              <w:spacing w:before="0" w:after="60"/>
              <w:rPr>
                <w:b w:val="false"/>
              </w:rPr>
            </w:pPr>
            <w:r>
              <w:rPr>
                <w:b w:val="false"/>
              </w:rPr>
              <w:t>Заказчик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spacing w:before="0" w:after="60"/>
              <w:rPr>
                <w:b w:val="false"/>
              </w:rPr>
            </w:pPr>
            <w:r>
              <w:rPr>
                <w:b w:val="false"/>
              </w:rPr>
              <w:t>Акционерное общество «Ленгидропроект» (АО «Ленгидропроект»)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spacing w:before="0" w:after="60"/>
              <w:rPr>
                <w:b w:val="false"/>
              </w:rPr>
            </w:pPr>
            <w:r>
              <w:rPr>
                <w:b w:val="false"/>
              </w:rPr>
              <w:t>Объект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0" w:leader="none"/>
              </w:tabs>
              <w:spacing w:before="0" w:after="0"/>
              <w:contextualSpacing/>
              <w:jc w:val="both"/>
              <w:textAlignment w:val="baseline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>Нежилое здание Общества, находящееся по адресу г. Санкт-Петербург, проспект Испытателей, дом 22, литера А, имеющее кадастровый номер 78:34:0413001:3043.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ХВС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 водоснабжение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ГВС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водоснабжение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ОМЧ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микробное число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ОКБ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колиморфные бактерии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coli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Кишечная палочка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показателей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Запах, привкус, цветность, мутность, водородный показатель (рН), хлориды, сульфаты, железо (Fe, суммарно), марганец (Mn), аммиак и ион аммония, нитриты (по NO2), нитраты (по NO3), жесткость общая, фториды, окисляемость перманганатная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ФГИС Росаккредитации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Федеральной службы по аккредитации</w:t>
            </w:r>
          </w:p>
        </w:tc>
      </w:tr>
      <w:tr>
        <w:trPr>
          <w:cantSplit w:val="true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СанПиН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правила и нормы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rPr>
          <w:lang w:val="ru-RU"/>
        </w:rPr>
      </w:pPr>
      <w:r>
        <w:rPr>
          <w:lang w:val="ru-RU"/>
        </w:rPr>
      </w:r>
    </w:p>
    <w:p>
      <w:pPr>
        <w:pStyle w:val="Heading4"/>
        <w:rPr/>
      </w:pPr>
      <w:bookmarkStart w:id="10" w:name="_Toc54643696"/>
      <w:bookmarkStart w:id="11" w:name="_Toc46743506"/>
      <w:r>
        <w:rPr>
          <w:lang w:val="ru-RU"/>
        </w:rPr>
        <w:t xml:space="preserve">1.2. </w:t>
      </w:r>
      <w:r>
        <w:rPr/>
        <w:t>Наименование закупаемой продукции</w:t>
      </w:r>
      <w:bookmarkEnd w:id="10"/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eastAsia="Calibri"/>
          <w:i/>
          <w:i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 86.90.1 Оказание услуг по исследованию и контролю качества питьевой воды в здании АО "Ленгидропроект"</w:t>
      </w:r>
    </w:p>
    <w:p>
      <w:pPr>
        <w:pStyle w:val="Heading4"/>
        <w:rPr>
          <w:lang w:val="ru-RU"/>
        </w:rPr>
      </w:pPr>
      <w:r>
        <w:rPr>
          <w:lang w:val="ru-RU"/>
        </w:rPr>
      </w:r>
    </w:p>
    <w:p>
      <w:pPr>
        <w:pStyle w:val="Heading4"/>
        <w:rPr/>
      </w:pPr>
      <w:bookmarkStart w:id="12" w:name="_Toc54643697"/>
      <w:bookmarkStart w:id="13" w:name="_Toc46743507"/>
      <w:r>
        <w:rPr>
          <w:lang w:val="ru-RU"/>
        </w:rPr>
        <w:t xml:space="preserve">1.3. </w:t>
      </w:r>
      <w:r>
        <w:rPr/>
        <w:t xml:space="preserve">Цель </w:t>
      </w:r>
      <w:bookmarkEnd w:id="13"/>
      <w:r>
        <w:rPr/>
        <w:t xml:space="preserve">оказания услуг </w:t>
      </w:r>
      <w:bookmarkEnd w:id="12"/>
    </w:p>
    <w:p>
      <w:pPr>
        <w:pStyle w:val="NoSpacing"/>
        <w:spacing w:lineRule="auto" w:line="240"/>
        <w:jc w:val="both"/>
        <w:rPr/>
      </w:pPr>
      <w:r>
        <w:rPr>
          <w:lang w:eastAsia="en-US"/>
        </w:rPr>
        <w:t xml:space="preserve">Целью оказания услуг является </w:t>
      </w:r>
      <w:r>
        <w:rPr/>
        <w:t>проведение ежеквартальных исследований</w:t>
      </w:r>
      <w:r>
        <w:rPr>
          <w:lang w:eastAsia="x-none"/>
        </w:rPr>
        <w:t xml:space="preserve"> и </w:t>
      </w:r>
      <w:bookmarkStart w:id="14" w:name="_Toc54643699"/>
      <w:r>
        <w:rPr/>
        <w:t xml:space="preserve">контроля качества питьевой воды на территории АО «Ленгидропроект» </w:t>
      </w:r>
      <w:r>
        <w:rPr>
          <w:bCs/>
        </w:rPr>
        <w:t xml:space="preserve">в соответствии с </w:t>
      </w:r>
      <w:r>
        <w:rPr/>
        <w:t>требованиями действующих СанПиН и для</w:t>
      </w:r>
      <w:r>
        <w:rPr>
          <w:color w:val="333333"/>
        </w:rPr>
        <w:t xml:space="preserve"> подтверждения соответствия</w:t>
      </w:r>
      <w:r>
        <w:rPr>
          <w:color w:val="000000"/>
        </w:rPr>
        <w:t xml:space="preserve"> питьевой воды</w:t>
      </w:r>
      <w:r>
        <w:rPr/>
        <w:t>, требованиям санитарных правил и норм «СанПиН 2.1.3684-21. Санитарные правила и нормы.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«СанПиН 1.2.3685-21. Санитарные нормы и правила. Гигиенические нормативы и требования к обеспечению безопасности и (или) безвредности для человека факторов среды обитания».</w:t>
      </w:r>
    </w:p>
    <w:p>
      <w:pPr>
        <w:pStyle w:val="NoSpacing"/>
        <w:spacing w:lineRule="auto" w:line="240"/>
        <w:jc w:val="both"/>
        <w:rPr>
          <w:color w:val="333333"/>
        </w:rPr>
      </w:pPr>
      <w:r>
        <w:rPr>
          <w:color w:val="333333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 1. Перечень объектов Заказчика</w:t>
      </w:r>
      <w:bookmarkEnd w:id="14"/>
    </w:p>
    <w:tbl>
      <w:tblPr>
        <w:tblW w:w="102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2"/>
        <w:gridCol w:w="4663"/>
        <w:gridCol w:w="4780"/>
      </w:tblGrid>
      <w:tr>
        <w:trPr>
          <w:trHeight w:val="641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754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здание Общества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197349, г. Санкт - Петербург,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пр. Испытателей, д.22, литера А  </w:t>
            </w:r>
          </w:p>
        </w:tc>
      </w:tr>
    </w:tbl>
    <w:p>
      <w:pPr>
        <w:pStyle w:val="Heading1"/>
        <w:spacing w:before="240" w:after="60"/>
        <w:rPr>
          <w:caps/>
        </w:rPr>
      </w:pPr>
      <w:bookmarkStart w:id="15" w:name="_Toc54643702"/>
      <w:bookmarkStart w:id="16" w:name="_Toc51339693"/>
      <w:r>
        <w:rPr>
          <w:lang w:val="ru-RU"/>
        </w:rPr>
        <w:t xml:space="preserve">2. </w:t>
      </w:r>
      <w:r>
        <w:rPr/>
        <w:t>Требования к продукции</w:t>
      </w:r>
      <w:bookmarkEnd w:id="15"/>
      <w:bookmarkEnd w:id="16"/>
      <w:r>
        <w:rPr/>
        <w:t xml:space="preserve"> (услугам)</w:t>
      </w:r>
    </w:p>
    <w:p>
      <w:pPr>
        <w:pStyle w:val="Heading4"/>
        <w:rPr>
          <w:lang w:val="ru-RU"/>
        </w:rPr>
      </w:pPr>
      <w:bookmarkStart w:id="17" w:name="_Toc54643703"/>
      <w:r>
        <w:rPr>
          <w:lang w:val="ru-RU"/>
        </w:rPr>
        <w:t xml:space="preserve">2.1.  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rPr>
          <w:lang w:val="ru-RU"/>
        </w:rPr>
      </w:pPr>
      <w:bookmarkStart w:id="18" w:name="_Toc54643704"/>
      <w:r>
        <w:rPr>
          <w:lang w:val="ru-RU"/>
        </w:rPr>
        <w:t xml:space="preserve">2.1.1. </w:t>
      </w:r>
      <w:r>
        <w:rPr/>
        <w:t>Требования к перечню и объему услуг</w:t>
      </w:r>
      <w:bookmarkEnd w:id="18"/>
      <w:r>
        <w:rPr>
          <w:lang w:val="ru-RU"/>
        </w:rPr>
        <w:t xml:space="preserve">: </w:t>
      </w:r>
    </w:p>
    <w:p>
      <w:pPr>
        <w:pStyle w:val="Heading1"/>
        <w:rPr>
          <w:lang w:val="ru-RU"/>
        </w:rPr>
      </w:pPr>
      <w:bookmarkStart w:id="19" w:name="_Toc54643705"/>
      <w:bookmarkStart w:id="20" w:name="_Toc51339695"/>
      <w:r>
        <w:rPr/>
        <w:t xml:space="preserve">Таблица 2. Перечень </w:t>
      </w:r>
      <w:bookmarkEnd w:id="20"/>
      <w:r>
        <w:rPr/>
        <w:t>и объем оказываемых услуг</w:t>
      </w:r>
      <w:bookmarkEnd w:id="19"/>
      <w:r>
        <w:rPr>
          <w:lang w:val="ru-RU"/>
        </w:rPr>
        <w:t xml:space="preserve">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4"/>
        <w:gridCol w:w="5592"/>
        <w:gridCol w:w="1114"/>
        <w:gridCol w:w="1177"/>
        <w:gridCol w:w="1769"/>
      </w:tblGrid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услуг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квартал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 за период действия договора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404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Исследование питьевой воды скважин, колодцев, водопровода (15 показателей)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</w:tr>
      <w:tr>
        <w:trPr>
          <w:trHeight w:val="355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Исследования на колифаги (с обогащением)</w:t>
            </w: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</w:tr>
      <w:tr>
        <w:trPr>
          <w:trHeight w:val="551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Краткий химический анализ горячей воды (запах, цветность, мутность, водородный показатель (рН), железо общее)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>
        <w:trPr>
          <w:trHeight w:val="551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Отбор проб воды горячего водоснабжения (до 5 проб на объекте)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Отбор проб воды холодного водоснабжения (до 5 проб на объекте)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Исследование питьевой воды (мембранный метод) ОМЧ, ОКБ,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coli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</w:tr>
      <w:tr>
        <w:trPr>
          <w:trHeight w:val="551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Микробиологический показатель – Кишечные энтерококки/Энтерококки (фекальные стрептококки)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</w:tr>
      <w:tr>
        <w:trPr>
          <w:trHeight w:val="551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</w:tr>
      <w:tr>
        <w:trPr>
          <w:trHeight w:val="551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</w:tr>
    </w:tbl>
    <w:p>
      <w:pPr>
        <w:pStyle w:val="Heading3"/>
        <w:spacing w:before="240" w:after="60"/>
        <w:rPr/>
      </w:pPr>
      <w:r>
        <w:rPr/>
        <w:t>Таблица 3. Период и место отбора проб</w:t>
      </w:r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6"/>
        <w:gridCol w:w="1131"/>
        <w:gridCol w:w="2410"/>
        <w:gridCol w:w="993"/>
        <w:gridCol w:w="1138"/>
        <w:gridCol w:w="2689"/>
        <w:gridCol w:w="1020"/>
      </w:tblGrid>
      <w:tr>
        <w:trPr>
          <w:trHeight w:val="565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Период отбора (квартал)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ХВС / Место отбора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Наименование</w:t>
              <w:br/>
              <w:t>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Кол-во исследований в квартал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ГВС / Место отбора проб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Наименование</w:t>
              <w:br/>
              <w:t>услуги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Кол-во исследований в квартал</w:t>
            </w:r>
          </w:p>
        </w:tc>
      </w:tr>
      <w:tr>
        <w:trPr>
          <w:trHeight w:val="491" w:hRule="atLeast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1 кв. 2026г.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jc w:val="center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Водомерный узел,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Столовая,</w:t>
            </w:r>
          </w:p>
          <w:p>
            <w:pPr>
              <w:pStyle w:val="NoSpacing"/>
              <w:widowControl w:val="false"/>
              <w:spacing w:lineRule="auto" w:line="240"/>
              <w:jc w:val="center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Мужской с/узел 18 эт.,</w:t>
            </w:r>
          </w:p>
          <w:p>
            <w:pPr>
              <w:pStyle w:val="NoSpacing"/>
              <w:widowControl w:val="false"/>
              <w:spacing w:lineRule="auto" w:line="240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Женский с/узел 5 эт.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ind w:right="-60" w:hanging="0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Исследование питьевой воды скважин, колодцев, водопровода (15 показателей)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Столовая,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Мужской </w:t>
            </w:r>
            <w:r>
              <w:rPr>
                <w:sz w:val="20"/>
                <w:szCs w:val="20"/>
                <w:shd w:fill="FFFFFF" w:val="clear"/>
              </w:rPr>
              <w:t>с/узел 10</w:t>
            </w: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 эт.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Краткий химический анализ горячей воды (запах, цветность, мутность, водородный показатель (рН), железо общее)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653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(без обогащения)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(с обогащением)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491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холодного водоснабже-ния (до 5 проб на объекте)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горячего водоснабжения (до 5 проб на объекте)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</w:tc>
      </w:tr>
      <w:tr>
        <w:trPr>
          <w:trHeight w:val="531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491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– Кишечные энтерококки/ Энтерококки (фекальные стрептококки)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- Кишечные энтерококки/ Энтерококки (фекальные стрептококки)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491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 кол-во исследований 1 квартал 2026г.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25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 кол-во исследований 1 квартал 2026г.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13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2 кв. 2026г.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eastAsia="en-US"/>
              </w:rPr>
              <w:t>Водомерный узел,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eastAsia="en-US"/>
              </w:rPr>
              <w:t>Столовая,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eastAsia="en-US"/>
              </w:rPr>
              <w:t>Мужской с/узел 15 эт,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  <w:lang w:eastAsia="en-US"/>
              </w:rPr>
              <w:t>Женский с/узел 5 эт.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Исследование питьевой воды скважин, колодцев, водопровода (15 показателей)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Столовая,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Женский </w:t>
            </w:r>
            <w:r>
              <w:rPr>
                <w:sz w:val="20"/>
                <w:szCs w:val="20"/>
                <w:shd w:fill="FFFFFF" w:val="clear"/>
              </w:rPr>
              <w:t>с/узел 6</w:t>
            </w: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 эт.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Краткий химический анализ горячей воды (запах, цветность, мутность, водородный показатель (рН), железо общее)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(без обогащения)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(с обогащением)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холодного водоснабже-ния (до 5 проб на объекте)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горячего водоснабжения (до 5 проб на объекте)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– Кишечные энтерококки/ Энтерококки (фекальные стрептококки)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- Кишечные энтерококки/ Энтерококки (фекальные стрептококки)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 кол-во исследований 2 квартал 2026г.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 кол-во исследований 2 квартал 2026г.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13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3 кв. 2026г.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Водомерный узел,</w:t>
            </w:r>
          </w:p>
          <w:p>
            <w:pPr>
              <w:pStyle w:val="NoSpacing"/>
              <w:widowControl w:val="false"/>
              <w:spacing w:lineRule="auto" w:line="240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Столовая,</w:t>
            </w:r>
          </w:p>
          <w:p>
            <w:pPr>
              <w:pStyle w:val="NoSpacing"/>
              <w:widowControl w:val="false"/>
              <w:spacing w:lineRule="auto" w:line="240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Мужской с/узел 3 эт.,</w:t>
            </w:r>
          </w:p>
          <w:p>
            <w:pPr>
              <w:pStyle w:val="NoSpacing"/>
              <w:widowControl w:val="false"/>
              <w:spacing w:lineRule="auto" w:line="240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Женский с/узел 14, эт.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скважин, колодцев, водопровода 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(15 показателей)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Столовая,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Мужской </w:t>
            </w:r>
            <w:r>
              <w:rPr>
                <w:sz w:val="20"/>
                <w:szCs w:val="20"/>
                <w:shd w:fill="FFFFFF" w:val="clear"/>
              </w:rPr>
              <w:t>с/узел 11</w:t>
            </w: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 эт.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Краткий химический анализ горячей воды (запах, цветность, мутность, водородный показатель (рН), железо общее)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(без обогащения)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(с обогащением)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холодного водоснабже-ния (до 5 проб на объекте)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горячего водоснабжения (до 5 проб на объекте)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– Кишечные энтерококки/ Энтерококки (фекальные стрептококки)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- Кишечные энтерококки/ Энтерококки (фекальные стрептококки)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1401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кол-во исследований 3 квартал 2026г.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кол-во исследований 3 квартал 2026г.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13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4 кв. 2026г.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40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Водомерный узел, Столовая, 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Мужской с/узел 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на 1 эт., Женский с/узел 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на 20 эт.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Исследование питьевой воды скважин, колодцев, водопровода (15 показателей)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Столовая,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Мужской </w:t>
            </w:r>
            <w:r>
              <w:rPr>
                <w:sz w:val="20"/>
                <w:szCs w:val="20"/>
                <w:shd w:fill="FFFFFF" w:val="clear"/>
              </w:rPr>
              <w:t>с/узел 2</w:t>
            </w:r>
            <w:r>
              <w:rPr>
                <w:rFonts w:eastAsia="Calibri"/>
                <w:sz w:val="20"/>
                <w:szCs w:val="20"/>
                <w:shd w:fill="FFFFFF" w:val="clear"/>
              </w:rPr>
              <w:t xml:space="preserve"> эт.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Краткий химический анализ горячей воды (запах, цветность, мутность, водородный показатель (рН), железо общее)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(без обогащения)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Исследования на колифаги (с обогащением)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холодного водоснабже- ния (до 5 проб на объекте)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Отбор проб воды горячего водоснабжения (до 5 проб на объекте)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 xml:space="preserve">Исследование питьевой воды (мембранный метод) ОМЧ, ОКБ, </w:t>
            </w:r>
            <w:r>
              <w:rPr>
                <w:sz w:val="20"/>
                <w:szCs w:val="20"/>
                <w:shd w:fill="FFFFFF" w:val="clear"/>
                <w:lang w:val="en-US"/>
              </w:rPr>
              <w:t>E</w:t>
            </w:r>
            <w:r>
              <w:rPr>
                <w:sz w:val="20"/>
                <w:szCs w:val="20"/>
                <w:shd w:fill="FFFFFF" w:val="clear"/>
              </w:rPr>
              <w:t>.</w:t>
            </w:r>
            <w:r>
              <w:rPr>
                <w:sz w:val="20"/>
                <w:szCs w:val="20"/>
                <w:shd w:fill="FFFFFF" w:val="clear"/>
                <w:lang w:val="en-US"/>
              </w:rPr>
              <w:t>coli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– Кишечные энтерококки/ Энтерококки (фекальные стрептококки)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Микробиологический показатель - Кишечные энтерококки/ Энтерококки (фекальные стрептококки)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4</w:t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 кол-во исследований 4 квартал 2026г.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25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Итого  кол-во исследований 4  квартал 2026г.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13</w:t>
            </w:r>
          </w:p>
        </w:tc>
      </w:tr>
      <w:tr>
        <w:trPr>
          <w:trHeight w:val="56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Всего количество исследований ХВС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в течение срока действия Договора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Всего количество исследований ГВС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в течение срока действия Договора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52</w:t>
            </w:r>
          </w:p>
        </w:tc>
      </w:tr>
      <w:tr>
        <w:trPr>
          <w:trHeight w:val="560" w:hRule="atLeast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eastAsia="Calibri"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sz w:val="20"/>
                <w:szCs w:val="20"/>
                <w:shd w:fill="FFFFFF" w:val="clear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Общее количество исследований</w:t>
            </w:r>
          </w:p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b/>
                <w:sz w:val="20"/>
                <w:szCs w:val="20"/>
                <w:shd w:fill="FFFFFF" w:val="clear"/>
              </w:rPr>
              <w:t>в течение срока действия Договора</w:t>
            </w:r>
          </w:p>
        </w:tc>
        <w:tc>
          <w:tcPr>
            <w:tcW w:w="5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rFonts w:eastAsia="Calibri"/>
                <w:b/>
                <w:sz w:val="20"/>
                <w:szCs w:val="20"/>
                <w:shd w:fill="FFFFFF" w:val="clear"/>
              </w:rPr>
              <w:t>152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Heading3"/>
        <w:rPr/>
      </w:pPr>
      <w:r>
        <w:rPr>
          <w:lang w:val="ru-RU"/>
        </w:rPr>
        <w:t xml:space="preserve">2.1.2. </w:t>
      </w:r>
      <w:r>
        <w:rPr/>
        <w:t xml:space="preserve">Требования к срокам оказания услуг </w:t>
      </w:r>
    </w:p>
    <w:p>
      <w:pPr>
        <w:pStyle w:val="Heading1"/>
        <w:rPr>
          <w:lang w:val="ru-RU"/>
        </w:rPr>
      </w:pPr>
      <w:bookmarkStart w:id="21" w:name="_Toc54643707"/>
      <w:bookmarkStart w:id="22" w:name="_Toc51339697"/>
      <w:bookmarkStart w:id="23" w:name="_Toc50125127"/>
      <w:r>
        <w:rPr/>
        <w:t xml:space="preserve">Таблица </w:t>
      </w:r>
      <w:r>
        <w:rPr>
          <w:lang w:val="ru-RU"/>
        </w:rPr>
        <w:t>4</w:t>
      </w:r>
      <w:r>
        <w:rPr/>
        <w:t xml:space="preserve">. </w:t>
      </w:r>
      <w:bookmarkStart w:id="24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22"/>
      <w:bookmarkEnd w:id="23"/>
      <w:bookmarkEnd w:id="24"/>
      <w:r>
        <w:rPr>
          <w:lang w:val="ru-RU"/>
        </w:rPr>
        <w:t>оказания услуг</w:t>
      </w:r>
      <w:bookmarkEnd w:id="21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8"/>
        <w:gridCol w:w="4286"/>
        <w:gridCol w:w="2289"/>
        <w:gridCol w:w="2812"/>
      </w:tblGrid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началу срока оказания услуг.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окончанию срока оказания услуг.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577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срок оказания услуг по исследованию и контролю качества питьевой воды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01.01.2027г.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 31.12.2027г.</w:t>
            </w:r>
          </w:p>
        </w:tc>
      </w:tr>
      <w:tr>
        <w:trPr/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Срок </w:t>
            </w:r>
            <w:r>
              <w:rPr>
                <w:sz w:val="20"/>
                <w:szCs w:val="20"/>
              </w:rPr>
              <w:t xml:space="preserve">оказания услуг по </w:t>
            </w:r>
            <w:r>
              <w:rPr>
                <w:bCs/>
                <w:sz w:val="20"/>
                <w:szCs w:val="20"/>
              </w:rPr>
              <w:t>исследованию и контролю качества питьевой воды в рамках соответствующего квартала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отбора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календарных  дней с даты отбора проб воды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footerReference w:type="default" r:id="rId6"/>
          <w:type w:val="nextPage"/>
          <w:pgSz w:w="11906" w:h="16838"/>
          <w:pgMar w:left="1134" w:right="566" w:gutter="0" w:header="680" w:top="1134" w:footer="737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rPr/>
      </w:pPr>
      <w:bookmarkStart w:id="25" w:name="_Toc54643709"/>
      <w:bookmarkStart w:id="26" w:name="_Toc51339698"/>
      <w:bookmarkStart w:id="27" w:name="_Toc54643708"/>
      <w:bookmarkStart w:id="28" w:name="_Toc46743511"/>
      <w:r>
        <w:rPr>
          <w:lang w:val="ru-RU"/>
        </w:rPr>
        <w:t xml:space="preserve">2.2. </w:t>
      </w:r>
      <w:r>
        <w:rPr/>
        <w:t xml:space="preserve">Требования к </w:t>
      </w:r>
      <w:bookmarkEnd w:id="28"/>
      <w:r>
        <w:rPr/>
        <w:t>качеству услуг</w:t>
      </w:r>
      <w:bookmarkEnd w:id="27"/>
    </w:p>
    <w:p>
      <w:pPr>
        <w:pStyle w:val="Heading1"/>
        <w:rPr/>
      </w:pPr>
      <w:r>
        <w:rPr/>
        <w:t>Таблица </w:t>
      </w:r>
      <w:r>
        <w:rPr>
          <w:lang w:val="ru-RU"/>
        </w:rPr>
        <w:t>5</w:t>
      </w:r>
      <w:r>
        <w:rPr/>
        <w:t xml:space="preserve">. Требования к </w:t>
      </w:r>
      <w:bookmarkEnd w:id="26"/>
      <w:r>
        <w:rPr>
          <w:lang w:val="ru-RU"/>
        </w:rPr>
        <w:t>качеству услуг</w:t>
      </w:r>
      <w:bookmarkEnd w:id="25"/>
      <w:r>
        <w:rPr/>
        <w:t xml:space="preserve"> 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>ОКПД 2 86.90.1 Оказание услуг по исследованию и контролю качества питьевой воды в здании АО "Ленгидропроект"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9"/>
        <w:gridCol w:w="1743"/>
        <w:gridCol w:w="80"/>
        <w:gridCol w:w="7313"/>
        <w:gridCol w:w="2391"/>
        <w:gridCol w:w="2580"/>
      </w:tblGrid>
      <w:tr>
        <w:trPr/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29"/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b w:val="false"/>
                <w:bCs w:val="false"/>
                <w:kern w:val="0"/>
                <w:sz w:val="26"/>
                <w:szCs w:val="26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80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Состав (перечень) оказываемых услуг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bookmarkStart w:id="30" w:name="_Toc126141403"/>
            <w:r>
              <w:rPr>
                <w:sz w:val="20"/>
                <w:szCs w:val="20"/>
              </w:rPr>
              <w:t>В соответствии с Таблицей 2 ТТ «Перечень и объем оказываемых услуг»</w:t>
            </w:r>
            <w:bookmarkEnd w:id="30"/>
            <w:r>
              <w:rPr>
                <w:sz w:val="20"/>
                <w:szCs w:val="20"/>
              </w:rPr>
              <w:t>, места отбора должны соответствовать таблице 3 ТТ.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оказанию услуг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70" w:leader="none"/>
              </w:tabs>
              <w:spacing w:lineRule="atLeast" w:line="0"/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оказываются в помещениях здания Общества по адресу Санкт-Петербург, пр. Испытателей, д. 22.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270" w:leader="none"/>
              </w:tabs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Периодичность оказания услуг: 1 (один) раз в квартал в течение периода оказания услуг, по заранее согласованному с Заказчиком графику и заявке.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270" w:leader="none"/>
              </w:tabs>
              <w:ind w:left="-14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срок реагирования на заявку (срок начала оказания услуг) не позднее 10 (десяти) рабочих дней с момента направления Исполнителю заявки на оказание услуг.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270" w:leader="none"/>
              </w:tabs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Продолжительность проведения 1 единицы услуги (отбор проб) не должна превышать 1 (одного) рабочего дня от даты начала оказания услуг.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0" w:leader="none"/>
              </w:tabs>
              <w:spacing w:lineRule="atLeast" w:line="0"/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проб Исполнитель осуществляет в присутствии представителя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0" w:leader="none"/>
              </w:tabs>
              <w:spacing w:lineRule="atLeast" w:line="0"/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Отобранные пробы доставляются в лабораторию Исполнителем самостоятельно.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0" w:leader="none"/>
              </w:tabs>
              <w:spacing w:lineRule="atLeast" w:line="0"/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оказывает услуги с использованием своих расходных материалов, МТР и за свой счет.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2857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Особые требования к оказанию услуг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70" w:leader="none"/>
              </w:tabs>
              <w:ind w:left="-14" w:firstLine="14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Подготовку и хранение МТР на территории Заказчика производить в местах, согласованных Заказчиком и доставлять к месту оказания услуг подготовленными к применению.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70" w:leader="none"/>
              </w:tabs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оказывает услуги в строго согласованные с Заказчиком сроки, качество оказываемых услуг должно удовлетворять ТТ Заказчика.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70" w:leader="none"/>
              </w:tabs>
              <w:ind w:left="-14"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процессе оказания услуг Исполнитель своими силами обеспечивает вынос/вывоз с территории Объекта образовавшийся в ходе оказания услуг мусор (упаковочная тара, отработанный материал, мелкий мусор и т.п.).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70" w:leader="none"/>
              </w:tabs>
              <w:ind w:left="-14" w:firstLine="14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Услуги и материалы, явно неуказанные в настоящих ТТ, но объективно или технологически необходимые для полного («под ключ») и качественного исполнения договора оказываются и поставляются Исполнителем без дополнительной оплаты и подразумеваются включёнными в цену договора.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270" w:leader="none"/>
              </w:tabs>
              <w:ind w:left="-14" w:firstLine="14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Экспертное заключение, оформляемое Исполнителем по результатам исследований, должно быть подписано руководителем органа инспекции (аккредитованный Федеральной службой по аккредитации (Росаккредитация)) (далее - руководитель органа инспекции) и направлено (загружено) Исполнителем во ФГИС Росаккредитации.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0" w:leader="none"/>
              </w:tabs>
              <w:ind w:left="-14" w:hanging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До загрузки экспертного заключения во ФГИС Росаккредитации Исполнитель направляет экспертное заключение Заказчику в течение 2 календарных дней с момента подписания экспертного заключения руководителем органа инспекции.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  <w:lang w:val="x-none"/>
              </w:rPr>
            </w:pPr>
            <w:r>
              <w:rPr>
                <w:b/>
                <w:sz w:val="20"/>
                <w:szCs w:val="20"/>
                <w:lang w:val="x-none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оказания услуг</w:t>
            </w:r>
          </w:p>
        </w:tc>
        <w:tc>
          <w:tcPr>
            <w:tcW w:w="7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оказываются в соответствии с действующими правилами и нормативными документами по отбору проб, лабораторным исследованиям и проведению экспертиз с применением современных технологий, с учетом методических рекомендаций. 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имеет право оказывать услуги самостоятельно или с привлечением лаборатории/испытательного центра.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Специальные реактивы и приборы, применяемые при оказании услуг, должны быть использованы в соответствии с технологией оказания услуг и иметь сертификат соответствия.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иметь действующий аттестат аккредитации испытательной лаборатории (центра) либо иметь договор с организацией, имеющей действующий аттестат аккредитации испытательной лаборатории (центра), выданный Федеральной Службой по Аккредитации (копии подтверждающих документов предоставляются Исполнителем перед началом оказания услуг)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60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iCs/>
                <w:sz w:val="20"/>
                <w:szCs w:val="20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248" w:leader="none"/>
              </w:tabs>
              <w:spacing w:before="60" w:after="0"/>
              <w:ind w:left="248" w:hanging="248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Услуги, осуществляемые на территории Заказчика, оказываются в рабочее время, установленное для АО «Ленгидропроект»: понедельник-четверг с 8 ч. 30 мин. до 17 ч. 15 мин, пятница с 8 ч.30 мин. до 16 ч. 00 мин, в соответствии с внутриобъектовым режимом.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>
          <w:trHeight w:val="978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248" w:leader="none"/>
              </w:tabs>
              <w:spacing w:before="60" w:after="0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начала услуг, для оформления пропусков на территорию Заказчика, Исполнитель должен представить Заказчику список персонала, который будет задействован на объекте, с указанием фамилии, имени, отчества и паспортных данных каждого работника по форме Приложения №1 к ТТ.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>
          <w:trHeight w:val="1723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iCs/>
                <w:sz w:val="20"/>
                <w:szCs w:val="20"/>
              </w:rPr>
              <w:t>Иные организационно-технические требования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248" w:leader="none"/>
              </w:tabs>
              <w:spacing w:before="60" w:after="0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обеспечивать возможность контроля и надзора за ходом оказания услуг, качеством используемых материалов и оборудования, в том числе беспрепятственно допускать представителей Заказчика к месту оказания услуг, предоставлять по их требованию устные отчеты о ходе оказания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оказываемых услуг, применяемого метода и оборудования должно удовлетворять требованиям действующего законодательства РФ, с учетом всех изменений и дополнений.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безопасности оказываемых услуг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248" w:leader="none"/>
              </w:tabs>
              <w:spacing w:before="60" w:after="0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оказывать услуги с соблюдением требований пожарной безопасности, требований охраны труда и применении специальных повышенных мер безопасности работ в условиях действующего учреждения, требований охраны окружающей среды и санитарно-гигиенического режима на территории, где оказываются услуги;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248" w:leader="none"/>
              </w:tabs>
              <w:spacing w:before="60" w:after="0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Всю ответственность за соблюдением норм и требований по охране труда и пожарной безопасности несет Исполнитель;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248" w:leader="none"/>
              </w:tabs>
              <w:spacing w:before="60" w:after="0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должен обеспечить безопасность жизни, здоровья своих работников, работников Заказчика и третьих лиц, а также сохранность имущества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несет ответственность: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tabs>
                <w:tab w:val="clear" w:pos="708"/>
                <w:tab w:val="left" w:pos="248" w:leader="none"/>
              </w:tabs>
              <w:spacing w:before="60" w:after="0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несчастные случаи происшедшие с обслуживающим персоналом Исполнителя в ходе оказания услуг, если эти случаи явились следствием невыполнения последним требований, предусмотренных нормативными документами;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начала оказания услуг Исполнитель обязан согласовать с Заказчиком порядок предоставления услуг. 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Ущерб, нанесенный по вине Исполнителя имуществу Заказчика при оказании услуг по Договору, Исполнитель возмещает за свой счет и несет ответственность в соответствии с законодательством Российской Федерации. 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должны оказываться Исполнителем без нарушения режима работы сотрудников Общества.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610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Требования к оборудованию и материалам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Инвентарь, технологическое оборудование и материалы, подлежащие обязательной сертификации, должны иметь сертификат соответствия. 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максимально экономно использует электроэнергию, воду и другие ресурсы, предоставляемые ему Заказчиком.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320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Результат оказания услуг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numPr>
                <w:ilvl w:val="0"/>
                <w:numId w:val="19"/>
              </w:numPr>
              <w:spacing w:lineRule="auto" w:line="240"/>
              <w:ind w:left="24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оказания услуг является экспертное заключение и протоколы лабораторных исследований, которые содержат следующую информацию:</w:t>
            </w:r>
          </w:p>
          <w:p>
            <w:pPr>
              <w:pStyle w:val="NoSpacing"/>
              <w:widowControl w:val="false"/>
              <w:numPr>
                <w:ilvl w:val="0"/>
                <w:numId w:val="20"/>
              </w:numPr>
              <w:spacing w:lineRule="auto" w:line="240"/>
              <w:ind w:left="248" w:hanging="28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об организации, лаборатории проводящей производственный контроль, с приложением копий документов, подтверждающих ее соответствие установленным требованиям;</w:t>
            </w:r>
          </w:p>
          <w:p>
            <w:pPr>
              <w:pStyle w:val="NoSpacing"/>
              <w:widowControl w:val="false"/>
              <w:numPr>
                <w:ilvl w:val="0"/>
                <w:numId w:val="20"/>
              </w:numPr>
              <w:spacing w:lineRule="auto" w:line="240"/>
              <w:ind w:left="248" w:hanging="28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мест/точек исследований, где проводились отборы, с указанием фактических значений и допустимых норм;</w:t>
            </w:r>
          </w:p>
          <w:p>
            <w:pPr>
              <w:pStyle w:val="Normal"/>
              <w:widowControl w:val="false"/>
              <w:numPr>
                <w:ilvl w:val="0"/>
                <w:numId w:val="20"/>
              </w:numPr>
              <w:ind w:left="248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 о соответствии/несоответствии допустимым требованиям.</w:t>
            </w:r>
          </w:p>
          <w:p>
            <w:pPr>
              <w:pStyle w:val="NoSpacing"/>
              <w:widowControl w:val="false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 предоставляет указанные документы в 1 (одном) экземпляре на бумажном носителе. </w:t>
            </w:r>
          </w:p>
          <w:p>
            <w:pPr>
              <w:pStyle w:val="NoSpacing"/>
              <w:widowControl w:val="false"/>
              <w:numPr>
                <w:ilvl w:val="1"/>
                <w:numId w:val="19"/>
              </w:numPr>
              <w:spacing w:lineRule="auto" w:line="240"/>
              <w:ind w:left="0" w:firstLine="106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Экспертное заключение, подписанное руководителем органа инспекции и направленное (загруженное) Исполнителем во ФГИС Росаккредитации.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>
          <w:trHeight w:val="606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  <w:t xml:space="preserve">    </w:t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pacing w:before="60" w:after="60"/>
              <w:ind w:left="1214" w:hanging="1199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Порядок приемки оказанных услуг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ежеквартально по окончании оказания услуг представляет Заказчику подписанный Акт оказанных услуг в 2-х экземплярах, с приложением протоколов лабораторных исследований и экспертных заключения по результатам лабораторных исследований.</w:t>
            </w:r>
          </w:p>
          <w:p>
            <w:pPr>
              <w:pStyle w:val="Consplusnormal11"/>
              <w:widowControl w:val="false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мотивированном отказе от подписания Акта оказанных услуг Заказчиком указывается перечень необходимых доработок и сроки их выполнения.</w:t>
            </w:r>
          </w:p>
          <w:p>
            <w:pPr>
              <w:pStyle w:val="Consplusnormal11"/>
              <w:widowControl w:val="false"/>
              <w:spacing w:beforeAutospacing="0" w:before="0" w:afterAutospacing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3566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/>
            </w:pPr>
            <w:r>
              <w:rPr/>
              <w:t>3.1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sz w:val="20"/>
                <w:szCs w:val="20"/>
              </w:rPr>
              <w:t>Соответствие стандартам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Оказать услуги, в соответствии с требованиями следующих нормативных документов: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hd w:val="clear" w:color="auto" w:fill="FFFFFF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«СанПиН 2.1.3684-21. Санитарные правила и нормы.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hd w:val="clear" w:color="auto" w:fill="FFFFFF"/>
              <w:ind w:left="248" w:hanging="2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«СанПиН 1.2.3685-21. Санитарные правила и нормы. 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своевременно информирует Заказчика о введении новых норм и правил, инструкций, связанных с оказанием услуг.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и его обязательствам, влияющим на исполнение договора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462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/>
            </w:pPr>
            <w:r>
              <w:rPr/>
              <w:t>4.1.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Договорные условия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 оказании услуг предоставляется ежеквартально. Приложением к акту является</w:t>
            </w:r>
            <w:r>
              <w:rPr>
                <w:bCs/>
                <w:sz w:val="20"/>
                <w:szCs w:val="20"/>
              </w:rPr>
              <w:t xml:space="preserve"> пакет отчетной документации по результатам исследований на бумажном носителе (в 1-м экземпляре), включающий:</w:t>
            </w:r>
          </w:p>
          <w:p>
            <w:pPr>
              <w:pStyle w:val="NoSpacing"/>
              <w:widowControl w:val="false"/>
              <w:numPr>
                <w:ilvl w:val="0"/>
                <w:numId w:val="18"/>
              </w:numPr>
              <w:spacing w:lineRule="auto" w:line="276"/>
              <w:ind w:left="247" w:hanging="24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организации, лаборатории проводящей производственный контроль, с приложением копий документов, подтверждающих ее соответствие установленным требованиям.</w:t>
            </w:r>
          </w:p>
          <w:p>
            <w:pPr>
              <w:pStyle w:val="NoSpacing"/>
              <w:widowControl w:val="false"/>
              <w:numPr>
                <w:ilvl w:val="0"/>
                <w:numId w:val="18"/>
              </w:numPr>
              <w:spacing w:lineRule="auto" w:line="276"/>
              <w:ind w:left="247" w:hanging="24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мест/точек исследований, где проводились отборы, с указанием фактических значений и допустимых норм, а также выводы о соответствии/несоответствии допустимым требованиям, оформленные Протоколы лабораторных исследований и экспертные заключения по результатам лабораторных исследований.</w:t>
            </w:r>
          </w:p>
          <w:p>
            <w:pPr>
              <w:pStyle w:val="Consplusnormalmrcssattr"/>
              <w:widowControl w:val="false"/>
              <w:spacing w:lineRule="auto" w:line="276" w:beforeAutospacing="0" w:before="0" w:afterAutospacing="0" w:after="0"/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мотивированном отказе от подписания Акта оказанных услуг Заказчиком указываются перечень необходимых доработок и сроки их выполнения.</w:t>
            </w:r>
          </w:p>
          <w:p>
            <w:pPr>
              <w:pStyle w:val="Consplusnormalmrcssattr"/>
              <w:widowControl w:val="false"/>
              <w:spacing w:lineRule="auto" w:line="276" w:beforeAutospacing="0" w:before="0" w:afterAutospacing="0" w:after="0"/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Датой приемки оказанных услуг считается дата подписания Акта оказанных услуг Заказчиком.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заказанные Заказчиком услуги не принимаются и не оплачиваются Заказчиком.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договора является фиксированной на весь срок действия договора.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/>
            </w:pPr>
            <w:r>
              <w:rPr/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9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>
          <w:trHeight w:val="732" w:hRule="atLeast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/>
            </w:pPr>
            <w:r>
              <w:rPr/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  <w:sz w:val="20"/>
                <w:szCs w:val="20"/>
                <w:lang w:val="ru-RU"/>
              </w:rPr>
            </w:pPr>
            <w:r>
              <w:rPr>
                <w:b w:val="false"/>
                <w:sz w:val="20"/>
                <w:szCs w:val="20"/>
              </w:rPr>
              <w:t>Привлечение сои</w:t>
            </w:r>
            <w:r>
              <w:rPr>
                <w:b w:val="false"/>
                <w:sz w:val="20"/>
                <w:szCs w:val="20"/>
                <w:lang w:val="ru-RU"/>
              </w:rPr>
              <w:t>сполнителей</w:t>
            </w:r>
            <w:r>
              <w:rPr>
                <w:b w:val="false"/>
                <w:sz w:val="20"/>
                <w:szCs w:val="20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соисполнителей для оказания услуг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возможно в части </w:t>
            </w:r>
            <w:r>
              <w:rPr>
                <w:sz w:val="20"/>
                <w:szCs w:val="20"/>
              </w:rPr>
              <w:t>привлечения лаборатории/испытательного центра</w:t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-10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/>
            </w:pPr>
            <w:r>
              <w:rPr>
                <w:b w:val="false"/>
                <w:sz w:val="20"/>
                <w:szCs w:val="20"/>
              </w:rPr>
              <w:t xml:space="preserve">Требования по срокам </w:t>
            </w:r>
            <w:r>
              <w:rPr>
                <w:b w:val="false"/>
                <w:sz w:val="20"/>
                <w:szCs w:val="20"/>
                <w:lang w:val="ru-RU"/>
              </w:rPr>
              <w:t>оказания</w:t>
            </w:r>
            <w:r>
              <w:rPr>
                <w:b w:val="false"/>
                <w:sz w:val="20"/>
                <w:szCs w:val="20"/>
              </w:rPr>
              <w:t xml:space="preserve"> услуг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соответствии с Таблицей 4 ТТ. 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</w:r>
          </w:p>
        </w:tc>
        <w:tc>
          <w:tcPr>
            <w:tcW w:w="2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bookmarkStart w:id="31" w:name="_Hlk140571699"/>
      <w:bookmarkStart w:id="32" w:name="_Hlk140572020"/>
      <w:r>
        <w:rPr>
          <w:b/>
          <w:sz w:val="24"/>
          <w:szCs w:val="24"/>
        </w:rPr>
        <w:t>2.2.1.  Cостав заявки на мо</w:t>
      </w:r>
      <w:bookmarkEnd w:id="32"/>
      <w:r>
        <w:rPr>
          <w:b/>
          <w:sz w:val="24"/>
          <w:szCs w:val="24"/>
        </w:rPr>
        <w:t>ниторинг цен:</w:t>
      </w:r>
      <w:bookmarkEnd w:id="31"/>
    </w:p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Standard"/>
        <w:jc w:val="both"/>
        <w:rPr/>
      </w:pPr>
      <w:r>
        <w:rPr>
          <w:sz w:val="24"/>
          <w:szCs w:val="24"/>
          <w:lang w:eastAsia="x-none"/>
        </w:rPr>
        <w:t xml:space="preserve">В составе заявки </w:t>
      </w:r>
      <w:r>
        <w:rPr>
          <w:iCs/>
          <w:sz w:val="24"/>
          <w:szCs w:val="24"/>
          <w:lang w:eastAsia="x-none"/>
        </w:rPr>
        <w:t xml:space="preserve">на </w:t>
      </w:r>
      <w:r>
        <w:rPr>
          <w:iCs/>
          <w:sz w:val="24"/>
          <w:szCs w:val="24"/>
          <w:lang w:val="x-none" w:eastAsia="x-none"/>
        </w:rPr>
        <w:t xml:space="preserve">мониторинг цен необходимо представить </w:t>
      </w:r>
      <w:r>
        <w:rPr>
          <w:iCs/>
          <w:sz w:val="24"/>
          <w:szCs w:val="24"/>
          <w:lang w:eastAsia="x-none"/>
        </w:rPr>
        <w:t xml:space="preserve">Технико-коммерческое предложение по форме приложения № 1 к настоящим Техническим требованиям.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53"/>
        <w:gridCol w:w="267"/>
      </w:tblGrid>
      <w:tr>
        <w:trPr/>
        <w:tc>
          <w:tcPr>
            <w:tcW w:w="992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/>
            </w:pPr>
            <w:r>
              <w:rPr/>
              <w:t xml:space="preserve">Изучив Технические требования Заказчика в рамках настоящего мониторинга 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ОКПД 2 86.90.1 Оказание услуг по исследованию и контролю качества питьевой воды в здании АО "Ленгидропроект".</w:t>
            </w:r>
          </w:p>
        </w:tc>
      </w:tr>
      <w:tr>
        <w:trPr/>
        <w:tc>
          <w:tcPr>
            <w:tcW w:w="9653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3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3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7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kern w:val="2"/>
        </w:rPr>
      </w:pPr>
      <w:r>
        <w:rPr/>
        <w:t xml:space="preserve">согласен </w:t>
      </w:r>
      <w:r>
        <w:rPr>
          <w:kern w:val="2"/>
        </w:rPr>
        <w:t>со всеми условиями Технических требований, включая установленные (предложенные Заказчиком) сроки изготовления и поставки Товара, условия оплаты</w:t>
      </w:r>
    </w:p>
    <w:p>
      <w:pPr>
        <w:pStyle w:val="Normal"/>
        <w:jc w:val="both"/>
        <w:rPr/>
      </w:pPr>
      <w:r>
        <w:rPr/>
        <w:t xml:space="preserve"> </w:t>
      </w:r>
      <w:r>
        <w:rPr/>
        <w:t>и сообщаю следующее:</w:t>
      </w:r>
    </w:p>
    <w:p>
      <w:pPr>
        <w:pStyle w:val="Normal"/>
        <w:spacing w:before="0" w:after="0"/>
        <w:contextualSpacing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66"/>
        <w:gridCol w:w="4053"/>
        <w:gridCol w:w="1131"/>
        <w:gridCol w:w="795"/>
        <w:gridCol w:w="1587"/>
        <w:gridCol w:w="1088"/>
      </w:tblGrid>
      <w:tr>
        <w:trPr>
          <w:trHeight w:val="1235" w:hRule="atLeast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9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ascii="Nimbus Roman [UKWN]" w:hAnsi="Nimbus Roman [UKWN]"/>
                <w:b/>
                <w:bCs/>
                <w:sz w:val="24"/>
                <w:szCs w:val="24"/>
                <w:lang w:val="en-US" w:eastAsia="x-none"/>
              </w:rPr>
              <w:t>ОКПД 2 86.90.1 Оказание услуг по исследованию и контролю качества питьевой воды в здании АО "Ленгидропроект"</w:t>
            </w:r>
          </w:p>
        </w:tc>
      </w:tr>
      <w:tr>
        <w:trPr>
          <w:trHeight w:val="404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1.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Исследование питьевой воды скважин, колодцев, водопровода (15 показателей)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  <w:p>
            <w:pPr>
              <w:pStyle w:val="Style35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16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2.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Исследования на колифаги (без обогащения)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3.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Краткий химический анализ горячей воды (запах, цветность, мутность, водородный показатель (рН), железо общее)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8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4.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Отбор проб воды горячего водоснабжения (до 5 проб на объекте)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5.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Отбор проб воды холодного водоснабжения (до 5 проб на объекте)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6.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Исследование питьевой воды (мембранный метод) ОМЧ, ОКБ,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coli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7.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Микробиологический показатель – Кишечные энтерококки/Энтерококки (фекальные стрептококки)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  <w:p>
            <w:pPr>
              <w:pStyle w:val="Style35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8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микробиологическим показателям (одна проба)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120" w:after="120"/>
              <w:ind w:left="20" w:hanging="0"/>
              <w:contextualSpacing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9.</w:t>
            </w:r>
          </w:p>
        </w:tc>
        <w:tc>
          <w:tcPr>
            <w:tcW w:w="4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Санитарно-эпидемиологическая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санитарно-химическим показателям (одна проба)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Nimbus Roman [UKWN]" w:hAnsi="Nimbus Roman [UKWN]"/>
                <w:color w:val="000000"/>
                <w:sz w:val="16"/>
                <w:szCs w:val="16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16"/>
                <w:szCs w:val="16"/>
              </w:rPr>
            </w:pPr>
            <w:r>
              <w:rPr>
                <w:rFonts w:ascii="Nimbus Roman [UKWN]" w:hAnsi="Nimbus Roman [UKWN]"/>
                <w:sz w:val="16"/>
                <w:szCs w:val="16"/>
              </w:rPr>
              <w:t>24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</w:rPr>
            </w:r>
          </w:p>
        </w:tc>
      </w:tr>
      <w:tr>
        <w:trPr>
          <w:trHeight w:val="221" w:hRule="atLeast"/>
        </w:trPr>
        <w:tc>
          <w:tcPr>
            <w:tcW w:w="72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Итого, без НДС, руб. коп.: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/>
        <w:tc>
          <w:tcPr>
            <w:tcW w:w="992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>
          <w:kern w:val="2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2550"/>
      </w:tblGrid>
      <w:tr>
        <w:trPr/>
        <w:tc>
          <w:tcPr>
            <w:tcW w:w="46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4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1906" w:h="16838"/>
      <w:pgMar w:left="851" w:right="1134" w:gutter="0" w:header="680" w:top="992" w:footer="737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Nimbus Roman [UKWN]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7EE4F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7EE4FD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eastAsia="Calibri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9e1699"/>
    <w:pPr>
      <w:keepNext w:val="true"/>
      <w:spacing w:before="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9e169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Знак"/>
    <w:link w:val="PlainText"/>
    <w:uiPriority w:val="99"/>
    <w:semiHidden/>
    <w:qFormat/>
    <w:rsid w:val="00dc75f4"/>
    <w:rPr>
      <w:rFonts w:ascii="Calibri" w:hAnsi="Calibri" w:eastAsia="Calibri" w:cs="Arial"/>
      <w:sz w:val="22"/>
      <w:szCs w:val="21"/>
      <w:lang w:eastAsia="en-US"/>
    </w:rPr>
  </w:style>
  <w:style w:type="character" w:styleId="ConsPlusNormal" w:customStyle="1">
    <w:name w:val="ConsPlusNormal Знак"/>
    <w:link w:val="ConsPlusNormal1"/>
    <w:qFormat/>
    <w:rsid w:val="00023811"/>
    <w:rPr>
      <w:rFonts w:ascii="Arial" w:hAnsi="Arial" w:cs="Arial"/>
    </w:rPr>
  </w:style>
  <w:style w:type="character" w:styleId="Style15" w:customStyle="1">
    <w:name w:val="Нижний колонтитул Знак"/>
    <w:uiPriority w:val="99"/>
    <w:qFormat/>
    <w:rsid w:val="00af3563"/>
    <w:rPr>
      <w:sz w:val="28"/>
      <w:szCs w:val="28"/>
    </w:rPr>
  </w:style>
  <w:style w:type="character" w:styleId="Linenumber1">
    <w:name w:val="line number1"/>
    <w:qFormat/>
    <w:rPr/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8034a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f3563"/>
    <w:pPr>
      <w:tabs>
        <w:tab w:val="clear" w:pos="708"/>
        <w:tab w:val="left" w:pos="1120" w:leader="none"/>
        <w:tab w:val="right" w:pos="9911" w:leader="none"/>
      </w:tabs>
      <w:ind w:left="560" w:hanging="276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/>
      <w:sz w:val="20"/>
      <w:szCs w:val="20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dc75f4"/>
    <w:pPr/>
    <w:rPr>
      <w:rFonts w:ascii="Calibri" w:hAnsi="Calibri" w:eastAsia="Calibri" w:cs="Arial"/>
      <w:sz w:val="22"/>
      <w:szCs w:val="21"/>
      <w:lang w:eastAsia="en-US"/>
    </w:rPr>
  </w:style>
  <w:style w:type="paragraph" w:styleId="Consplusnormal11" w:customStyle="1">
    <w:name w:val="consplusnormal1"/>
    <w:basedOn w:val="Normal"/>
    <w:qFormat/>
    <w:rsid w:val="00713a58"/>
    <w:pPr>
      <w:spacing w:beforeAutospacing="1" w:afterAutospacing="1"/>
    </w:pPr>
    <w:rPr>
      <w:rFonts w:eastAsia="Calibri"/>
      <w:sz w:val="24"/>
      <w:szCs w:val="24"/>
    </w:rPr>
  </w:style>
  <w:style w:type="paragraph" w:styleId="Consplusnormalmrcssattr" w:customStyle="1">
    <w:name w:val="consplusnormal_mr_css_attr"/>
    <w:basedOn w:val="Normal"/>
    <w:qFormat/>
    <w:rsid w:val="00275dd2"/>
    <w:pPr>
      <w:spacing w:beforeAutospacing="1" w:afterAutospacing="1"/>
    </w:pPr>
    <w:rPr>
      <w:rFonts w:eastAsia="Calibri"/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1E2D-1F97-463D-80A2-4A05475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AlterOffice/2025.3.0.0$Linux_X86_64 LibreOffice_project/4ba31b6a4271509a884f95065d0a726e9cb2bdbb</Application>
  <AppVersion>15.0000</AppVersion>
  <Pages>15</Pages>
  <Words>3420</Words>
  <Characters>24064</Characters>
  <CharactersWithSpaces>27004</CharactersWithSpaces>
  <Paragraphs>527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2024-10-21T06:42:00Z</dcterms:created>
  <dc:creator>Быстров Олег Геннадьевич</dc:creator>
  <dc:description/>
  <dc:language>ru-RU</dc:language>
  <cp:lastModifiedBy>stepanovatv</cp:lastModifiedBy>
  <cp:lastPrinted>2025-10-06T10:05:00Z</cp:lastPrinted>
  <dcterms:modified xsi:type="dcterms:W3CDTF">2026-05-22T17:09:01Z</dcterms:modified>
  <cp:revision>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