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sz w:val="24"/>
          <w:szCs w:val="24"/>
        </w:rPr>
      </w:pPr>
      <w:r>
        <w:rPr>
          <w:b/>
          <w:bCs/>
          <w:sz w:val="24"/>
          <w:szCs w:val="24"/>
        </w:rPr>
        <w:t>Договор поставки</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_________</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z w:val="24"/>
          <w:szCs w:val="24"/>
        </w:rPr>
      </w:pPr>
      <w:r>
        <w:rPr>
          <w:b/>
          <w:sz w:val="24"/>
          <w:szCs w:val="24"/>
        </w:rPr>
        <w:t xml:space="preserve">Публичное акционерное общество «Федеральная гидрогенерирующая </w:t>
        <w:br/>
        <w:t xml:space="preserve">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xml:space="preserve">, действующего на основании ________, с одной стороны, </w:t>
        <w:br/>
        <w:t>и</w:t>
      </w:r>
      <w:r>
        <w:rPr>
          <w:spacing w:val="10"/>
          <w:sz w:val="24"/>
          <w:szCs w:val="24"/>
        </w:rPr>
        <w:t xml:space="preserve"> </w:t>
      </w: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pacing w:val="10"/>
          <w:sz w:val="24"/>
          <w:szCs w:val="24"/>
        </w:rPr>
      </w:pPr>
      <w:r>
        <w:rPr>
          <w:sz w:val="24"/>
          <w:szCs w:val="24"/>
        </w:rPr>
        <w:t xml:space="preserve">совместно в дальнейшем именуемые «Стороны», а по отдельности – «Сторона», </w:t>
        <w:b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 xml:space="preserve">Термины и определения, приведенные в настоящем разделе, предназначены </w:t>
        <w:br/>
        <w:t>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w:t>
        <w:br/>
        <w:t>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9"/>
          <w:tab w:val="left" w:pos="567" w:leader="none"/>
          <w:tab w:val="left" w:pos="1134" w:leader="none"/>
        </w:tabs>
        <w:overflowPunct w:val="fals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 xml:space="preserve">от 25.12.1998 № 132, подписываемый Сторонами после завершения приемки Товара </w:t>
        <w:br/>
        <w:t>по количеству, качеству и комплектности.</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«Проектная документация»</w:t>
      </w:r>
      <w:r>
        <w:rPr>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Normal"/>
        <w:ind w:firstLine="709"/>
        <w:jc w:val="both"/>
        <w:rPr>
          <w:sz w:val="24"/>
          <w:szCs w:val="24"/>
          <w:lang w:eastAsia="en-US"/>
        </w:rPr>
      </w:pPr>
      <w:r>
        <w:rPr>
          <w:sz w:val="24"/>
          <w:szCs w:val="24"/>
          <w:lang w:eastAsia="en-US"/>
        </w:rPr>
        <w:t xml:space="preserve">Состав разделов Проектной документации определяется Применимым правом. </w:t>
      </w:r>
    </w:p>
    <w:p>
      <w:pPr>
        <w:pStyle w:val="Normal"/>
        <w:ind w:firstLine="709"/>
        <w:jc w:val="both"/>
        <w:rPr>
          <w:b/>
          <w:sz w:val="24"/>
          <w:szCs w:val="24"/>
          <w:lang w:eastAsia="en-US"/>
        </w:rPr>
      </w:pPr>
      <w:r>
        <w:rPr>
          <w:sz w:val="24"/>
          <w:szCs w:val="24"/>
          <w:lang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Покупателя.</w:t>
      </w:r>
    </w:p>
    <w:p>
      <w:pPr>
        <w:pStyle w:val="Normal"/>
        <w:ind w:firstLine="708"/>
        <w:jc w:val="both"/>
        <w:rPr>
          <w:sz w:val="24"/>
          <w:szCs w:val="24"/>
          <w:lang w:eastAsia="en-US"/>
        </w:rPr>
      </w:pPr>
      <w:r>
        <w:rPr>
          <w:b/>
          <w:sz w:val="24"/>
          <w:szCs w:val="24"/>
          <w:lang w:eastAsia="en-US"/>
        </w:rPr>
        <w:t xml:space="preserve"> </w:t>
      </w: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fals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w:t>
        <w:br/>
        <w:t xml:space="preserve">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Поставщик обязуется в порядке и сроки, установленные Договором, передать </w:t>
        <w:br/>
        <w:t>в собственность Покупателю</w:t>
      </w:r>
      <w:r>
        <w:rPr>
          <w:rFonts w:eastAsia="Calibri"/>
          <w:bCs/>
          <w:sz w:val="24"/>
          <w:szCs w:val="24"/>
          <w:lang w:eastAsia="en-US"/>
        </w:rPr>
        <w:t xml:space="preserve"> </w:t>
      </w:r>
      <w:r>
        <w:rPr>
          <w:rFonts w:eastAsia="Calibri"/>
          <w:b/>
          <w:bCs/>
          <w:sz w:val="24"/>
          <w:szCs w:val="24"/>
          <w:lang w:eastAsia="en-US"/>
        </w:rPr>
        <w:t xml:space="preserve">запасные части и материалы для технического обслуживания оборудования релейной защиты, и автоматики, систем автоматического управления, автоматики пожаротушения для нужд Филиала ПАО "РусГидро"-"Загорская ГАЭС" </w:t>
      </w:r>
      <w:r>
        <w:rPr>
          <w:bCs/>
          <w:sz w:val="24"/>
          <w:szCs w:val="24"/>
        </w:rPr>
        <w:t xml:space="preserve"> (далее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 - «Загорская ГАЭС».</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Место поставки Товара: </w:t>
      </w:r>
      <w:r>
        <w:rPr>
          <w:bCs/>
          <w:color w:val="000000"/>
          <w:sz w:val="24"/>
          <w:szCs w:val="24"/>
        </w:rPr>
        <w:t>141342, Московская обл., Сергиево-Посадский г.о., пгт. Богородское, д. 100</w:t>
      </w:r>
      <w:r>
        <w:rPr>
          <w:sz w:val="24"/>
          <w:szCs w:val="24"/>
        </w:rPr>
        <w:t xml:space="preserve">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Срок поставки Товара: «31» августа 2027 г.</w:t>
      </w:r>
    </w:p>
    <w:p>
      <w:pPr>
        <w:pStyle w:val="Normal"/>
        <w:shd w:val="clear" w:color="auto" w:fill="FFFFFF"/>
        <w:tabs>
          <w:tab w:val="clear" w:pos="709"/>
          <w:tab w:val="left" w:pos="540" w:leader="none"/>
        </w:tabs>
        <w:ind w:left="1134" w:hanging="0"/>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составляет </w:t>
      </w:r>
      <w:r>
        <w:rPr>
          <w:sz w:val="24"/>
          <w:szCs w:val="24"/>
        </w:rPr>
        <w:t>_______</w:t>
      </w:r>
      <w:r>
        <w:rPr>
          <w:bCs/>
          <w:sz w:val="24"/>
          <w:szCs w:val="24"/>
        </w:rPr>
        <w:t xml:space="preserve"> (</w:t>
      </w:r>
      <w:r>
        <w:rPr>
          <w:sz w:val="24"/>
          <w:szCs w:val="24"/>
        </w:rPr>
        <w:t>__________________</w:t>
      </w:r>
      <w:r>
        <w:rPr>
          <w:bCs/>
          <w:sz w:val="24"/>
          <w:szCs w:val="24"/>
        </w:rPr>
        <w:t xml:space="preserve">) рублей </w:t>
      </w:r>
      <w:r>
        <w:rPr>
          <w:sz w:val="24"/>
          <w:szCs w:val="24"/>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Российской Федерации.</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w:t>
        <w:br/>
        <w:t xml:space="preserve">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перемещение по территории Покупателя,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w:t>
        <w:br/>
        <w:t xml:space="preserve">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w:t>
        <w:b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rPr>
      </w:pPr>
      <w:r>
        <w:rPr>
          <w:sz w:val="24"/>
        </w:rPr>
        <w:t xml:space="preserve">Авансовый платеж в размере 30 (тридцати) процентов от стоимости Товара выплачивается Поставщику в течение </w:t>
        <w:br/>
        <w:t>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Товара, и с учетом пунктов 2.4.1, 2.4.4 Договора.</w:t>
      </w:r>
    </w:p>
    <w:p>
      <w:pPr>
        <w:pStyle w:val="ListParagraph"/>
        <w:numPr>
          <w:ilvl w:val="2"/>
          <w:numId w:val="2"/>
        </w:numPr>
        <w:tabs>
          <w:tab w:val="clear" w:pos="709"/>
        </w:tabs>
        <w:ind w:left="0" w:firstLine="709"/>
        <w:jc w:val="both"/>
        <w:rPr>
          <w:sz w:val="24"/>
        </w:rPr>
      </w:pPr>
      <w:r>
        <w:rPr>
          <w:sz w:val="24"/>
        </w:rPr>
        <w:t>Окончательный платеж в размере 70 (семидесяти) процентов от стоимости Товара выплачивается Поставщику в течение 20 (двадцати) календарных дней</w:t>
      </w:r>
      <w:r>
        <w:rPr>
          <w:rStyle w:val="FootnoteReference"/>
          <w:sz w:val="24"/>
        </w:rPr>
        <w:footnoteReference w:id="2"/>
      </w:r>
      <w:bookmarkStart w:id="0" w:name="_GoBack"/>
      <w:bookmarkEnd w:id="0"/>
      <w:r>
        <w:rPr>
          <w:sz w:val="24"/>
        </w:rPr>
        <w:t xml:space="preserve">  / 7 (семи) рабочих дней с даты подписания Сторонами накладной ТОРГ-12 на основании счета, выставленного Поставщиком, и с учетом пункта 2.4.4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1"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w:t>
        <w:br/>
        <w:t xml:space="preserve">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2.4.1 Договора, в установленный срок и при этом не приступил к исполнению обязательств по Договору.</w:t>
      </w:r>
      <w:bookmarkEnd w:id="1"/>
      <w:r>
        <w:rPr>
          <w:bCs/>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br/>
        <w:t>5 (пяти) рабочих дней с даты получения экземпляров актов сверки расчетов от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 w:val="left" w:pos="1276"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xml:space="preserve">, в том числе (включая, но не ограничиваясь), суммы неотработанного аванса по Договору, суммы неустоек (пени, штрафы) </w:t>
        <w:br/>
        <w:t>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Качество, комплектность, количество и ассортимент поставляемого по Договору Товара должны соответствовать Проектной </w:t>
      </w:r>
      <w:r>
        <w:rPr>
          <w:sz w:val="24"/>
          <w:szCs w:val="24"/>
        </w:rPr>
        <w:t>документации</w:t>
      </w:r>
      <w:r>
        <w:rPr>
          <w:bCs/>
          <w:sz w:val="24"/>
          <w:szCs w:val="24"/>
        </w:rPr>
        <w:t>, требованиям Договора и Покупателя,</w:t>
      </w:r>
      <w:r>
        <w:rPr>
          <w:b/>
          <w:bCs/>
          <w:sz w:val="24"/>
          <w:szCs w:val="24"/>
        </w:rPr>
        <w:t xml:space="preserve"> </w:t>
      </w:r>
      <w:r>
        <w:rPr>
          <w:bCs/>
          <w:sz w:val="24"/>
          <w:szCs w:val="24"/>
        </w:rPr>
        <w:t xml:space="preserve">в том числе указанным в Спецификации (Приложение № 1 к Договору), </w:t>
        <w:br/>
        <w:t>а также Применимого права.</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Поставляемый</w:t>
      </w:r>
      <w:r>
        <w:rPr>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w:t>
        <w:br/>
        <w:t>и не обременен правами третьих лиц.</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Одновременно</w:t>
      </w:r>
      <w:r>
        <w:rPr>
          <w:bCs/>
          <w:sz w:val="24"/>
          <w:szCs w:val="24"/>
        </w:rPr>
        <w:t xml:space="preserve">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сертификат качества в 1(одном) экз.;</w:t>
      </w:r>
    </w:p>
    <w:p>
      <w:pPr>
        <w:pStyle w:val="Normal"/>
        <w:numPr>
          <w:ilvl w:val="0"/>
          <w:numId w:val="4"/>
        </w:numPr>
        <w:tabs>
          <w:tab w:val="clear" w:pos="709"/>
          <w:tab w:val="left" w:pos="1418" w:leader="none"/>
        </w:tabs>
        <w:ind w:left="0" w:firstLine="709"/>
        <w:jc w:val="both"/>
        <w:rPr>
          <w:sz w:val="24"/>
          <w:szCs w:val="24"/>
        </w:rPr>
      </w:pPr>
      <w:r>
        <w:rPr>
          <w:sz w:val="24"/>
          <w:szCs w:val="24"/>
        </w:rPr>
        <w:t>технический паспорт на русском языке в 1(одном) экз.;</w:t>
      </w:r>
    </w:p>
    <w:p>
      <w:pPr>
        <w:pStyle w:val="Normal"/>
        <w:numPr>
          <w:ilvl w:val="0"/>
          <w:numId w:val="4"/>
        </w:numPr>
        <w:tabs>
          <w:tab w:val="clear" w:pos="709"/>
          <w:tab w:val="left" w:pos="1418" w:leader="none"/>
        </w:tabs>
        <w:ind w:left="0" w:firstLine="709"/>
        <w:jc w:val="both"/>
        <w:rPr>
          <w:sz w:val="24"/>
          <w:szCs w:val="24"/>
        </w:rPr>
      </w:pPr>
      <w:r>
        <w:rPr>
          <w:sz w:val="24"/>
          <w:szCs w:val="24"/>
        </w:rPr>
        <w:t>инструкция по эксплуатации на русском языке в 1(одном) экз.;</w:t>
      </w:r>
    </w:p>
    <w:p>
      <w:pPr>
        <w:pStyle w:val="Normal"/>
        <w:numPr>
          <w:ilvl w:val="0"/>
          <w:numId w:val="4"/>
        </w:numPr>
        <w:tabs>
          <w:tab w:val="clear" w:pos="709"/>
          <w:tab w:val="left" w:pos="1418" w:leader="none"/>
        </w:tabs>
        <w:ind w:left="0" w:firstLine="709"/>
        <w:jc w:val="both"/>
        <w:rPr>
          <w:sz w:val="24"/>
          <w:szCs w:val="24"/>
        </w:rPr>
      </w:pPr>
      <w:r>
        <w:rPr>
          <w:sz w:val="24"/>
          <w:szCs w:val="24"/>
        </w:rPr>
        <w:t>упаковочный лист в 1(одном)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tabs>
          <w:tab w:val="clear" w:pos="709"/>
          <w:tab w:val="left" w:pos="1418" w:leader="none"/>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2(двух)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накладная ТОРГ-12 в 2(двух) экз.</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w:t>
      </w:r>
      <w:r>
        <w:rPr>
          <w:sz w:val="24"/>
          <w:szCs w:val="24"/>
        </w:rPr>
        <w:t>своего</w:t>
      </w:r>
      <w:r>
        <w:rPr>
          <w:bCs/>
          <w:sz w:val="24"/>
          <w:szCs w:val="24"/>
        </w:rPr>
        <w:t xml:space="preserve"> представителя, уполномоченного надлежащим образом оформленной доверенностью на передачу Товара Покупателю, подписание Акта рекламации. </w:t>
        <w:br/>
        <w:t xml:space="preserve">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w:t>
        <w:br/>
        <w:t xml:space="preserve">по Договору. Стороны будут рассматривать неявку представителя Поставщика </w:t>
        <w:br/>
        <w:t xml:space="preserve">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w:t>
      </w:r>
      <w:r>
        <w:rPr>
          <w:sz w:val="24"/>
          <w:szCs w:val="24"/>
        </w:rPr>
        <w:t>случае</w:t>
      </w:r>
      <w:r>
        <w:rPr>
          <w:bCs/>
          <w:sz w:val="24"/>
          <w:szCs w:val="24"/>
        </w:rPr>
        <w:t xml:space="preserve"> неявки представителя Поставщика и / или его отказа от подписания Акта рекламации при приемке Товара, составленный и подписанный Покупателем </w:t>
        <w:b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bookmarkStart w:id="2" w:name="_Ref361408474"/>
      <w:r>
        <w:rPr>
          <w:sz w:val="24"/>
          <w:szCs w:val="24"/>
        </w:rPr>
        <w:t>Товар</w:t>
      </w:r>
      <w:r>
        <w:rPr>
          <w:bCs/>
          <w:sz w:val="24"/>
          <w:szCs w:val="24"/>
        </w:rPr>
        <w:t xml:space="preserve">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2"/>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w:t>
        <w:br/>
        <w:t xml:space="preserve">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Погрузка, доставка, разгрузка и перемещение Товара (в том числе </w:t>
        <w:br/>
        <w:t xml:space="preserve">по территории Покупателя) </w:t>
      </w:r>
      <w:r>
        <w:rPr>
          <w:bCs/>
          <w:sz w:val="24"/>
          <w:szCs w:val="24"/>
        </w:rPr>
        <w:t>осуществляется</w:t>
      </w:r>
      <w:r>
        <w:rPr>
          <w:sz w:val="24"/>
          <w:szCs w:val="24"/>
        </w:rPr>
        <w:t xml:space="preserve"> Поставщиком. Стоимость погрузки, доставки, разгрузки и перемещения Товара включена в стоимость Товара.</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bookmarkStart w:id="3" w:name="_Ref361396594"/>
      <w:r>
        <w:rPr>
          <w:sz w:val="24"/>
          <w:szCs w:val="24"/>
        </w:rPr>
        <w:t xml:space="preserve">Датой поставки Товара является дата подписания Сторонами накладной </w:t>
        <w:br/>
        <w:t>ТОРГ-12.</w:t>
      </w:r>
      <w:bookmarkEnd w:id="3"/>
      <w:r>
        <w:rPr>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3 (трех) календарных дней с даты выявления указанных нарушений представить Покупателю необходимые принадлежности и / или документы, </w:t>
        <w:br/>
        <w:t xml:space="preserve">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4"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4"/>
      <w:r>
        <w:rPr>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w:t>
        <w:br/>
        <w:t xml:space="preserve">в присутствии представителя Поставщика в течение 10 (десяти) рабочих дней </w:t>
        <w:br/>
        <w:t>с даты подписания Покупателем транспортных документов. В случае отсутствия замечаний Покупатель подписывает накладную ТОРГ-12.</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w:t>
        <w:br/>
        <w:t>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Покупатель вправе не производить любые платежи, предусмотренные Договором, </w:t>
        <w:br/>
        <w:t xml:space="preserve">до исполнения Поставщиком своих обязательств по Договору, при этом Покупатель </w:t>
        <w:br/>
        <w:t>не считается просрочившим.</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w:t>
        <w:br/>
        <w:t>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 xml:space="preserve">Если Поставщик не вывезет Товар в указанный срок, Покупатель вправе самостоятельно возвратить Товар Поставщику. Расходы, понесенные Покупателем в связи </w:t>
        <w:br/>
        <w:t>с возвратом Товара, подлежат возмещению Поставщиком.</w:t>
      </w:r>
    </w:p>
    <w:p>
      <w:pPr>
        <w:pStyle w:val="ListParagraph"/>
        <w:widowControl/>
        <w:numPr>
          <w:ilvl w:val="1"/>
          <w:numId w:val="2"/>
        </w:numPr>
        <w:shd w:val="clear" w:color="auto" w:fill="FFFFFF"/>
        <w:tabs>
          <w:tab w:val="clear" w:pos="709"/>
          <w:tab w:val="left" w:pos="1276" w:leader="none"/>
        </w:tabs>
        <w:ind w:left="0" w:firstLine="709"/>
        <w:jc w:val="both"/>
        <w:rPr>
          <w:b/>
          <w:color w:val="000000"/>
          <w:sz w:val="24"/>
          <w:szCs w:val="24"/>
        </w:rPr>
      </w:pPr>
      <w:r>
        <w:rPr>
          <w:sz w:val="24"/>
          <w:szCs w:val="24"/>
        </w:rPr>
        <w:t xml:space="preserve">По иным вопросам, касающимся приемки Товара по количеству, качеству </w:t>
        <w:br/>
        <w:t xml:space="preserve">и комплектности в части, не противоречащей законодательству Российской Федерации </w:t>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shd w:val="clear" w:color="auto" w:fill="FFFFFF"/>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0" w:hanging="0"/>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Гарантийный срок на Товар, поставленный по Договору, составляет 12 (двенадцать) месяцев и начинает течь с даты подписания Сторонами накладной ТОРГ-12.</w:t>
      </w:r>
      <w:r>
        <w:rPr/>
        <w:t xml:space="preserve"> </w:t>
      </w:r>
      <w:r>
        <w:rPr>
          <w:sz w:val="24"/>
          <w:szCs w:val="24"/>
        </w:rPr>
        <w:t xml:space="preserve">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w:t>
        <w:br/>
        <w:t xml:space="preserve">к Товару, и Применимого права, возможность эксплуатации (использования) Товара </w:t>
        <w:br/>
        <w:t xml:space="preserve">в соответствии с его целевым назначением, а также несет безусловную ответственность </w:t>
        <w:br/>
        <w:t xml:space="preserve">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w:t>
        <w:br/>
        <w:t xml:space="preserve">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w:t>
        <w:br/>
        <w:t>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5" w:name="OLE_LINK5"/>
      <w:bookmarkStart w:id="6" w:name="OLE_LINK6"/>
      <w:r>
        <w:rPr>
          <w:sz w:val="24"/>
          <w:szCs w:val="24"/>
        </w:rPr>
        <w:t>Покупателем в соответствии с пунктом 4.3 Договора</w:t>
      </w:r>
      <w:bookmarkEnd w:id="5"/>
      <w:bookmarkEnd w:id="6"/>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w:t>
        <w:br/>
        <w:t xml:space="preserve">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w:t>
        <w:br/>
        <w:t>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Банковские гарантии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br/>
        <w:t>по первому требованию).</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Бенефициар по Банковской гарантии – Покупатель, принципал – Поставщик.</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Сумма Банковской гарантии – выражена в валюте расчетов по Договору.</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Сумма Банковской гарантии возврата авансового платежа – не менее </w:t>
        <w:br/>
        <w:t xml:space="preserve">100 (ста) процентов от размера уплачиваемой по Договору предварительной оплаты (аванса) </w:t>
        <w:br/>
        <w:t xml:space="preserve">в совокупной сумме с учетом ранее выплаченных Поставщику и непогашенных (незачтенных) авансовых платежей.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br/>
        <w:t>на существо допущенных Поставщиком нарушений, в том числе в случаях:</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нарушения Поставщиком срока</w:t>
      </w:r>
      <w:r>
        <w:rPr>
          <w:sz w:val="24"/>
          <w:szCs w:val="24"/>
        </w:rPr>
        <w:t xml:space="preserve"> </w:t>
      </w:r>
      <w:r>
        <w:rPr>
          <w:bCs/>
          <w:sz w:val="24"/>
          <w:szCs w:val="24"/>
        </w:rPr>
        <w:t>поставки Товара, установленного пунктом 1.4 Договора более, чем на 60 (шестьдесят) календарных дней;</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br/>
      </w:r>
      <w:r>
        <w:rPr>
          <w:bCs/>
          <w:sz w:val="24"/>
          <w:szCs w:val="24"/>
        </w:rPr>
        <w:t>в отношении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w:t>
        <w:br/>
        <w:t>по Договору превышает срок действия банковской гарантии либо срок исполнения обязательств продлен;</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pPr>
        <w:pStyle w:val="Normal"/>
        <w:widowControl/>
        <w:shd w:val="clear" w:color="auto" w:fill="FFFFFF"/>
        <w:tabs>
          <w:tab w:val="clear" w:pos="709"/>
          <w:tab w:val="left" w:pos="1418" w:leader="none"/>
          <w:tab w:val="left" w:pos="1855" w:leader="none"/>
        </w:tabs>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Товара.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br/>
        <w:t>по Банковской гарантии.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pPr>
        <w:pStyle w:val="Normal"/>
        <w:widowControl/>
        <w:numPr>
          <w:ilvl w:val="1"/>
          <w:numId w:val="2"/>
        </w:numPr>
        <w:tabs>
          <w:tab w:val="clear" w:pos="709"/>
          <w:tab w:val="left" w:pos="0" w:leader="none"/>
          <w:tab w:val="left" w:pos="1134" w:leader="none"/>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3 к Договору.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pPr>
        <w:pStyle w:val="ListParagraph"/>
        <w:shd w:val="clear" w:color="auto" w:fill="FFFFFF"/>
        <w:tabs>
          <w:tab w:val="clear" w:pos="709"/>
          <w:tab w:val="left" w:pos="0" w:leader="none"/>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shd w:val="clear" w:color="auto" w:fill="FFFFFF"/>
        <w:tabs>
          <w:tab w:val="clear" w:pos="709"/>
          <w:tab w:val="left" w:pos="0" w:leader="none"/>
        </w:tabs>
        <w:ind w:left="0" w:firstLine="709"/>
        <w:jc w:val="both"/>
        <w:rPr>
          <w:bCs/>
          <w:sz w:val="24"/>
          <w:szCs w:val="24"/>
        </w:rPr>
      </w:pPr>
      <w:r>
        <w:rPr>
          <w:bCs/>
          <w:sz w:val="24"/>
          <w:szCs w:val="24"/>
        </w:rPr>
        <w:t xml:space="preserve">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Положения пункта 2.4.1 Договора применяются, если совокупный размер авансовых платежей, уплаченных и подлежащих уплате по Договору в соответствии </w:t>
        <w:br/>
        <w:t xml:space="preserve">с выставленными счетами Поставщика составляет 5 000 000 (Пять миллионов) рублей </w:t>
        <w:br/>
        <w:t xml:space="preserve">и более без учета НДС. </w:t>
      </w:r>
    </w:p>
    <w:p>
      <w:pPr>
        <w:pStyle w:val="ListParagraph"/>
        <w:widowControl/>
        <w:numPr>
          <w:ilvl w:val="1"/>
          <w:numId w:val="2"/>
        </w:numPr>
        <w:shd w:val="clear" w:color="auto" w:fill="FFFFFF"/>
        <w:tabs>
          <w:tab w:val="clear" w:pos="709"/>
        </w:tabs>
        <w:ind w:left="0" w:firstLine="709"/>
        <w:jc w:val="both"/>
        <w:rPr>
          <w:bCs/>
          <w:sz w:val="24"/>
          <w:szCs w:val="24"/>
        </w:rPr>
      </w:pPr>
      <w:r>
        <w:rPr>
          <w:sz w:val="24"/>
        </w:rPr>
        <w:t xml:space="preserve">Принадлежащее Покупателю по Банковской гарантии право требования </w:t>
        <w:br/>
        <w:t>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pPr>
        <w:pStyle w:val="Normal"/>
        <w:widowControl/>
        <w:shd w:val="clear" w:color="auto" w:fill="FFFFFF"/>
        <w:tabs>
          <w:tab w:val="clear" w:pos="709"/>
          <w:tab w:val="left" w:pos="0" w:leader="none"/>
          <w:tab w:val="left" w:pos="1134" w:leader="none"/>
        </w:tabs>
        <w:ind w:left="141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w:t>
        <w:br/>
        <w:t xml:space="preserve">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одной десятой) процента от несвоевременно оплаченной суммы за каждый день просрочки, начиная </w:t>
        <w:br/>
        <w:t xml:space="preserve">с 31 (тридцать первого) календарного дня просрочки (неустойка с 1 по 30 день просрочки </w:t>
        <w:br/>
        <w:t>не начисляется).</w:t>
      </w:r>
    </w:p>
    <w:p>
      <w:pPr>
        <w:pStyle w:val="Normal"/>
        <w:widowControl/>
        <w:numPr>
          <w:ilvl w:val="1"/>
          <w:numId w:val="2"/>
        </w:numPr>
        <w:tabs>
          <w:tab w:val="clear" w:pos="709"/>
          <w:tab w:val="left" w:pos="1276" w:leader="none"/>
        </w:tabs>
        <w:ind w:left="0" w:firstLine="709"/>
        <w:jc w:val="both"/>
        <w:rPr>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pPr>
        <w:pStyle w:val="ListParagraph"/>
        <w:widowControl/>
        <w:numPr>
          <w:ilvl w:val="1"/>
          <w:numId w:val="14"/>
        </w:numPr>
        <w:tabs>
          <w:tab w:val="clear" w:pos="709"/>
          <w:tab w:val="left" w:pos="1276" w:leader="none"/>
        </w:tabs>
        <w:ind w:left="0" w:firstLine="709"/>
        <w:jc w:val="both"/>
        <w:rPr>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pPr>
        <w:pStyle w:val="ListParagraph"/>
        <w:widowControl/>
        <w:numPr>
          <w:ilvl w:val="2"/>
          <w:numId w:val="14"/>
        </w:numPr>
        <w:ind w:left="0" w:firstLine="709"/>
        <w:jc w:val="both"/>
        <w:rPr>
          <w:sz w:val="24"/>
          <w:szCs w:val="24"/>
        </w:rPr>
      </w:pPr>
      <w:r>
        <w:rPr>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br/>
        <w:t>в целом.</w:t>
      </w:r>
    </w:p>
    <w:p>
      <w:pPr>
        <w:pStyle w:val="ListParagraph"/>
        <w:widowControl/>
        <w:numPr>
          <w:ilvl w:val="2"/>
          <w:numId w:val="14"/>
        </w:numPr>
        <w:ind w:left="0" w:firstLine="709"/>
        <w:jc w:val="both"/>
        <w:rPr>
          <w:sz w:val="24"/>
          <w:szCs w:val="24"/>
        </w:rPr>
      </w:pPr>
      <w:r>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numPr>
          <w:ilvl w:val="1"/>
          <w:numId w:val="14"/>
        </w:numPr>
        <w:tabs>
          <w:tab w:val="clear" w:pos="709"/>
          <w:tab w:val="left" w:pos="1276" w:leader="none"/>
          <w:tab w:val="left" w:pos="1701" w:leader="none"/>
        </w:tabs>
        <w:ind w:left="0" w:firstLine="709"/>
        <w:jc w:val="both"/>
        <w:rPr>
          <w:sz w:val="24"/>
          <w:szCs w:val="24"/>
        </w:rPr>
      </w:pPr>
      <w:r>
        <w:rPr>
          <w:rFonts w:eastAsia="Calibri"/>
          <w:bCs/>
          <w:sz w:val="24"/>
          <w:szCs w:val="24"/>
        </w:rPr>
        <w:t xml:space="preserve">На сумму подлежащего возврату аванса начисляется неустойка в размере </w:t>
        <w:br/>
        <w:t>0,1 (ноль целых и одной десятой) процента с даты, установленной для возврата аванса</w:t>
      </w:r>
      <w:r>
        <w:rPr>
          <w:sz w:val="24"/>
          <w:szCs w:val="24"/>
        </w:rPr>
        <w:t>.</w:t>
      </w:r>
    </w:p>
    <w:p>
      <w:pPr>
        <w:pStyle w:val="ListParagraph"/>
        <w:widowControl/>
        <w:numPr>
          <w:ilvl w:val="1"/>
          <w:numId w:val="14"/>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w:t>
        <w:br/>
        <w:t xml:space="preserve">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pPr>
        <w:pStyle w:val="ListParagraph"/>
        <w:widowControl/>
        <w:numPr>
          <w:ilvl w:val="1"/>
          <w:numId w:val="14"/>
        </w:numPr>
        <w:shd w:val="clear" w:color="auto" w:fill="FFFFFF"/>
        <w:tabs>
          <w:tab w:val="clear" w:pos="709"/>
          <w:tab w:val="left" w:pos="1276" w:leader="none"/>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14"/>
        </w:numPr>
        <w:shd w:val="clear" w:color="auto" w:fill="FFFFFF"/>
        <w:ind w:left="0" w:firstLine="709"/>
        <w:jc w:val="both"/>
        <w:rPr>
          <w:bCs/>
          <w:sz w:val="24"/>
          <w:szCs w:val="24"/>
        </w:rPr>
      </w:pPr>
      <w:r>
        <w:rPr>
          <w:bCs/>
          <w:sz w:val="24"/>
          <w:szCs w:val="24"/>
        </w:rPr>
        <w:t>За непредоставление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трех сотых) процента от Цены Договора за каждый день просрочки.</w:t>
      </w:r>
    </w:p>
    <w:p>
      <w:pPr>
        <w:pStyle w:val="ListParagraph"/>
        <w:widowControl/>
        <w:numPr>
          <w:ilvl w:val="1"/>
          <w:numId w:val="14"/>
        </w:numPr>
        <w:shd w:val="clear" w:color="auto" w:fill="FFFFFF"/>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14"/>
        </w:numPr>
        <w:shd w:val="clear" w:color="auto" w:fill="FFFFFF"/>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4"/>
        </w:numPr>
        <w:shd w:val="clear" w:color="auto" w:fill="FFFFFF"/>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14"/>
        </w:numPr>
        <w:shd w:val="clear" w:color="auto" w:fill="FFFFFF"/>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14"/>
        </w:numPr>
        <w:shd w:val="clear" w:color="auto" w:fill="FFFFFF"/>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ListParagraph"/>
        <w:widowControl/>
        <w:numPr>
          <w:ilvl w:val="1"/>
          <w:numId w:val="14"/>
        </w:numPr>
        <w:shd w:val="clear" w:color="auto" w:fill="FFFFFF"/>
        <w:ind w:left="0" w:firstLine="709"/>
        <w:jc w:val="both"/>
        <w:rPr>
          <w:bCs/>
          <w:sz w:val="24"/>
          <w:szCs w:val="24"/>
        </w:rPr>
      </w:pPr>
      <w:r>
        <w:rPr>
          <w:bCs/>
          <w:sz w:val="24"/>
          <w:szCs w:val="24"/>
        </w:rPr>
        <w:t xml:space="preserve">В случае нарушения Поставщиком срока предоставления документов, установленного пунктом 4.8 Договора (если такое нарушение привело к невыполнению Покупателем требований по локализации оборудования, установленных законодательством Российской Федерации к оборудованию, эксплуатируемому по итогам модернизации (реконструкции) или строительства генерирующих объектов тепловых электростанций </w:t>
        <w:br/>
        <w:t>в неценовых зонах оптового рынка), Покупатель вправе требовать уплаты Поставщиком  штрафа в размере 10 (десяти) процентов от стоимости Товара. Покупатель вправе удержать сумму такого штрафа из любого платежа, причитающегося Поставщику по Договору.</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36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w:t>
        <w:br/>
        <w:t>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7"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7"/>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8"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8"/>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9"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9"/>
    </w:p>
    <w:p>
      <w:pPr>
        <w:pStyle w:val="Normal"/>
        <w:numPr>
          <w:ilvl w:val="1"/>
          <w:numId w:val="2"/>
        </w:numPr>
        <w:shd w:val="clear" w:color="auto" w:fill="FFFFFF"/>
        <w:tabs>
          <w:tab w:val="clear" w:pos="709"/>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shd w:val="clear" w:color="auto" w:fill="FFFFFF"/>
        <w:tabs>
          <w:tab w:val="clear" w:pos="709"/>
          <w:tab w:val="left" w:pos="1134"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s>
        <w:ind w:left="0" w:firstLine="709"/>
        <w:jc w:val="both"/>
        <w:rPr>
          <w:bCs/>
          <w:sz w:val="24"/>
          <w:szCs w:val="24"/>
        </w:rPr>
      </w:pPr>
      <w:r>
        <w:rPr>
          <w:bCs/>
          <w:sz w:val="24"/>
          <w:szCs w:val="24"/>
        </w:rPr>
        <w:t xml:space="preserve">Споры, указанные в пункте 8.1 Договора, которые не были урегулированы Сторонами путем переговоров, подлежат разрешению в Арбитражном суде Московской области в соответствии с законодательством Российской Федерации, </w:t>
        <w:br/>
        <w:t>за исключением споров из Банковской гарантии, подсудность которых предусмотрена пунктом 5.1.9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w:t>
        <w:br/>
        <w:t>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w:t>
        <w:br/>
        <w:t>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9.3. В случае возникновения у любой Стороны обоснованных предположений, что </w:t>
        <w:b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b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w:t>
        <w:br/>
        <w:t>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br/>
        <w:t xml:space="preserve">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br/>
        <w:t xml:space="preserve">не позднее 5 (пяти)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Линии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 xml:space="preserve">9.7.2. Специальная форма «обратной связи», размещенная на официальном сайте </w:t>
        <w:br/>
        <w:t>ПАО «РусГидро»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Надлежащим (достаточным) доказательством наличия / возникновения </w:t>
        <w:b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br/>
        <w:t>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spacing w:lineRule="auto" w:line="259" w:before="0" w:after="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w:t>
        <w:br/>
        <w:t xml:space="preserve">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самостоятельной оценки рисков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w:t>
        <w:br/>
        <w:t>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 xml:space="preserve">Покупатель вправе приостановить осуществление любых платежей </w:t>
        <w:br/>
        <w:t>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1418" w:leader="none"/>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36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 xml:space="preserve">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w:t>
        <w:br/>
        <w:t>и трудности исполнения обязательств, возникающих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письменному требованию Покупателя уплатить последнему штраф </w:t>
        <w:br/>
        <w:t>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b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w:t>
        <w:br/>
        <w:t xml:space="preserve">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w:t>
        <w:br/>
        <w:t>от Покупателя.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нарушение Поставщиком общего срока поставки Товара по Договору, а также промежуточных сроков поставки Товара, установленных Договором, более чем </w:t>
        <w:br/>
        <w:t>на 60 (шестьдесят) календарных дней по причинам, не зависящим от Покупателя;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w:t>
        <w:br/>
        <w:t xml:space="preserve">от Договора (исполнения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0" w:leader="none"/>
        </w:tabs>
        <w:ind w:left="709" w:hanging="0"/>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p>
    <w:p>
      <w:pPr>
        <w:pStyle w:val="Normal"/>
        <w:widowControl/>
        <w:numPr>
          <w:ilvl w:val="1"/>
          <w:numId w:val="2"/>
        </w:numPr>
        <w:tabs>
          <w:tab w:val="clear" w:pos="709"/>
          <w:tab w:val="left" w:pos="142" w:leader="none"/>
          <w:tab w:val="left" w:pos="1418" w:leader="none"/>
        </w:tabs>
        <w:snapToGrid w:val="false"/>
        <w:ind w:left="0" w:firstLine="709"/>
        <w:jc w:val="both"/>
        <w:rPr>
          <w:sz w:val="24"/>
          <w:szCs w:val="24"/>
          <w:lang w:eastAsia="en-US"/>
        </w:rPr>
      </w:pPr>
      <w:r>
        <w:rPr>
          <w:sz w:val="24"/>
          <w:szCs w:val="24"/>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tabs>
          <w:tab w:val="clear" w:pos="709"/>
          <w:tab w:val="left" w:pos="142" w:leader="none"/>
        </w:tabs>
        <w:ind w:firstLine="709"/>
        <w:jc w:val="both"/>
        <w:rPr>
          <w:sz w:val="24"/>
          <w:szCs w:val="24"/>
          <w:lang w:eastAsia="en-US"/>
        </w:rPr>
      </w:pPr>
      <w:r>
        <w:rPr>
          <w:sz w:val="24"/>
          <w:szCs w:val="24"/>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14.7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14.8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10" w:name="_Ref361338004"/>
      <w:r>
        <w:rPr>
          <w:sz w:val="24"/>
          <w:szCs w:val="24"/>
        </w:rPr>
        <w:t>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w:t>
      </w:r>
      <w:bookmarkEnd w:id="10"/>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 14.8.2 Договора. </w:t>
      </w:r>
    </w:p>
    <w:p>
      <w:pPr>
        <w:pStyle w:val="Normal"/>
        <w:widowControl/>
        <w:numPr>
          <w:ilvl w:val="1"/>
          <w:numId w:val="2"/>
        </w:numPr>
        <w:tabs>
          <w:tab w:val="clear" w:pos="709"/>
          <w:tab w:val="left" w:pos="0" w:leader="none"/>
          <w:tab w:val="left" w:pos="1418" w:leader="none"/>
          <w:tab w:val="left" w:pos="1985"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 w:val="left" w:pos="1985"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FootnoteReference"/>
          <w:sz w:val="24"/>
          <w:szCs w:val="24"/>
        </w:rPr>
        <w:footnoteReference w:id="3"/>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lineRule="auto" w:line="259" w:before="0" w:after="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11"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suppressAutoHyphens w:val="true"/>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rPr>
      </w:pPr>
      <w:r>
        <w:rPr>
          <w:sz w:val="24"/>
          <w:szCs w:val="24"/>
          <w:lang w:eastAsia="x-none"/>
        </w:rPr>
        <w:t>Приложение № 3 –</w:t>
      </w:r>
      <w:r>
        <w:rPr>
          <w:rFonts w:eastAsia="Calibri"/>
          <w:sz w:val="24"/>
          <w:szCs w:val="24"/>
          <w:lang w:eastAsia="en-US"/>
        </w:rPr>
        <w:t xml:space="preserve"> Критерии отбора Банков-Гарантов.</w:t>
      </w:r>
      <w:bookmarkEnd w:id="11"/>
    </w:p>
    <w:p>
      <w:pPr>
        <w:pStyle w:val="Normal"/>
        <w:ind w:firstLine="709"/>
        <w:jc w:val="both"/>
        <w:rPr>
          <w:bCs/>
          <w:sz w:val="24"/>
          <w:szCs w:val="24"/>
        </w:rPr>
      </w:pPr>
      <w:r>
        <w:rPr>
          <w:bCs/>
          <w:sz w:val="24"/>
          <w:szCs w:val="24"/>
        </w:rPr>
        <w:t xml:space="preserve">Приложение № 4 </w:t>
      </w:r>
      <w:r>
        <w:rPr>
          <w:rFonts w:eastAsia="Calibri"/>
          <w:sz w:val="24"/>
          <w:szCs w:val="24"/>
          <w:lang w:eastAsia="en-US"/>
        </w:rPr>
        <w:t>–</w:t>
      </w:r>
      <w:r>
        <w:rPr>
          <w:bCs/>
          <w:sz w:val="24"/>
          <w:szCs w:val="24"/>
        </w:rPr>
        <w:t xml:space="preserve"> Размер ответственности Поставщика за нарушения пропускного </w:t>
        <w:br/>
        <w:t>и внутриобъектового режима, требований охраны труда, пожарной и промышленной безопасности.</w:t>
      </w:r>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36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36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3"/>
        <w:gridCol w:w="145"/>
        <w:gridCol w:w="4641"/>
        <w:gridCol w:w="321"/>
      </w:tblGrid>
      <w:tr>
        <w:trPr/>
        <w:tc>
          <w:tcPr>
            <w:tcW w:w="4928" w:type="dxa"/>
            <w:gridSpan w:val="2"/>
            <w:tcBorders/>
            <w:shd w:color="auto" w:fill="auto" w:val="clear"/>
          </w:tcPr>
          <w:p>
            <w:pPr>
              <w:pStyle w:val="Normal"/>
              <w:widowControl w:val="false"/>
              <w:rPr>
                <w:sz w:val="24"/>
                <w:szCs w:val="24"/>
              </w:rPr>
            </w:pPr>
            <w:r>
              <w:rPr>
                <w:sz w:val="24"/>
                <w:szCs w:val="24"/>
              </w:rPr>
              <w:t>ПОКУПАТЕЛЬ:</w:t>
            </w:r>
          </w:p>
        </w:tc>
        <w:tc>
          <w:tcPr>
            <w:tcW w:w="4962" w:type="dxa"/>
            <w:gridSpan w:val="2"/>
            <w:tcBorders/>
            <w:shd w:color="auto" w:fill="auto" w:val="clear"/>
          </w:tcPr>
          <w:p>
            <w:pPr>
              <w:pStyle w:val="Normal"/>
              <w:widowControl w:val="false"/>
              <w:rPr>
                <w:sz w:val="24"/>
                <w:szCs w:val="24"/>
              </w:rPr>
            </w:pPr>
            <w:r>
              <w:rPr>
                <w:sz w:val="24"/>
                <w:szCs w:val="24"/>
              </w:rPr>
              <w:t>ПОСТАВЩИК:</w:t>
            </w:r>
          </w:p>
        </w:tc>
      </w:tr>
      <w:tr>
        <w:trPr/>
        <w:tc>
          <w:tcPr>
            <w:tcW w:w="4928" w:type="dxa"/>
            <w:gridSpan w:val="2"/>
            <w:tcBorders/>
            <w:shd w:color="auto" w:fill="auto"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Красноярский край, г. Красноярск </w:t>
            </w:r>
          </w:p>
          <w:p>
            <w:pPr>
              <w:pStyle w:val="Normal"/>
              <w:widowControl w:val="false"/>
              <w:rPr>
                <w:sz w:val="24"/>
                <w:szCs w:val="24"/>
              </w:rPr>
            </w:pPr>
            <w:r>
              <w:rPr>
                <w:sz w:val="24"/>
                <w:szCs w:val="24"/>
              </w:rPr>
              <w:t xml:space="preserve">Адрес: 660049, Красноярский край, </w:t>
            </w:r>
          </w:p>
          <w:p>
            <w:pPr>
              <w:pStyle w:val="Normal"/>
              <w:widowControl w:val="false"/>
              <w:spacing w:lineRule="auto" w:line="252"/>
              <w:rPr>
                <w:sz w:val="24"/>
                <w:szCs w:val="24"/>
                <w:lang w:eastAsia="en-US"/>
              </w:rPr>
            </w:pPr>
            <w:r>
              <w:rPr>
                <w:sz w:val="24"/>
                <w:szCs w:val="24"/>
              </w:rPr>
              <w:t xml:space="preserve">г.о. Город Красноярск, г. Красноярск </w:t>
            </w:r>
            <w:r>
              <w:rPr>
                <w:sz w:val="24"/>
                <w:szCs w:val="24"/>
                <w:lang w:eastAsia="en-US"/>
              </w:rPr>
              <w:t>Перенсона, зд. 2а, пом. 1</w:t>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t>________________________</w:t>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auto"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83" w:type="dxa"/>
            <w:tcBorders/>
            <w:shd w:color="auto" w:fill="auto" w:val="clear"/>
          </w:tcPr>
          <w:p>
            <w:pPr>
              <w:pStyle w:val="Normal"/>
              <w:widowControl w:val="false"/>
              <w:rPr>
                <w:sz w:val="24"/>
                <w:szCs w:val="24"/>
              </w:rPr>
            </w:pPr>
            <w:r>
              <w:rPr>
                <w:sz w:val="24"/>
                <w:szCs w:val="24"/>
              </w:rPr>
              <w:t xml:space="preserve">_______________ / _______________ </w:t>
            </w:r>
          </w:p>
          <w:p>
            <w:pPr>
              <w:pStyle w:val="Normal"/>
              <w:widowControl w:val="false"/>
              <w:rPr>
                <w:sz w:val="24"/>
                <w:szCs w:val="24"/>
              </w:rPr>
            </w:pPr>
            <w:r>
              <w:rPr>
                <w:sz w:val="24"/>
                <w:szCs w:val="24"/>
              </w:rPr>
            </w:r>
          </w:p>
        </w:tc>
        <w:tc>
          <w:tcPr>
            <w:tcW w:w="4786" w:type="dxa"/>
            <w:gridSpan w:val="2"/>
            <w:tcBorders/>
            <w:shd w:color="auto" w:fill="auto" w:val="clear"/>
          </w:tcPr>
          <w:p>
            <w:pPr>
              <w:pStyle w:val="Normal"/>
              <w:widowControl w:val="false"/>
              <w:rPr>
                <w:sz w:val="24"/>
                <w:szCs w:val="24"/>
              </w:rPr>
            </w:pPr>
            <w:r>
              <w:rPr>
                <w:sz w:val="24"/>
                <w:szCs w:val="24"/>
              </w:rPr>
              <w:t xml:space="preserve">_______________ / _______________ </w:t>
            </w:r>
          </w:p>
        </w:tc>
        <w:tc>
          <w:tcPr>
            <w:tcW w:w="321" w:type="dxa"/>
            <w:tcBorders/>
          </w:tcPr>
          <w:p>
            <w:pPr>
              <w:pStyle w:val="Normal"/>
              <w:widowControl w:val="false"/>
              <w:rPr/>
            </w:pPr>
            <w:r>
              <w:rPr/>
            </w:r>
          </w:p>
        </w:tc>
      </w:tr>
    </w:tbl>
    <w:p>
      <w:pPr>
        <w:sectPr>
          <w:headerReference w:type="default" r:id="rId5"/>
          <w:headerReference w:type="first" r:id="rId6"/>
          <w:footerReference w:type="default" r:id="rId7"/>
          <w:footnotePr>
            <w:numFmt w:val="decimal"/>
          </w:footnotePr>
          <w:type w:val="nextPage"/>
          <w:pgSz w:w="11906" w:h="16838"/>
          <w:pgMar w:left="1560" w:right="851" w:gutter="0" w:header="709" w:top="1134" w:footer="709" w:bottom="1135"/>
          <w:pgNumType w:fmt="decimal"/>
          <w:formProt w:val="false"/>
          <w:titlePg/>
          <w:textDirection w:val="lrTb"/>
          <w:docGrid w:type="default" w:linePitch="360" w:charSpace="8192"/>
        </w:sectPr>
      </w:pPr>
    </w:p>
    <w:p>
      <w:pPr>
        <w:pStyle w:val="Normal"/>
        <w:suppressAutoHyphens w:val="true"/>
        <w:ind w:left="5103" w:right="96" w:hanging="0"/>
        <w:rPr>
          <w:sz w:val="22"/>
          <w:szCs w:val="22"/>
        </w:rPr>
      </w:pPr>
      <w:r>
        <w:rPr>
          <w:sz w:val="22"/>
          <w:szCs w:val="22"/>
        </w:rPr>
        <w:t>Приложение № 1</w:t>
      </w:r>
    </w:p>
    <w:p>
      <w:pPr>
        <w:pStyle w:val="Normal"/>
        <w:suppressAutoHyphens w:val="true"/>
        <w:ind w:left="5103" w:right="96" w:hanging="0"/>
        <w:rPr>
          <w:sz w:val="22"/>
          <w:szCs w:val="22"/>
        </w:rPr>
      </w:pPr>
      <w:r>
        <w:rPr>
          <w:sz w:val="22"/>
          <w:szCs w:val="22"/>
        </w:rPr>
        <w:t>к Договору поставки</w:t>
      </w:r>
    </w:p>
    <w:p>
      <w:pPr>
        <w:pStyle w:val="Normal"/>
        <w:suppressAutoHyphens w:val="true"/>
        <w:ind w:left="5103" w:right="96" w:hanging="0"/>
        <w:rPr>
          <w:sz w:val="22"/>
          <w:szCs w:val="22"/>
        </w:rPr>
      </w:pPr>
      <w:r>
        <w:rPr>
          <w:sz w:val="22"/>
          <w:szCs w:val="22"/>
        </w:rPr>
        <w:t>от «____» __________ 20 _ г. № _____</w:t>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400"/>
        <w:gridCol w:w="630"/>
        <w:gridCol w:w="636"/>
        <w:gridCol w:w="638"/>
        <w:gridCol w:w="801"/>
        <w:gridCol w:w="764"/>
        <w:gridCol w:w="644"/>
        <w:gridCol w:w="762"/>
        <w:gridCol w:w="720"/>
        <w:gridCol w:w="383"/>
        <w:gridCol w:w="151"/>
        <w:gridCol w:w="671"/>
        <w:gridCol w:w="576"/>
        <w:gridCol w:w="535"/>
        <w:gridCol w:w="745"/>
        <w:gridCol w:w="581"/>
      </w:tblGrid>
      <w:tr>
        <w:trPr>
          <w:trHeight w:val="526" w:hRule="atLeast"/>
        </w:trPr>
        <w:tc>
          <w:tcPr>
            <w:tcW w:w="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8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4"/>
            </w:r>
          </w:p>
        </w:tc>
        <w:tc>
          <w:tcPr>
            <w:tcW w:w="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5"/>
            </w:r>
          </w:p>
          <w:p>
            <w:pPr>
              <w:pStyle w:val="Normal"/>
              <w:widowControl w:val="false"/>
              <w:jc w:val="center"/>
              <w:rPr>
                <w:bCs/>
              </w:rPr>
            </w:pPr>
            <w:r>
              <w:rPr>
                <w:bCs/>
              </w:rPr>
            </w:r>
          </w:p>
        </w:tc>
        <w:tc>
          <w:tcPr>
            <w:tcW w:w="53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80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80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6378"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lightGray"/>
              </w:rPr>
              <w:t>Итого стоимость всего Товара (с учетом доставки), руб. с НДС:</w:t>
            </w:r>
          </w:p>
        </w:tc>
        <w:tc>
          <w:tcPr>
            <w:tcW w:w="3259"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r>
    </w:tbl>
    <w:p>
      <w:pPr>
        <w:pStyle w:val="Normal"/>
        <w:rPr>
          <w:i/>
          <w:i/>
          <w:sz w:val="22"/>
          <w:szCs w:val="22"/>
          <w:highlight w:val="lightGray"/>
        </w:rPr>
      </w:pPr>
      <w:r>
        <w:rPr>
          <w:i/>
          <w:sz w:val="22"/>
          <w:szCs w:val="22"/>
          <w:highlight w:val="lightGray"/>
        </w:rPr>
      </w:r>
    </w:p>
    <w:p>
      <w:pPr>
        <w:pStyle w:val="Normal"/>
        <w:rPr>
          <w:i/>
          <w:i/>
          <w:sz w:val="22"/>
          <w:szCs w:val="22"/>
          <w:highlight w:val="lightGray"/>
        </w:rPr>
      </w:pPr>
      <w:r>
        <w:rPr>
          <w:i/>
          <w:sz w:val="22"/>
          <w:szCs w:val="22"/>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jc w:val="both"/>
        <w:rPr>
          <w:i/>
          <w:i/>
          <w:sz w:val="22"/>
          <w:szCs w:val="22"/>
        </w:rPr>
      </w:pPr>
      <w:r>
        <w:rPr>
          <w:i/>
          <w:sz w:val="22"/>
          <w:szCs w:val="22"/>
          <w:highlight w:val="lightGray"/>
        </w:rPr>
        <w:t>2. По требованию Покупателя Поставщик обязан представить запрашиваемую информацию / документы, расчеты, обосновывающие стоимость доставки.</w:t>
      </w:r>
      <w:r>
        <w:rPr>
          <w:i/>
          <w:sz w:val="22"/>
          <w:szCs w:val="22"/>
        </w:rPr>
        <w:t xml:space="preserve"> </w:t>
      </w:r>
    </w:p>
    <w:p>
      <w:pPr>
        <w:pStyle w:val="Normal"/>
        <w:rPr>
          <w:i/>
          <w:i/>
          <w:sz w:val="22"/>
          <w:szCs w:val="22"/>
        </w:rPr>
      </w:pPr>
      <w:r>
        <w:rPr>
          <w:i/>
          <w:sz w:val="22"/>
          <w:szCs w:val="22"/>
        </w:rPr>
      </w:r>
    </w:p>
    <w:p>
      <w:pPr>
        <w:pStyle w:val="Normal"/>
        <w:rPr>
          <w:i/>
          <w:i/>
          <w:sz w:val="22"/>
          <w:szCs w:val="22"/>
        </w:rPr>
      </w:pPr>
      <w:r>
        <w:rPr>
          <w:i/>
          <w:sz w:val="22"/>
          <w:szCs w:val="22"/>
        </w:rPr>
      </w:r>
    </w:p>
    <w:tbl>
      <w:tblPr>
        <w:tblW w:w="963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6"/>
        <w:gridCol w:w="4805"/>
      </w:tblGrid>
      <w:tr>
        <w:trPr>
          <w:trHeight w:val="269" w:hRule="atLeast"/>
        </w:trPr>
        <w:tc>
          <w:tcPr>
            <w:tcW w:w="4826" w:type="dxa"/>
            <w:tcBorders/>
          </w:tcPr>
          <w:p>
            <w:pPr>
              <w:pStyle w:val="Normal"/>
              <w:widowControl w:val="false"/>
              <w:rPr>
                <w:b/>
                <w:sz w:val="24"/>
              </w:rPr>
            </w:pPr>
            <w:r>
              <w:rPr>
                <w:b/>
                <w:sz w:val="24"/>
              </w:rPr>
              <w:t>Покупатель:</w:t>
            </w:r>
          </w:p>
        </w:tc>
        <w:tc>
          <w:tcPr>
            <w:tcW w:w="4805" w:type="dxa"/>
            <w:tcBorders/>
          </w:tcPr>
          <w:p>
            <w:pPr>
              <w:pStyle w:val="Normal"/>
              <w:widowControl w:val="false"/>
              <w:rPr>
                <w:b/>
                <w:sz w:val="24"/>
              </w:rPr>
            </w:pPr>
            <w:r>
              <w:rPr>
                <w:b/>
                <w:sz w:val="24"/>
              </w:rPr>
              <w:t>Поставщик:</w:t>
            </w:r>
          </w:p>
        </w:tc>
      </w:tr>
    </w:tbl>
    <w:p>
      <w:pPr>
        <w:pStyle w:val="Normal"/>
        <w:rPr/>
      </w:pPr>
      <w:r>
        <w:rPr/>
      </w:r>
    </w:p>
    <w:p>
      <w:pPr>
        <w:pStyle w:val="Normal"/>
        <w:rPr/>
      </w:pPr>
      <w:r>
        <w:rPr/>
        <w:t xml:space="preserve"> </w:t>
      </w:r>
      <w:r>
        <w:rPr/>
        <w:t>__________ /__________</w:t>
        <w:tab/>
        <w:t xml:space="preserve">                                          ___________ /___________</w:t>
      </w:r>
    </w:p>
    <w:p>
      <w:pPr>
        <w:pStyle w:val="Normal"/>
        <w:rPr>
          <w:i/>
          <w:i/>
          <w:sz w:val="24"/>
          <w:szCs w:val="24"/>
          <w:highlight w:val="yellow"/>
        </w:rPr>
      </w:pPr>
      <w:r>
        <w:rPr>
          <w:i/>
          <w:sz w:val="24"/>
          <w:szCs w:val="24"/>
          <w:highlight w:val="yellow"/>
        </w:rPr>
      </w:r>
    </w:p>
    <w:p>
      <w:pPr>
        <w:pStyle w:val="Normal"/>
        <w:widowControl/>
        <w:rPr>
          <w:sz w:val="22"/>
          <w:szCs w:val="22"/>
        </w:rPr>
      </w:pPr>
      <w:r>
        <w:rPr>
          <w:sz w:val="22"/>
          <w:szCs w:val="22"/>
        </w:rPr>
      </w:r>
      <w:r>
        <w:br w:type="page"/>
      </w:r>
    </w:p>
    <w:p>
      <w:pPr>
        <w:pStyle w:val="Normal"/>
        <w:suppressAutoHyphens w:val="true"/>
        <w:ind w:right="96" w:firstLine="5103"/>
        <w:rPr>
          <w:sz w:val="22"/>
          <w:szCs w:val="22"/>
        </w:rPr>
      </w:pPr>
      <w:r>
        <w:rPr>
          <w:sz w:val="22"/>
          <w:szCs w:val="22"/>
        </w:rPr>
        <w:t>Приложение № 2</w:t>
      </w:r>
    </w:p>
    <w:p>
      <w:pPr>
        <w:pStyle w:val="Normal"/>
        <w:suppressAutoHyphens w:val="true"/>
        <w:ind w:right="96" w:firstLine="5103"/>
        <w:rPr>
          <w:sz w:val="22"/>
          <w:szCs w:val="22"/>
        </w:rPr>
      </w:pPr>
      <w:r>
        <w:rPr>
          <w:sz w:val="22"/>
          <w:szCs w:val="22"/>
        </w:rPr>
        <w:t xml:space="preserve">к Договору поставки </w:t>
      </w:r>
    </w:p>
    <w:p>
      <w:pPr>
        <w:pStyle w:val="Normal"/>
        <w:suppressAutoHyphens w:val="true"/>
        <w:ind w:right="96" w:firstLine="5103"/>
        <w:rPr>
          <w:sz w:val="22"/>
          <w:szCs w:val="22"/>
        </w:rPr>
      </w:pPr>
      <w:r>
        <w:rPr>
          <w:sz w:val="22"/>
          <w:szCs w:val="22"/>
        </w:rPr>
        <w:t>от «____» __________ 20 _ г. № _____</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suppressAutoHyphens w:val="true"/>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right="96" w:firstLine="5529"/>
        <w:rPr>
          <w:sz w:val="22"/>
          <w:szCs w:val="22"/>
        </w:rPr>
      </w:pPr>
      <w:r>
        <w:rPr>
          <w:sz w:val="22"/>
          <w:szCs w:val="22"/>
        </w:rPr>
        <w:t>Приложение № 3</w:t>
      </w:r>
    </w:p>
    <w:p>
      <w:pPr>
        <w:pStyle w:val="Normal"/>
        <w:suppressAutoHyphens w:val="true"/>
        <w:ind w:right="96" w:firstLine="5529"/>
        <w:rPr>
          <w:sz w:val="22"/>
          <w:szCs w:val="22"/>
        </w:rPr>
      </w:pPr>
      <w:r>
        <w:rPr>
          <w:sz w:val="22"/>
          <w:szCs w:val="22"/>
        </w:rPr>
        <w:t>к Договору поставки</w:t>
      </w:r>
    </w:p>
    <w:p>
      <w:pPr>
        <w:pStyle w:val="Normal"/>
        <w:ind w:firstLine="5529"/>
        <w:rPr>
          <w:bCs/>
          <w:sz w:val="22"/>
          <w:szCs w:val="22"/>
        </w:rPr>
      </w:pPr>
      <w:r>
        <w:rPr>
          <w:sz w:val="22"/>
          <w:szCs w:val="22"/>
        </w:rPr>
        <w:t>от «____» __________ 20 _ г.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t>Критерии отбора Банков – Гарантов</w:t>
      </w:r>
      <w:r>
        <w:rPr>
          <w:rStyle w:val="FootnoteReference"/>
          <w:b/>
          <w:bCs/>
          <w:sz w:val="24"/>
          <w:szCs w:val="24"/>
        </w:rPr>
        <w:footnoteReference w:id="6"/>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tabs>
          <w:tab w:val="clear" w:pos="709"/>
          <w:tab w:val="left" w:pos="1134" w:leader="none"/>
        </w:tabs>
        <w:ind w:firstLine="709"/>
        <w:jc w:val="both"/>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4"/>
          <w:szCs w:val="24"/>
          <w:vertAlign w:val="superscript"/>
          <w:lang w:val="en-GB"/>
        </w:rPr>
        <w:footnoteReference w:id="7"/>
      </w:r>
      <w:r>
        <w:rPr>
          <w:sz w:val="24"/>
          <w:szCs w:val="24"/>
        </w:rPr>
        <w:t>, а также соответствовать следующим критериям:</w:t>
      </w:r>
    </w:p>
    <w:p>
      <w:pPr>
        <w:pStyle w:val="Normal"/>
        <w:widowControl/>
        <w:numPr>
          <w:ilvl w:val="1"/>
          <w:numId w:val="12"/>
        </w:numPr>
        <w:tabs>
          <w:tab w:val="clear" w:pos="709"/>
          <w:tab w:val="left" w:pos="1134" w:leader="none"/>
        </w:tabs>
        <w:ind w:left="0" w:firstLine="710"/>
        <w:jc w:val="both"/>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widowControl/>
        <w:numPr>
          <w:ilvl w:val="1"/>
          <w:numId w:val="12"/>
        </w:numPr>
        <w:tabs>
          <w:tab w:val="clear" w:pos="709"/>
          <w:tab w:val="left" w:pos="1134" w:leader="none"/>
        </w:tabs>
        <w:ind w:left="0" w:firstLine="710"/>
        <w:jc w:val="both"/>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w:t>
      </w:r>
      <w:r>
        <w:rPr>
          <w:sz w:val="24"/>
          <w:szCs w:val="24"/>
          <w:lang w:val="en-GB"/>
        </w:rPr>
        <w:t> </w:t>
      </w:r>
      <w:r>
        <w:rPr>
          <w:sz w:val="24"/>
          <w:szCs w:val="24"/>
        </w:rPr>
        <w:t xml:space="preserve">213-ФЗ </w:t>
        <w:br/>
        <w:t xml:space="preserve">«Об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w:t>
        <w:br/>
        <w:t>213-ФЗ).</w:t>
      </w:r>
    </w:p>
    <w:p>
      <w:pPr>
        <w:pStyle w:val="Normal"/>
        <w:widowControl/>
        <w:numPr>
          <w:ilvl w:val="1"/>
          <w:numId w:val="12"/>
        </w:numPr>
        <w:tabs>
          <w:tab w:val="clear" w:pos="709"/>
          <w:tab w:val="left" w:pos="1134" w:leader="none"/>
        </w:tabs>
        <w:ind w:left="0" w:firstLine="710"/>
        <w:jc w:val="both"/>
        <w:rPr>
          <w:sz w:val="24"/>
          <w:szCs w:val="24"/>
        </w:rPr>
      </w:pPr>
      <w:r>
        <w:rPr>
          <w:sz w:val="24"/>
          <w:szCs w:val="24"/>
        </w:rPr>
        <w:t xml:space="preserve">Иметь собственные средства (капитал) в размере не менее 30 млрд. рублей </w:t>
        <w:br/>
        <w:t xml:space="preserve">на 1 января текущего календарного года, опубликованного на официальном сайте ЦБ РФ </w:t>
        <w:br/>
        <w:t>в информационно-телекоммуникационной сети «Интернет» (</w:t>
      </w:r>
      <w:r>
        <w:rPr>
          <w:sz w:val="24"/>
          <w:szCs w:val="24"/>
          <w:lang w:val="en-GB"/>
        </w:rPr>
        <w:t>www</w:t>
      </w:r>
      <w:r>
        <w:rPr>
          <w:sz w:val="24"/>
          <w:szCs w:val="24"/>
        </w:rPr>
        <w:t>.</w:t>
      </w:r>
      <w:r>
        <w:rPr>
          <w:sz w:val="24"/>
          <w:szCs w:val="24"/>
          <w:lang w:val="en-GB"/>
        </w:rPr>
        <w:t>cbr</w:t>
      </w:r>
      <w:r>
        <w:rPr>
          <w:sz w:val="24"/>
          <w:szCs w:val="24"/>
        </w:rPr>
        <w:t>.</w:t>
      </w:r>
      <w:r>
        <w:rPr>
          <w:sz w:val="24"/>
          <w:szCs w:val="24"/>
          <w:lang w:val="en-GB"/>
        </w:rPr>
        <w:t>ru</w:t>
      </w:r>
      <w:r>
        <w:rPr>
          <w:sz w:val="24"/>
          <w:szCs w:val="24"/>
        </w:rPr>
        <w:t xml:space="preserve">) по строке 000 «Расчет собственных средств (капитала) («Базель </w:t>
      </w:r>
      <w:r>
        <w:rPr>
          <w:sz w:val="24"/>
          <w:szCs w:val="24"/>
          <w:lang w:val="en-GB"/>
        </w:rPr>
        <w:t>III</w:t>
      </w:r>
      <w:r>
        <w:rPr>
          <w:sz w:val="24"/>
          <w:szCs w:val="24"/>
        </w:rPr>
        <w:t xml:space="preserve">»)»,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w:t>
      </w:r>
      <w:r>
        <w:rPr>
          <w:sz w:val="24"/>
          <w:szCs w:val="24"/>
          <w:lang w:val="en-GB"/>
        </w:rPr>
        <w:t>III</w:t>
      </w:r>
      <w:r>
        <w:rPr>
          <w:sz w:val="24"/>
          <w:szCs w:val="24"/>
        </w:rPr>
        <w:t xml:space="preserve">»)» (далее – Методика </w:t>
        <w:br/>
        <w:t>ЦБ РФ) или иным документом, его заменяющим (в случае изменения или отмены указанного Положения).</w:t>
      </w:r>
    </w:p>
    <w:p>
      <w:pPr>
        <w:pStyle w:val="Normal"/>
        <w:widowControl/>
        <w:numPr>
          <w:ilvl w:val="1"/>
          <w:numId w:val="12"/>
        </w:numPr>
        <w:tabs>
          <w:tab w:val="clear" w:pos="709"/>
          <w:tab w:val="left" w:pos="1134" w:leader="none"/>
        </w:tabs>
        <w:ind w:left="0" w:firstLine="710"/>
        <w:jc w:val="both"/>
        <w:rPr>
          <w:sz w:val="24"/>
          <w:szCs w:val="24"/>
        </w:rPr>
      </w:pPr>
      <w:r>
        <w:rPr>
          <w:sz w:val="24"/>
          <w:szCs w:val="24"/>
        </w:rPr>
        <w:t>Иметь кредитный рейтинг по национальной шкале не ниже уровня «</w:t>
      </w:r>
      <w:r>
        <w:rPr>
          <w:sz w:val="24"/>
          <w:szCs w:val="24"/>
          <w:lang w:val="en-GB"/>
        </w:rPr>
        <w:t>BBB</w:t>
      </w:r>
      <w:r>
        <w:rPr>
          <w:sz w:val="24"/>
          <w:szCs w:val="24"/>
        </w:rPr>
        <w:t>» рейтингового агентства АКРА или не ниже уровня «</w:t>
      </w:r>
      <w:r>
        <w:rPr>
          <w:sz w:val="24"/>
          <w:szCs w:val="24"/>
          <w:lang w:val="en-GB"/>
        </w:rPr>
        <w:t>ruBBB</w:t>
      </w:r>
      <w:r>
        <w:rPr>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sz w:val="24"/>
          <w:szCs w:val="24"/>
          <w:lang w:val="en-GB"/>
        </w:rPr>
        <w:t>Fitch</w:t>
      </w:r>
      <w:r>
        <w:rPr>
          <w:sz w:val="24"/>
          <w:szCs w:val="24"/>
        </w:rPr>
        <w:t>-</w:t>
      </w:r>
      <w:r>
        <w:rPr>
          <w:sz w:val="24"/>
          <w:szCs w:val="24"/>
          <w:lang w:val="en-GB"/>
        </w:rPr>
        <w:t>Ratings</w:t>
      </w:r>
      <w:r>
        <w:rPr>
          <w:sz w:val="24"/>
          <w:szCs w:val="24"/>
        </w:rPr>
        <w:t>» или «</w:t>
      </w:r>
      <w:r>
        <w:rPr>
          <w:sz w:val="24"/>
          <w:szCs w:val="24"/>
          <w:lang w:val="en-GB"/>
        </w:rPr>
        <w:t>Standard</w:t>
      </w:r>
      <w:r>
        <w:rPr>
          <w:sz w:val="24"/>
          <w:szCs w:val="24"/>
        </w:rPr>
        <w:t xml:space="preserve"> &amp; </w:t>
      </w:r>
      <w:r>
        <w:rPr>
          <w:sz w:val="24"/>
          <w:szCs w:val="24"/>
          <w:lang w:val="en-GB"/>
        </w:rPr>
        <w:t>Poor</w:t>
      </w:r>
      <w:r>
        <w:rPr>
          <w:sz w:val="24"/>
          <w:szCs w:val="24"/>
        </w:rPr>
        <w:t>'</w:t>
      </w:r>
      <w:r>
        <w:rPr>
          <w:sz w:val="24"/>
          <w:szCs w:val="24"/>
          <w:lang w:val="en-GB"/>
        </w:rPr>
        <w:t>s</w:t>
      </w:r>
      <w:r>
        <w:rPr>
          <w:sz w:val="24"/>
          <w:szCs w:val="24"/>
        </w:rPr>
        <w:t>» либо уровня «</w:t>
      </w:r>
      <w:r>
        <w:rPr>
          <w:sz w:val="24"/>
          <w:szCs w:val="24"/>
          <w:lang w:val="en-GB"/>
        </w:rPr>
        <w:t>B</w:t>
      </w:r>
      <w:r>
        <w:rPr>
          <w:sz w:val="24"/>
          <w:szCs w:val="24"/>
        </w:rPr>
        <w:t>а2» по классификации рейтингового агентства «</w:t>
      </w:r>
      <w:r>
        <w:rPr>
          <w:sz w:val="24"/>
          <w:szCs w:val="24"/>
          <w:lang w:val="en-GB"/>
        </w:rPr>
        <w:t>Moody</w:t>
      </w:r>
      <w:r>
        <w:rPr>
          <w:sz w:val="24"/>
          <w:szCs w:val="24"/>
        </w:rPr>
        <w:t>'</w:t>
      </w:r>
      <w:r>
        <w:rPr>
          <w:sz w:val="24"/>
          <w:szCs w:val="24"/>
          <w:lang w:val="en-GB"/>
        </w:rPr>
        <w:t>s</w:t>
      </w:r>
      <w:r>
        <w:rPr>
          <w:sz w:val="24"/>
          <w:szCs w:val="24"/>
        </w:rPr>
        <w:t xml:space="preserve"> </w:t>
      </w:r>
      <w:r>
        <w:rPr>
          <w:sz w:val="24"/>
          <w:szCs w:val="24"/>
          <w:lang w:val="en-GB"/>
        </w:rPr>
        <w:t>Investors</w:t>
      </w:r>
      <w:r>
        <w:rPr>
          <w:sz w:val="24"/>
          <w:szCs w:val="24"/>
        </w:rPr>
        <w:t xml:space="preserve"> </w:t>
      </w:r>
      <w:r>
        <w:rPr>
          <w:sz w:val="24"/>
          <w:szCs w:val="24"/>
          <w:lang w:val="en-GB"/>
        </w:rPr>
        <w:t>Service</w:t>
      </w:r>
      <w:r>
        <w:rPr>
          <w:sz w:val="24"/>
          <w:szCs w:val="24"/>
        </w:rPr>
        <w:t>»</w:t>
      </w:r>
      <w:r>
        <w:rPr>
          <w:rStyle w:val="FootnoteReference"/>
          <w:sz w:val="24"/>
          <w:szCs w:val="24"/>
          <w:vertAlign w:val="superscript"/>
          <w:lang w:val="en-GB"/>
        </w:rPr>
        <w:footnoteReference w:id="8"/>
      </w:r>
      <w:r>
        <w:rPr>
          <w:sz w:val="24"/>
          <w:szCs w:val="24"/>
        </w:rPr>
        <w:t xml:space="preserve">. </w:t>
      </w:r>
    </w:p>
    <w:p>
      <w:pPr>
        <w:pStyle w:val="Normal"/>
        <w:widowControl/>
        <w:numPr>
          <w:ilvl w:val="1"/>
          <w:numId w:val="12"/>
        </w:numPr>
        <w:tabs>
          <w:tab w:val="clear" w:pos="709"/>
          <w:tab w:val="left" w:pos="1134" w:leader="none"/>
        </w:tabs>
        <w:ind w:left="0" w:firstLine="710"/>
        <w:jc w:val="both"/>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Pr>
          <w:sz w:val="24"/>
          <w:szCs w:val="24"/>
          <w:lang w:val="en-GB"/>
        </w:rPr>
        <w:t> </w:t>
      </w:r>
      <w:r>
        <w:rPr>
          <w:sz w:val="24"/>
          <w:szCs w:val="24"/>
        </w:rPr>
        <w:t>177-ФЗ «О страховании вкладов в банках Российской Федерации»</w:t>
      </w:r>
      <w:r>
        <w:rPr>
          <w:rStyle w:val="FootnoteReference"/>
          <w:sz w:val="24"/>
          <w:szCs w:val="24"/>
          <w:vertAlign w:val="superscript"/>
          <w:lang w:val="en-GB"/>
        </w:rPr>
        <w:footnoteReference w:id="9"/>
      </w:r>
      <w:r>
        <w:rPr>
          <w:sz w:val="24"/>
          <w:szCs w:val="24"/>
        </w:rPr>
        <w:t>.</w:t>
      </w:r>
    </w:p>
    <w:p>
      <w:pPr>
        <w:pStyle w:val="Normal"/>
        <w:widowControl/>
        <w:numPr>
          <w:ilvl w:val="1"/>
          <w:numId w:val="12"/>
        </w:numPr>
        <w:tabs>
          <w:tab w:val="clear" w:pos="709"/>
          <w:tab w:val="left" w:pos="1134" w:leader="none"/>
        </w:tabs>
        <w:ind w:left="0" w:firstLine="710"/>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sz w:val="24"/>
          <w:szCs w:val="24"/>
          <w:lang w:val="en-GB"/>
        </w:rPr>
        <w:t>http</w:t>
      </w:r>
      <w:r>
        <w:rPr>
          <w:sz w:val="24"/>
          <w:szCs w:val="24"/>
        </w:rPr>
        <w:t>://</w:t>
      </w:r>
      <w:r>
        <w:rPr>
          <w:sz w:val="24"/>
          <w:szCs w:val="24"/>
          <w:lang w:val="en-GB"/>
        </w:rPr>
        <w:t>www</w:t>
      </w:r>
      <w:r>
        <w:rPr>
          <w:sz w:val="24"/>
          <w:szCs w:val="24"/>
        </w:rPr>
        <w:t>.</w:t>
      </w:r>
      <w:r>
        <w:rPr>
          <w:sz w:val="24"/>
          <w:szCs w:val="24"/>
          <w:lang w:val="en-GB"/>
        </w:rPr>
        <w:t>asv</w:t>
      </w:r>
      <w:r>
        <w:rPr>
          <w:sz w:val="24"/>
          <w:szCs w:val="24"/>
        </w:rPr>
        <w:t>.</w:t>
      </w:r>
      <w:r>
        <w:rPr>
          <w:sz w:val="24"/>
          <w:szCs w:val="24"/>
          <w:lang w:val="en-GB"/>
        </w:rPr>
        <w:t>org</w:t>
      </w:r>
      <w:r>
        <w:rPr>
          <w:sz w:val="24"/>
          <w:szCs w:val="24"/>
        </w:rPr>
        <w:t>.</w:t>
      </w:r>
      <w:r>
        <w:rPr>
          <w:sz w:val="24"/>
          <w:szCs w:val="24"/>
          <w:lang w:val="en-GB"/>
        </w:rPr>
        <w:t>ru</w:t>
      </w:r>
      <w:r>
        <w:rPr>
          <w:sz w:val="24"/>
          <w:szCs w:val="24"/>
        </w:rPr>
        <w:t>))».</w:t>
      </w:r>
    </w:p>
    <w:p>
      <w:pPr>
        <w:pStyle w:val="Normal"/>
        <w:widowControl/>
        <w:numPr>
          <w:ilvl w:val="1"/>
          <w:numId w:val="12"/>
        </w:numPr>
        <w:tabs>
          <w:tab w:val="clear" w:pos="709"/>
          <w:tab w:val="left" w:pos="1134" w:leader="none"/>
        </w:tabs>
        <w:ind w:left="0" w:firstLine="710"/>
        <w:jc w:val="both"/>
        <w:rPr>
          <w:sz w:val="24"/>
          <w:szCs w:val="24"/>
        </w:rPr>
      </w:pPr>
      <w:r>
        <w:rPr>
          <w:sz w:val="24"/>
          <w:szCs w:val="24"/>
        </w:rPr>
        <w:t>Не иметь просроченную задолженность перед Заказчиком и компаниями Группы РусГидро.</w:t>
      </w:r>
    </w:p>
    <w:p>
      <w:pPr>
        <w:pStyle w:val="Normal"/>
        <w:widowControl/>
        <w:numPr>
          <w:ilvl w:val="1"/>
          <w:numId w:val="12"/>
        </w:numPr>
        <w:tabs>
          <w:tab w:val="clear" w:pos="709"/>
          <w:tab w:val="left" w:pos="1134" w:leader="none"/>
        </w:tabs>
        <w:ind w:left="0" w:firstLine="710"/>
        <w:jc w:val="both"/>
        <w:rPr>
          <w:sz w:val="24"/>
          <w:szCs w:val="24"/>
        </w:rPr>
      </w:pPr>
      <w:r>
        <w:rPr>
          <w:sz w:val="24"/>
          <w:szCs w:val="24"/>
        </w:rPr>
        <w: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r>
        <w:rPr>
          <w:rStyle w:val="FootnoteReference"/>
          <w:sz w:val="24"/>
          <w:szCs w:val="24"/>
          <w:vertAlign w:val="superscript"/>
          <w:lang w:val="en-GB"/>
        </w:rPr>
        <w:footnoteReference w:id="10"/>
      </w:r>
      <w:r>
        <w:rPr>
          <w:sz w:val="24"/>
          <w:szCs w:val="24"/>
        </w:rPr>
        <w:t>.</w:t>
      </w:r>
    </w:p>
    <w:p>
      <w:pPr>
        <w:pStyle w:val="Normal"/>
        <w:widowControl/>
        <w:numPr>
          <w:ilvl w:val="1"/>
          <w:numId w:val="12"/>
        </w:numPr>
        <w:tabs>
          <w:tab w:val="clear" w:pos="709"/>
          <w:tab w:val="left" w:pos="1134" w:leader="none"/>
        </w:tabs>
        <w:ind w:left="0" w:firstLine="710"/>
        <w:jc w:val="both"/>
        <w:rPr>
          <w:sz w:val="24"/>
          <w:szCs w:val="24"/>
        </w:rPr>
      </w:pPr>
      <w:r>
        <w:rPr>
          <w:sz w:val="24"/>
          <w:szCs w:val="24"/>
        </w:rPr>
        <w:t xml:space="preserve">Требования, установленные пунктами 2 – 4 настоящих Критериев, </w:t>
        <w:br/>
        <w:t>не распространяются на кредитные организации:</w:t>
      </w:r>
    </w:p>
    <w:p>
      <w:pPr>
        <w:pStyle w:val="Normal"/>
        <w:widowControl/>
        <w:numPr>
          <w:ilvl w:val="1"/>
          <w:numId w:val="13"/>
        </w:numPr>
        <w:tabs>
          <w:tab w:val="clear" w:pos="709"/>
          <w:tab w:val="left" w:pos="1134" w:leader="none"/>
        </w:tabs>
        <w:ind w:left="0" w:firstLine="709"/>
        <w:jc w:val="both"/>
        <w:rPr>
          <w:sz w:val="24"/>
          <w:szCs w:val="24"/>
        </w:rPr>
      </w:pPr>
      <w:r>
        <w:rPr>
          <w:sz w:val="24"/>
          <w:szCs w:val="24"/>
        </w:rPr>
        <w:t xml:space="preserve"> </w:t>
      </w:r>
      <w:r>
        <w:rPr>
          <w:sz w:val="24"/>
          <w:szCs w:val="24"/>
        </w:rPr>
        <w:t xml:space="preserve">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w:t>
        <w:br/>
        <w:t xml:space="preserve">в которой могут размещаться средства федерального бюджета на банковских депозитах </w:t>
        <w:br/>
        <w:t>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widowControl/>
        <w:numPr>
          <w:ilvl w:val="1"/>
          <w:numId w:val="13"/>
        </w:numPr>
        <w:tabs>
          <w:tab w:val="clear" w:pos="709"/>
          <w:tab w:val="left" w:pos="1134" w:leader="none"/>
        </w:tabs>
        <w:ind w:left="0" w:firstLine="709"/>
        <w:jc w:val="both"/>
        <w:rPr>
          <w:sz w:val="24"/>
          <w:szCs w:val="24"/>
        </w:rPr>
      </w:pPr>
      <w:r>
        <w:rPr>
          <w:sz w:val="24"/>
          <w:szCs w:val="24"/>
        </w:rPr>
        <w:t xml:space="preserve"> </w:t>
      </w:r>
      <w:r>
        <w:rPr>
          <w:sz w:val="24"/>
          <w:szCs w:val="24"/>
        </w:rPr>
        <w:t xml:space="preserve">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w:t>
        <w:br/>
        <w:t>и Указом Президента Российской Федерации от 05.06.2015 № 287 «О мерах по дальнейшему развитию малого и среднего предпринимательства».</w:t>
      </w:r>
    </w:p>
    <w:p>
      <w:pPr>
        <w:pStyle w:val="Normal"/>
        <w:widowControl/>
        <w:numPr>
          <w:ilvl w:val="1"/>
          <w:numId w:val="13"/>
        </w:numPr>
        <w:tabs>
          <w:tab w:val="clear" w:pos="709"/>
          <w:tab w:val="left" w:pos="1134" w:leader="none"/>
        </w:tabs>
        <w:ind w:left="0" w:firstLine="709"/>
        <w:jc w:val="both"/>
        <w:rPr>
          <w:sz w:val="24"/>
          <w:szCs w:val="24"/>
        </w:rPr>
      </w:pPr>
      <w:r>
        <w:rPr>
          <w:sz w:val="24"/>
          <w:szCs w:val="24"/>
        </w:rPr>
        <w:t xml:space="preserve"> </w:t>
      </w:r>
      <w:r>
        <w:rPr>
          <w:sz w:val="24"/>
          <w:szCs w:val="24"/>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widowControl/>
        <w:numPr>
          <w:ilvl w:val="1"/>
          <w:numId w:val="13"/>
        </w:numPr>
        <w:tabs>
          <w:tab w:val="clear" w:pos="709"/>
          <w:tab w:val="left" w:pos="1134" w:leader="none"/>
        </w:tabs>
        <w:ind w:left="0" w:firstLine="709"/>
        <w:jc w:val="both"/>
        <w:rPr>
          <w:sz w:val="24"/>
          <w:szCs w:val="24"/>
          <w:lang w:val="en-GB"/>
        </w:rPr>
      </w:pPr>
      <w:r>
        <w:rPr>
          <w:sz w:val="24"/>
          <w:szCs w:val="24"/>
        </w:rPr>
        <w:t xml:space="preserve"> </w:t>
      </w:r>
      <w:r>
        <w:rPr>
          <w:sz w:val="24"/>
          <w:szCs w:val="24"/>
          <w:lang w:val="en-GB"/>
        </w:rPr>
        <w:t>ВЭБ.РФ.</w:t>
      </w:r>
    </w:p>
    <w:p>
      <w:pPr>
        <w:pStyle w:val="Normal"/>
        <w:widowControl/>
        <w:numPr>
          <w:ilvl w:val="1"/>
          <w:numId w:val="12"/>
        </w:numPr>
        <w:tabs>
          <w:tab w:val="clear" w:pos="709"/>
          <w:tab w:val="left" w:pos="1134" w:leader="none"/>
        </w:tabs>
        <w:ind w:left="0" w:firstLine="710"/>
        <w:jc w:val="both"/>
        <w:rPr>
          <w:sz w:val="24"/>
          <w:szCs w:val="24"/>
        </w:rPr>
      </w:pPr>
      <w:r>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widowControl/>
        <w:tabs>
          <w:tab w:val="clear" w:pos="709"/>
          <w:tab w:val="left" w:pos="1134" w:leader="none"/>
        </w:tabs>
        <w:ind w:firstLine="709"/>
        <w:jc w:val="center"/>
        <w:rPr>
          <w:sz w:val="24"/>
          <w:szCs w:val="24"/>
          <w:lang w:val="en-GB"/>
        </w:rPr>
      </w:pPr>
      <w:r>
        <w:rPr>
          <w:b/>
          <w:i/>
          <w:sz w:val="24"/>
          <w:szCs w:val="24"/>
          <w:lang w:val="en-GB"/>
        </w:rPr>
        <w:t>Lim</w:t>
      </w:r>
      <w:r>
        <w:rPr>
          <w:b/>
          <w:i/>
          <w:sz w:val="24"/>
          <w:szCs w:val="24"/>
          <w:vertAlign w:val="subscript"/>
          <w:lang w:val="en-GB"/>
        </w:rPr>
        <w:t>Ai</w:t>
      </w:r>
      <w:r>
        <w:rPr>
          <w:b/>
          <w:i/>
          <w:sz w:val="24"/>
          <w:szCs w:val="24"/>
          <w:lang w:val="en-GB"/>
        </w:rPr>
        <w:t xml:space="preserve">  = r</w:t>
      </w:r>
      <w:r>
        <w:rPr>
          <w:b/>
          <w:i/>
          <w:sz w:val="24"/>
          <w:szCs w:val="24"/>
          <w:vertAlign w:val="subscript"/>
          <w:lang w:val="en-GB"/>
        </w:rPr>
        <w:t>i</w:t>
      </w:r>
      <w:r>
        <w:rPr>
          <w:b/>
          <w:i/>
          <w:sz w:val="24"/>
          <w:szCs w:val="24"/>
          <w:lang w:val="en-GB"/>
        </w:rPr>
        <w:t xml:space="preserve"> × СK</w:t>
      </w:r>
      <w:r>
        <w:rPr>
          <w:b/>
          <w:i/>
          <w:sz w:val="24"/>
          <w:szCs w:val="24"/>
          <w:vertAlign w:val="subscript"/>
          <w:lang w:val="en-GB"/>
        </w:rPr>
        <w:t>i</w:t>
      </w:r>
      <w:r>
        <w:rPr>
          <w:sz w:val="24"/>
          <w:szCs w:val="24"/>
          <w:lang w:val="en-GB"/>
        </w:rPr>
        <w:t>, где</w:t>
      </w:r>
    </w:p>
    <w:tbl>
      <w:tblPr>
        <w:tblW w:w="960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817"/>
        <w:gridCol w:w="282"/>
        <w:gridCol w:w="8507"/>
      </w:tblGrid>
      <w:tr>
        <w:trPr>
          <w:trHeight w:val="426" w:hRule="atLeast"/>
        </w:trPr>
        <w:tc>
          <w:tcPr>
            <w:tcW w:w="817" w:type="dxa"/>
            <w:tcBorders/>
          </w:tcPr>
          <w:p>
            <w:pPr>
              <w:pStyle w:val="Normal"/>
              <w:widowControl w:val="false"/>
              <w:ind w:right="-108" w:hanging="0"/>
              <w:jc w:val="both"/>
              <w:rPr>
                <w:color w:val="000000"/>
                <w:sz w:val="24"/>
                <w:szCs w:val="24"/>
                <w:lang w:val="en-GB"/>
              </w:rPr>
            </w:pPr>
            <w:r>
              <w:rPr>
                <w:b/>
                <w:i/>
                <w:color w:val="000000"/>
                <w:sz w:val="24"/>
                <w:szCs w:val="24"/>
                <w:lang w:val="en-GB"/>
              </w:rPr>
              <w:t>Lim</w:t>
            </w:r>
            <w:r>
              <w:rPr>
                <w:b/>
                <w:i/>
                <w:color w:val="000000"/>
                <w:sz w:val="24"/>
                <w:szCs w:val="24"/>
                <w:vertAlign w:val="subscript"/>
                <w:lang w:val="en-US"/>
              </w:rPr>
              <w:t xml:space="preserve">Ai </w:t>
            </w:r>
          </w:p>
        </w:tc>
        <w:tc>
          <w:tcPr>
            <w:tcW w:w="282" w:type="dxa"/>
            <w:tcBorders/>
          </w:tcPr>
          <w:p>
            <w:pPr>
              <w:pStyle w:val="Normal"/>
              <w:widowControl w:val="false"/>
              <w:ind w:left="317" w:right="-108" w:hanging="317"/>
              <w:jc w:val="both"/>
              <w:rPr>
                <w:color w:val="000000"/>
                <w:sz w:val="24"/>
                <w:szCs w:val="24"/>
                <w:lang w:val="en-GB"/>
              </w:rPr>
            </w:pPr>
            <w:r>
              <w:rPr>
                <w:sz w:val="24"/>
                <w:szCs w:val="24"/>
                <w:lang w:val="en-GB"/>
              </w:rPr>
              <w:t xml:space="preserve">-  </w:t>
            </w:r>
          </w:p>
        </w:tc>
        <w:tc>
          <w:tcPr>
            <w:tcW w:w="8507" w:type="dxa"/>
            <w:tcBorders/>
          </w:tcPr>
          <w:p>
            <w:pPr>
              <w:pStyle w:val="Normal"/>
              <w:widowControl w:val="false"/>
              <w:ind w:left="-75" w:right="-108" w:hanging="0"/>
              <w:jc w:val="both"/>
              <w:rPr>
                <w:color w:val="000000"/>
                <w:sz w:val="24"/>
                <w:szCs w:val="24"/>
              </w:rPr>
            </w:pPr>
            <w:r>
              <w:rPr>
                <w:sz w:val="24"/>
                <w:szCs w:val="24"/>
              </w:rPr>
              <w:t xml:space="preserve">Лимит риска для </w:t>
            </w:r>
            <w:r>
              <w:rPr>
                <w:sz w:val="24"/>
                <w:szCs w:val="24"/>
                <w:lang w:val="en-GB"/>
              </w:rPr>
              <w:t>i</w:t>
            </w:r>
            <w:r>
              <w:rPr>
                <w:sz w:val="24"/>
                <w:szCs w:val="24"/>
              </w:rPr>
              <w:t>-ой кредитной организации</w:t>
            </w:r>
            <w:r>
              <w:rPr>
                <w:rStyle w:val="FootnoteReference"/>
                <w:sz w:val="24"/>
                <w:szCs w:val="24"/>
                <w:vertAlign w:val="superscript"/>
                <w:lang w:val="en-GB"/>
              </w:rPr>
              <w:footnoteReference w:id="11"/>
            </w:r>
            <w:r>
              <w:rPr>
                <w:sz w:val="24"/>
                <w:szCs w:val="24"/>
                <w:vertAlign w:val="superscript"/>
              </w:rPr>
              <w:t>.</w:t>
            </w:r>
            <w:r>
              <w:rPr>
                <w:sz w:val="24"/>
                <w:szCs w:val="24"/>
              </w:rPr>
              <w:t xml:space="preserve"> </w:t>
            </w:r>
          </w:p>
        </w:tc>
      </w:tr>
      <w:tr>
        <w:trPr>
          <w:trHeight w:val="280" w:hRule="atLeast"/>
        </w:trPr>
        <w:tc>
          <w:tcPr>
            <w:tcW w:w="817" w:type="dxa"/>
            <w:tcBorders/>
          </w:tcPr>
          <w:p>
            <w:pPr>
              <w:pStyle w:val="Normal"/>
              <w:widowControl w:val="false"/>
              <w:ind w:right="-108" w:hanging="0"/>
              <w:jc w:val="both"/>
              <w:rPr>
                <w:b/>
                <w:i/>
                <w:i/>
                <w:color w:val="000000"/>
                <w:sz w:val="24"/>
                <w:szCs w:val="24"/>
                <w:vertAlign w:val="subscript"/>
                <w:lang w:val="en-GB"/>
              </w:rPr>
            </w:pPr>
            <w:r>
              <w:rPr>
                <w:b/>
                <w:i/>
                <w:color w:val="000000"/>
                <w:sz w:val="24"/>
                <w:szCs w:val="24"/>
                <w:lang w:val="en-GB"/>
              </w:rPr>
              <w:t>С</w:t>
            </w:r>
            <w:r>
              <w:rPr>
                <w:b/>
                <w:i/>
                <w:color w:val="000000"/>
                <w:sz w:val="24"/>
                <w:szCs w:val="24"/>
                <w:lang w:val="en-US"/>
              </w:rPr>
              <w:t>K</w:t>
            </w:r>
            <w:r>
              <w:rPr>
                <w:b/>
                <w:i/>
                <w:color w:val="000000"/>
                <w:sz w:val="24"/>
                <w:szCs w:val="24"/>
                <w:vertAlign w:val="subscript"/>
                <w:lang w:val="en-US"/>
              </w:rPr>
              <w:t>i</w:t>
            </w:r>
          </w:p>
          <w:p>
            <w:pPr>
              <w:pStyle w:val="Normal"/>
              <w:widowControl w:val="false"/>
              <w:ind w:right="-108" w:hanging="0"/>
              <w:jc w:val="both"/>
              <w:rPr>
                <w:color w:val="000000"/>
                <w:sz w:val="24"/>
                <w:szCs w:val="24"/>
                <w:lang w:val="en-GB"/>
              </w:rPr>
            </w:pPr>
            <w:r>
              <w:rPr>
                <w:color w:val="000000"/>
                <w:sz w:val="24"/>
                <w:szCs w:val="24"/>
                <w:lang w:val="en-GB"/>
              </w:rPr>
            </w:r>
          </w:p>
        </w:tc>
        <w:tc>
          <w:tcPr>
            <w:tcW w:w="282" w:type="dxa"/>
            <w:tcBorders/>
          </w:tcPr>
          <w:p>
            <w:pPr>
              <w:pStyle w:val="Normal"/>
              <w:widowControl w:val="false"/>
              <w:ind w:right="-108" w:hanging="0"/>
              <w:jc w:val="both"/>
              <w:rPr>
                <w:color w:val="000000"/>
                <w:sz w:val="24"/>
                <w:szCs w:val="24"/>
                <w:lang w:val="en-GB"/>
              </w:rPr>
            </w:pPr>
            <w:r>
              <w:rPr>
                <w:sz w:val="24"/>
                <w:szCs w:val="24"/>
                <w:lang w:val="en-GB"/>
              </w:rPr>
              <w:t>-</w:t>
            </w:r>
            <w:r>
              <w:rPr>
                <w:color w:val="000000"/>
                <w:sz w:val="24"/>
                <w:szCs w:val="24"/>
                <w:lang w:val="en-GB"/>
              </w:rPr>
              <w:t xml:space="preserve">  </w:t>
            </w:r>
          </w:p>
        </w:tc>
        <w:tc>
          <w:tcPr>
            <w:tcW w:w="8507" w:type="dxa"/>
            <w:tcBorders/>
          </w:tcPr>
          <w:p>
            <w:pPr>
              <w:pStyle w:val="Normal"/>
              <w:widowControl w:val="false"/>
              <w:ind w:left="-75" w:right="-108" w:hanging="0"/>
              <w:jc w:val="both"/>
              <w:rPr>
                <w:color w:val="000000"/>
                <w:sz w:val="24"/>
                <w:szCs w:val="24"/>
              </w:rPr>
            </w:pPr>
            <w:r>
              <w:rPr>
                <w:sz w:val="24"/>
                <w:szCs w:val="24"/>
              </w:rPr>
              <w:t xml:space="preserve">размер собственных средств (капитала) </w:t>
            </w:r>
            <w:r>
              <w:rPr>
                <w:sz w:val="24"/>
                <w:szCs w:val="24"/>
                <w:lang w:val="en-GB"/>
              </w:rPr>
              <w:t>i</w:t>
            </w:r>
            <w:r>
              <w:rPr>
                <w:sz w:val="24"/>
                <w:szCs w:val="24"/>
              </w:rPr>
              <w:t xml:space="preserve">-ой кредитной организации на 01 января текущего календарного года, опубликованный на официальном сайте ЦБ РФ </w:t>
              <w:br/>
              <w:t>в информационно-телекоммуникационной сети «Интернет» (</w:t>
            </w:r>
            <w:hyperlink r:id="rId8">
              <w:r>
                <w:rPr>
                  <w:sz w:val="24"/>
                  <w:szCs w:val="24"/>
                  <w:u w:val="single"/>
                  <w:lang w:val="en-GB"/>
                </w:rPr>
                <w:t>www</w:t>
              </w:r>
              <w:r>
                <w:rPr>
                  <w:sz w:val="24"/>
                  <w:szCs w:val="24"/>
                  <w:u w:val="single"/>
                </w:rPr>
                <w:t>.</w:t>
              </w:r>
              <w:r>
                <w:rPr>
                  <w:sz w:val="24"/>
                  <w:szCs w:val="24"/>
                  <w:u w:val="single"/>
                  <w:lang w:val="en-GB"/>
                </w:rPr>
                <w:t>cbr</w:t>
              </w:r>
              <w:r>
                <w:rPr>
                  <w:sz w:val="24"/>
                  <w:szCs w:val="24"/>
                  <w:u w:val="single"/>
                </w:rPr>
                <w:t>.</w:t>
              </w:r>
              <w:r>
                <w:rPr>
                  <w:sz w:val="24"/>
                  <w:szCs w:val="24"/>
                  <w:u w:val="single"/>
                  <w:lang w:val="en-GB"/>
                </w:rPr>
                <w:t>ru</w:t>
              </w:r>
            </w:hyperlink>
            <w:r>
              <w:rPr>
                <w:sz w:val="24"/>
                <w:szCs w:val="24"/>
              </w:rPr>
              <w:t xml:space="preserve">) </w:t>
              <w:br/>
              <w:t>по строке 000 «Расчет собственных средств (капитала) («Базель</w:t>
            </w:r>
            <w:r>
              <w:rPr>
                <w:sz w:val="24"/>
                <w:szCs w:val="24"/>
                <w:lang w:val="en-GB"/>
              </w:rPr>
              <w:t> III</w:t>
            </w:r>
            <w:r>
              <w:rPr>
                <w:sz w:val="24"/>
                <w:szCs w:val="24"/>
              </w:rPr>
              <w:t>»)», код формы 0409123;</w:t>
            </w:r>
          </w:p>
        </w:tc>
      </w:tr>
      <w:tr>
        <w:trPr>
          <w:trHeight w:val="993" w:hRule="atLeast"/>
        </w:trPr>
        <w:tc>
          <w:tcPr>
            <w:tcW w:w="817" w:type="dxa"/>
            <w:tcBorders/>
          </w:tcPr>
          <w:p>
            <w:pPr>
              <w:pStyle w:val="Normal"/>
              <w:widowControl w:val="false"/>
              <w:ind w:right="-108" w:hanging="0"/>
              <w:jc w:val="both"/>
              <w:rPr>
                <w:b/>
                <w:i/>
                <w:i/>
                <w:color w:val="000000"/>
                <w:sz w:val="24"/>
                <w:szCs w:val="24"/>
                <w:lang w:val="en-GB"/>
              </w:rPr>
            </w:pPr>
            <w:r>
              <w:rPr>
                <w:b/>
                <w:i/>
                <w:color w:val="000000"/>
                <w:sz w:val="24"/>
                <w:szCs w:val="24"/>
                <w:lang w:val="en-GB"/>
              </w:rPr>
              <w:t>r</w:t>
            </w:r>
            <w:r>
              <w:rPr>
                <w:b/>
                <w:i/>
                <w:color w:val="000000"/>
                <w:sz w:val="24"/>
                <w:szCs w:val="24"/>
                <w:vertAlign w:val="subscript"/>
                <w:lang w:val="en-GB"/>
              </w:rPr>
              <w:t>i</w:t>
            </w:r>
          </w:p>
        </w:tc>
        <w:tc>
          <w:tcPr>
            <w:tcW w:w="282" w:type="dxa"/>
            <w:tcBorders/>
          </w:tcPr>
          <w:p>
            <w:pPr>
              <w:pStyle w:val="Normal"/>
              <w:widowControl w:val="false"/>
              <w:ind w:right="-108" w:hanging="0"/>
              <w:jc w:val="both"/>
              <w:rPr>
                <w:sz w:val="24"/>
                <w:szCs w:val="24"/>
                <w:lang w:val="en-GB"/>
              </w:rPr>
            </w:pPr>
            <w:r>
              <w:rPr>
                <w:sz w:val="24"/>
                <w:szCs w:val="24"/>
                <w:lang w:val="en-GB"/>
              </w:rPr>
              <w:t>-</w:t>
            </w:r>
          </w:p>
        </w:tc>
        <w:tc>
          <w:tcPr>
            <w:tcW w:w="8507" w:type="dxa"/>
            <w:tcBorders/>
          </w:tcPr>
          <w:p>
            <w:pPr>
              <w:pStyle w:val="Normal"/>
              <w:widowControl w:val="false"/>
              <w:tabs>
                <w:tab w:val="clear" w:pos="709"/>
                <w:tab w:val="left" w:pos="7130" w:leader="none"/>
              </w:tabs>
              <w:ind w:right="-108" w:hanging="0"/>
              <w:jc w:val="both"/>
              <w:rPr>
                <w:sz w:val="24"/>
                <w:szCs w:val="24"/>
              </w:rPr>
            </w:pPr>
            <w:r>
              <w:rPr>
                <w:sz w:val="24"/>
                <w:szCs w:val="24"/>
              </w:rPr>
              <w:t>рейтинговый коэффициент</w:t>
            </w:r>
            <w:r>
              <w:rPr>
                <w:rStyle w:val="FootnoteReference"/>
                <w:sz w:val="24"/>
                <w:szCs w:val="24"/>
                <w:vertAlign w:val="superscript"/>
                <w:lang w:val="en-GB"/>
              </w:rPr>
              <w:footnoteReference w:id="12"/>
            </w:r>
            <w:r>
              <w:rPr>
                <w:sz w:val="24"/>
                <w:szCs w:val="24"/>
              </w:rPr>
              <w:t xml:space="preserve"> для </w:t>
            </w:r>
            <w:r>
              <w:rPr>
                <w:sz w:val="24"/>
                <w:szCs w:val="24"/>
                <w:lang w:val="en-GB"/>
              </w:rPr>
              <w:t>i</w:t>
            </w:r>
            <w:r>
              <w:rPr>
                <w:sz w:val="24"/>
                <w:szCs w:val="24"/>
              </w:rPr>
              <w:t>-ой кредитной организации, равный:</w:t>
            </w:r>
          </w:p>
          <w:p>
            <w:pPr>
              <w:pStyle w:val="Normal"/>
              <w:widowControl w:val="false"/>
              <w:ind w:firstLine="492"/>
              <w:jc w:val="both"/>
              <w:rPr>
                <w:sz w:val="24"/>
                <w:szCs w:val="24"/>
              </w:rPr>
            </w:pPr>
            <w:r>
              <w:rPr>
                <w:b/>
                <w:sz w:val="24"/>
                <w:szCs w:val="24"/>
              </w:rPr>
              <w:t>0,05</w:t>
            </w:r>
            <w:r>
              <w:rPr>
                <w:sz w:val="24"/>
                <w:szCs w:val="24"/>
              </w:rPr>
              <w:t xml:space="preserve"> - если </w:t>
            </w:r>
            <w:r>
              <w:rPr>
                <w:sz w:val="24"/>
                <w:szCs w:val="24"/>
                <w:lang w:val="en-GB"/>
              </w:rPr>
              <w:t>i</w:t>
            </w:r>
            <w:r>
              <w:rPr>
                <w:sz w:val="24"/>
                <w:szCs w:val="24"/>
              </w:rPr>
              <w:t xml:space="preserve">-ая кредитная организация имеет национальный рейтинг кредитоспособности не ниже уровня </w:t>
            </w:r>
            <w:r>
              <w:rPr>
                <w:b/>
                <w:sz w:val="24"/>
                <w:szCs w:val="24"/>
              </w:rPr>
              <w:t>«АА-»</w:t>
            </w:r>
            <w:r>
              <w:rPr>
                <w:sz w:val="24"/>
                <w:szCs w:val="24"/>
              </w:rPr>
              <w:t xml:space="preserve"> по классификации рейтингового агентства АКРА или не ниже уровня </w:t>
            </w:r>
            <w:r>
              <w:rPr>
                <w:b/>
                <w:sz w:val="24"/>
                <w:szCs w:val="24"/>
              </w:rPr>
              <w:t>«</w:t>
            </w:r>
            <w:r>
              <w:rPr>
                <w:b/>
                <w:sz w:val="24"/>
                <w:szCs w:val="24"/>
                <w:lang w:val="en-US"/>
              </w:rPr>
              <w:t>ru</w:t>
            </w:r>
            <w:r>
              <w:rPr>
                <w:b/>
                <w:sz w:val="24"/>
                <w:szCs w:val="24"/>
              </w:rPr>
              <w:t>А</w:t>
            </w:r>
            <w:r>
              <w:rPr>
                <w:b/>
                <w:sz w:val="24"/>
                <w:szCs w:val="24"/>
                <w:lang w:val="en-US"/>
              </w:rPr>
              <w:t>A</w:t>
            </w:r>
            <w:r>
              <w:rPr>
                <w:b/>
                <w:sz w:val="24"/>
                <w:szCs w:val="24"/>
              </w:rPr>
              <w:t>-»</w:t>
            </w:r>
            <w:r>
              <w:rPr>
                <w:sz w:val="24"/>
                <w:szCs w:val="24"/>
              </w:rPr>
              <w:t xml:space="preserve"> по классификации рейтингового агентства Эксперт РА;</w:t>
            </w:r>
          </w:p>
          <w:p>
            <w:pPr>
              <w:pStyle w:val="Normal"/>
              <w:widowControl w:val="false"/>
              <w:ind w:left="67" w:firstLine="425"/>
              <w:jc w:val="both"/>
              <w:rPr>
                <w:sz w:val="24"/>
                <w:szCs w:val="24"/>
              </w:rPr>
            </w:pPr>
            <w:r>
              <w:rPr>
                <w:b/>
                <w:sz w:val="24"/>
                <w:szCs w:val="24"/>
              </w:rPr>
              <w:t>0,025</w:t>
            </w:r>
            <w:r>
              <w:rPr>
                <w:sz w:val="24"/>
                <w:szCs w:val="24"/>
              </w:rPr>
              <w:t xml:space="preserve"> - если </w:t>
            </w:r>
            <w:r>
              <w:rPr>
                <w:sz w:val="24"/>
                <w:szCs w:val="24"/>
                <w:lang w:val="en-GB"/>
              </w:rPr>
              <w:t>i</w:t>
            </w:r>
            <w:r>
              <w:rPr>
                <w:sz w:val="24"/>
                <w:szCs w:val="24"/>
              </w:rPr>
              <w:t xml:space="preserve">-ая кредитная организация имеет национальный рейтинг кредитоспособности не ниже уровня </w:t>
            </w:r>
            <w:r>
              <w:rPr>
                <w:b/>
                <w:sz w:val="24"/>
                <w:szCs w:val="24"/>
              </w:rPr>
              <w:t>«А-»</w:t>
            </w:r>
            <w:r>
              <w:rPr>
                <w:sz w:val="24"/>
                <w:szCs w:val="24"/>
              </w:rPr>
              <w:t xml:space="preserve"> по классификации рейтингового агентства АКРА или не ниже уровня </w:t>
            </w:r>
            <w:r>
              <w:rPr>
                <w:b/>
                <w:sz w:val="24"/>
                <w:szCs w:val="24"/>
              </w:rPr>
              <w:t>«</w:t>
            </w:r>
            <w:r>
              <w:rPr>
                <w:b/>
                <w:sz w:val="24"/>
                <w:szCs w:val="24"/>
                <w:lang w:val="en-GB"/>
              </w:rPr>
              <w:t>ruA</w:t>
            </w:r>
            <w:r>
              <w:rPr>
                <w:b/>
                <w:sz w:val="24"/>
                <w:szCs w:val="24"/>
              </w:rPr>
              <w:t>-»</w:t>
            </w:r>
            <w:r>
              <w:rPr>
                <w:sz w:val="24"/>
                <w:szCs w:val="24"/>
              </w:rPr>
              <w:t xml:space="preserve"> по классификации рейтингового агентства Эксперт РА;</w:t>
            </w:r>
          </w:p>
          <w:p>
            <w:pPr>
              <w:pStyle w:val="Normal"/>
              <w:widowControl w:val="false"/>
              <w:ind w:firstLine="492"/>
              <w:jc w:val="both"/>
              <w:rPr>
                <w:sz w:val="24"/>
                <w:szCs w:val="24"/>
              </w:rPr>
            </w:pPr>
            <w:r>
              <w:rPr>
                <w:b/>
                <w:sz w:val="24"/>
                <w:szCs w:val="24"/>
              </w:rPr>
              <w:t>0,015</w:t>
            </w:r>
            <w:r>
              <w:rPr>
                <w:sz w:val="24"/>
                <w:szCs w:val="24"/>
              </w:rPr>
              <w:t xml:space="preserve"> - если </w:t>
            </w:r>
            <w:r>
              <w:rPr>
                <w:sz w:val="24"/>
                <w:szCs w:val="24"/>
                <w:lang w:val="en-GB"/>
              </w:rPr>
              <w:t>i</w:t>
            </w:r>
            <w:r>
              <w:rPr>
                <w:sz w:val="24"/>
                <w:szCs w:val="24"/>
              </w:rPr>
              <w:t xml:space="preserve">-ая кредитная организация имеет национальный рейтинг кредитоспособности не ниже уровня </w:t>
            </w:r>
            <w:r>
              <w:rPr>
                <w:b/>
                <w:sz w:val="24"/>
                <w:szCs w:val="24"/>
              </w:rPr>
              <w:t>«</w:t>
            </w:r>
            <w:r>
              <w:rPr>
                <w:b/>
                <w:sz w:val="24"/>
                <w:szCs w:val="24"/>
                <w:lang w:val="en-US"/>
              </w:rPr>
              <w:t>BB</w:t>
            </w:r>
            <w:r>
              <w:rPr>
                <w:b/>
                <w:sz w:val="24"/>
                <w:szCs w:val="24"/>
              </w:rPr>
              <w:t>В»</w:t>
            </w:r>
            <w:r>
              <w:rPr>
                <w:sz w:val="24"/>
                <w:szCs w:val="24"/>
              </w:rPr>
              <w:t xml:space="preserve"> по классификации рейтингового агентства АКРА или не ниже уровня «</w:t>
            </w:r>
            <w:r>
              <w:rPr>
                <w:sz w:val="24"/>
                <w:szCs w:val="24"/>
                <w:lang w:val="en-US"/>
              </w:rPr>
              <w:t>ruBB</w:t>
            </w:r>
            <w:r>
              <w:rPr>
                <w:sz w:val="24"/>
                <w:szCs w:val="24"/>
              </w:rPr>
              <w:t>В» по классификации рейтингового агентства Эксперт РА, а также находится в процессе финансового оздоровления (санации).</w:t>
            </w:r>
          </w:p>
        </w:tc>
      </w:tr>
    </w:tbl>
    <w:p>
      <w:pPr>
        <w:pStyle w:val="Normal"/>
        <w:widowControl/>
        <w:tabs>
          <w:tab w:val="clear" w:pos="709"/>
          <w:tab w:val="left" w:pos="1425" w:leader="none"/>
        </w:tabs>
        <w:rPr>
          <w:sz w:val="24"/>
          <w:szCs w:val="24"/>
        </w:rPr>
      </w:pPr>
      <w:r>
        <w:rPr>
          <w:sz w:val="24"/>
          <w:szCs w:val="24"/>
        </w:rPr>
      </w:r>
    </w:p>
    <w:tbl>
      <w:tblPr>
        <w:tblW w:w="1375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61"/>
        <w:gridCol w:w="8789"/>
      </w:tblGrid>
      <w:tr>
        <w:trPr/>
        <w:tc>
          <w:tcPr>
            <w:tcW w:w="4961" w:type="dxa"/>
            <w:tcBorders/>
          </w:tcPr>
          <w:p>
            <w:pPr>
              <w:pStyle w:val="Normal"/>
              <w:widowControl w:val="false"/>
              <w:rPr>
                <w:b/>
                <w:sz w:val="24"/>
                <w:szCs w:val="24"/>
                <w:lang w:val="en-GB"/>
              </w:rPr>
            </w:pPr>
            <w:r>
              <w:rPr>
                <w:b/>
                <w:sz w:val="24"/>
                <w:szCs w:val="24"/>
              </w:rPr>
              <w:t>Покупатель</w:t>
            </w:r>
            <w:r>
              <w:rPr>
                <w:b/>
                <w:sz w:val="24"/>
                <w:szCs w:val="24"/>
                <w:lang w:val="en-GB"/>
              </w:rPr>
              <w:t>:</w:t>
            </w:r>
          </w:p>
        </w:tc>
        <w:tc>
          <w:tcPr>
            <w:tcW w:w="8789" w:type="dxa"/>
            <w:tcBorders/>
          </w:tcPr>
          <w:p>
            <w:pPr>
              <w:pStyle w:val="Normal"/>
              <w:widowControl w:val="false"/>
              <w:rPr>
                <w:b/>
                <w:sz w:val="24"/>
                <w:szCs w:val="24"/>
                <w:lang w:val="en-GB"/>
              </w:rPr>
            </w:pPr>
            <w:r>
              <w:rPr>
                <w:b/>
                <w:sz w:val="24"/>
                <w:szCs w:val="24"/>
              </w:rPr>
              <w:t>Поставщик</w:t>
            </w:r>
            <w:r>
              <w:rPr>
                <w:b/>
                <w:sz w:val="24"/>
                <w:szCs w:val="24"/>
                <w:lang w:val="en-GB"/>
              </w:rPr>
              <w:t>:</w:t>
            </w:r>
          </w:p>
        </w:tc>
      </w:tr>
      <w:tr>
        <w:trPr/>
        <w:tc>
          <w:tcPr>
            <w:tcW w:w="4961"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tc>
        <w:tc>
          <w:tcPr>
            <w:tcW w:w="8789"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r>
          </w:p>
        </w:tc>
      </w:tr>
    </w:tbl>
    <w:p>
      <w:pPr>
        <w:pStyle w:val="Normal"/>
        <w:suppressAutoHyphens w:val="true"/>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right="96" w:firstLine="5529"/>
        <w:rPr>
          <w:sz w:val="22"/>
          <w:szCs w:val="22"/>
        </w:rPr>
      </w:pPr>
      <w:r>
        <w:rPr>
          <w:sz w:val="22"/>
          <w:szCs w:val="22"/>
        </w:rPr>
        <w:t>Приложение № 4</w:t>
      </w:r>
    </w:p>
    <w:p>
      <w:pPr>
        <w:pStyle w:val="Normal"/>
        <w:suppressAutoHyphens w:val="true"/>
        <w:ind w:right="96" w:firstLine="5529"/>
        <w:rPr>
          <w:sz w:val="22"/>
          <w:szCs w:val="22"/>
        </w:rPr>
      </w:pPr>
      <w:r>
        <w:rPr>
          <w:sz w:val="22"/>
          <w:szCs w:val="22"/>
        </w:rPr>
        <w:t>к Договору поставки</w:t>
      </w:r>
    </w:p>
    <w:p>
      <w:pPr>
        <w:pStyle w:val="Normal"/>
        <w:ind w:firstLine="5529"/>
        <w:rPr>
          <w:bCs/>
          <w:sz w:val="24"/>
          <w:szCs w:val="24"/>
        </w:rPr>
      </w:pPr>
      <w:r>
        <w:rPr>
          <w:sz w:val="22"/>
          <w:szCs w:val="22"/>
        </w:rPr>
        <w:t>от «____» __________ 20 _ г.</w:t>
      </w:r>
      <w:r>
        <w:rPr>
          <w:sz w:val="24"/>
          <w:szCs w:val="24"/>
        </w:rPr>
        <w:t xml:space="preserve">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uppressAutoHyphens w:val="true"/>
        <w:spacing w:lineRule="auto" w:line="25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 Нарушение ППБ без возникновения пожара</w:t>
            </w:r>
          </w:p>
          <w:p>
            <w:pPr>
              <w:pStyle w:val="Normal"/>
              <w:widowControl w:val="false"/>
              <w:jc w:val="both"/>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bl>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left="5103" w:hanging="0"/>
        <w:rPr>
          <w:b/>
          <w:bCs/>
          <w:sz w:val="24"/>
          <w:szCs w:val="24"/>
        </w:rPr>
      </w:pPr>
      <w:r>
        <w:rPr>
          <w:b/>
          <w:bCs/>
          <w:sz w:val="24"/>
          <w:szCs w:val="24"/>
        </w:rPr>
      </w:r>
    </w:p>
    <w:p>
      <w:pPr>
        <w:pStyle w:val="Normal"/>
        <w:widowControl/>
        <w:rPr>
          <w:b/>
          <w:bCs/>
          <w:sz w:val="24"/>
          <w:szCs w:val="24"/>
        </w:rPr>
      </w:pPr>
      <w:r>
        <w:rPr>
          <w:b/>
          <w:bCs/>
          <w:sz w:val="24"/>
          <w:szCs w:val="24"/>
        </w:rPr>
      </w:r>
    </w:p>
    <w:p>
      <w:pPr>
        <w:pStyle w:val="Normal"/>
        <w:snapToGrid w:val="false"/>
        <w:rPr>
          <w:sz w:val="24"/>
          <w:szCs w:val="24"/>
        </w:rPr>
      </w:pPr>
      <w:r>
        <w:rPr/>
      </w:r>
    </w:p>
    <w:sectPr>
      <w:headerReference w:type="default" r:id="rId9"/>
      <w:headerReference w:type="first" r:id="rId10"/>
      <w:footerReference w:type="default" r:id="rId11"/>
      <w:footerReference w:type="first" r:id="rId12"/>
      <w:footnotePr>
        <w:numFmt w:val="decimal"/>
      </w:footnotePr>
      <w:type w:val="nextPage"/>
      <w:pgSz w:w="11906" w:h="16838"/>
      <w:pgMar w:left="1418" w:right="851" w:gutter="0" w:header="567" w:top="1134" w:footer="314" w:bottom="851"/>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19</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25</w:t>
    </w:r>
    <w:r>
      <w:rPr>
        <w:sz w:val="24"/>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r>
    </w:p>
  </w:footnote>
  <w:footnote w:id="3">
    <w:p>
      <w:pPr>
        <w:pStyle w:val="FootnoteText"/>
        <w:jc w:val="both"/>
        <w:rPr/>
      </w:pPr>
      <w:r>
        <w:rPr>
          <w:rStyle w:val="Style14"/>
        </w:rPr>
        <w:footnoteRef/>
      </w:r>
      <w:r>
        <w:rPr/>
        <w:t xml:space="preserve"> </w:t>
      </w:r>
      <w:r>
        <w:rPr/>
        <w:t>В случае если Поставщик является СМП,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4">
    <w:p>
      <w:pPr>
        <w:pStyle w:val="FootnoteText"/>
        <w:jc w:val="both"/>
        <w:rPr/>
      </w:pPr>
      <w:r>
        <w:rPr>
          <w:rStyle w:val="Style14"/>
        </w:rPr>
        <w:footnoteRef/>
      </w:r>
      <w:r>
        <w:rPr/>
        <w:t xml:space="preserve"> </w:t>
      </w:r>
      <w:r>
        <w:rPr/>
        <w:t xml:space="preserve">В соответствии с Общероссийским классификатором стран мира (утв. постановлением Госстандарта России </w:t>
        <w:br/>
        <w:t>от 14.12.2001 № 529-ст).</w:t>
      </w:r>
    </w:p>
  </w:footnote>
  <w:footnote w:id="5">
    <w:p>
      <w:pPr>
        <w:pStyle w:val="FootnoteText"/>
        <w:jc w:val="both"/>
        <w:rPr/>
      </w:pPr>
      <w:r>
        <w:rPr>
          <w:rStyle w:val="Style14"/>
        </w:rPr>
        <w:footnoteRef/>
      </w:r>
      <w:r>
        <w:rPr/>
        <w:t xml:space="preserve"> </w:t>
      </w:r>
      <w:r>
        <w:rPr>
          <w:bCs/>
        </w:rPr>
        <w:t>Порядковый номер (номера) реестровой записи (реестровых записей), под которой (которыми) Товар  включен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r>
        <w:rPr>
          <w:rFonts w:eastAsia="Calibri" w:eastAsiaTheme="minorHAnsi"/>
          <w:lang w:eastAsia="en-US"/>
        </w:rPr>
        <w:t>.</w:t>
      </w:r>
    </w:p>
  </w:footnote>
  <w:footnote w:id="6">
    <w:p>
      <w:pPr>
        <w:pStyle w:val="FootnoteText"/>
        <w:jc w:val="both"/>
        <w:rPr/>
      </w:pPr>
      <w:r>
        <w:rPr>
          <w:rStyle w:val="Style14"/>
        </w:rPr>
        <w:footnoteRef/>
      </w:r>
      <w:r>
        <w:rPr/>
        <w:t xml:space="preserve"> </w:t>
      </w:r>
      <w:r>
        <w:rPr/>
        <w:t xml:space="preserve">Не распространяются на договоры, заключенные по результатам конкурентной закупки товаров, работ, услуг в электронной форме только среди субъектов малого и среднего предпринимательства, требования к гарантам </w:t>
        <w:br/>
        <w:t>по которым предусмотрены федеральным законом от 18.07.2011 № 223-ФЗ «О закупках товаров, работ, услуг отдельными видами юридических лиц».</w:t>
      </w:r>
    </w:p>
  </w:footnote>
  <w:footnote w:id="7">
    <w:p>
      <w:pPr>
        <w:pStyle w:val="FootnoteText"/>
        <w:jc w:val="both"/>
        <w:rPr/>
      </w:pPr>
      <w:r>
        <w:rPr>
          <w:rStyle w:val="Style14"/>
        </w:rPr>
        <w:footnoteRef/>
      </w:r>
      <w:r>
        <w:rPr>
          <w:lang w:eastAsia="x-none"/>
        </w:rPr>
        <w:t xml:space="preserve"> </w:t>
      </w:r>
      <w:r>
        <w:rPr>
          <w:lang w:eastAsia="x-none"/>
        </w:rPr>
        <w:t xml:space="preserve">Актуальный Перечень Банков-Гарантов Группы РусГидро размещен на официальном сайте Заказчика </w:t>
      </w:r>
      <w:r>
        <w:rPr/>
        <w:t>http</w:t>
      </w:r>
      <w:r>
        <w:rPr>
          <w:lang w:eastAsia="x-none"/>
        </w:rPr>
        <w:t>://</w:t>
      </w:r>
      <w:r>
        <w:rPr/>
        <w:t>zakupki</w:t>
      </w:r>
      <w:r>
        <w:rPr>
          <w:lang w:eastAsia="x-none"/>
        </w:rPr>
        <w:t>.</w:t>
      </w:r>
      <w:r>
        <w:rPr/>
        <w:t>rushydro</w:t>
      </w:r>
      <w:r>
        <w:rPr>
          <w:lang w:eastAsia="x-none"/>
        </w:rPr>
        <w:t>.</w:t>
      </w:r>
      <w:r>
        <w:rPr/>
        <w:t>ru</w:t>
      </w:r>
      <w:r>
        <w:rPr>
          <w:lang w:eastAsia="x-none"/>
        </w:rPr>
        <w:t>/</w:t>
      </w:r>
      <w:r>
        <w:rPr/>
        <w:t>PublicContent</w:t>
      </w:r>
      <w:r>
        <w:rPr>
          <w:lang w:eastAsia="x-none"/>
        </w:rPr>
        <w:t>/</w:t>
      </w:r>
      <w:r>
        <w:rPr/>
        <w:t>Section</w:t>
      </w:r>
      <w:r>
        <w:rPr>
          <w:lang w:eastAsia="x-none"/>
        </w:rPr>
        <w:t>/.</w:t>
      </w:r>
    </w:p>
  </w:footnote>
  <w:footnote w:id="8">
    <w:p>
      <w:pPr>
        <w:pStyle w:val="FootnoteText"/>
        <w:jc w:val="both"/>
        <w:rPr/>
      </w:pPr>
      <w:r>
        <w:rPr>
          <w:rStyle w:val="Style14"/>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 w:id="9">
    <w:p>
      <w:pPr>
        <w:pStyle w:val="FootnoteText"/>
        <w:jc w:val="both"/>
        <w:rPr/>
      </w:pPr>
      <w:r>
        <w:rPr>
          <w:rStyle w:val="Style14"/>
        </w:rPr>
        <w:footnoteRef/>
      </w:r>
      <w:r>
        <w:rPr>
          <w:lang w:eastAsia="x-none"/>
        </w:rPr>
        <w:t xml:space="preserve"> </w:t>
      </w:r>
      <w:r>
        <w:rPr>
          <w:lang w:eastAsia="x-none"/>
        </w:rPr>
        <w:t>Данное требование не применяется в отношении небанковских кредитных организаций.</w:t>
      </w:r>
    </w:p>
  </w:footnote>
  <w:footnote w:id="10">
    <w:p>
      <w:pPr>
        <w:pStyle w:val="FootnoteText"/>
        <w:jc w:val="both"/>
        <w:rPr/>
      </w:pPr>
      <w:r>
        <w:rPr>
          <w:rStyle w:val="Style14"/>
        </w:rPr>
        <w:footnoteRef/>
      </w:r>
      <w:r>
        <w:rPr>
          <w:lang w:eastAsia="x-none"/>
        </w:rPr>
        <w:t xml:space="preserve"> </w:t>
      </w:r>
      <w:r>
        <w:rPr>
          <w:lang w:eastAsia="x-none"/>
        </w:rPr>
        <w:t>При издании ПО организационно-распорядительного документа о ТФУ данный критерий может быть исключен.</w:t>
      </w:r>
    </w:p>
  </w:footnote>
  <w:footnote w:id="11">
    <w:p>
      <w:pPr>
        <w:pStyle w:val="FootnoteText"/>
        <w:jc w:val="both"/>
        <w:rPr/>
      </w:pPr>
      <w:r>
        <w:rPr>
          <w:rStyle w:val="Style14"/>
        </w:rPr>
        <w:footnoteRef/>
      </w:r>
      <w:r>
        <w:rPr>
          <w:lang w:eastAsia="x-none"/>
        </w:rPr>
        <w:t xml:space="preserve"> </w:t>
      </w:r>
      <w:r>
        <w:rPr>
          <w:lang w:eastAsia="x-none"/>
        </w:rPr>
        <w:t xml:space="preserve">Значение показателя округляется в большую или меньшую сторону до суммы, кратной 100 млн. руб. </w:t>
        <w:br/>
        <w:t>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w:t>
      </w:r>
      <w:r>
        <w:rPr/>
        <w:t> </w:t>
      </w:r>
      <w:r>
        <w:rPr>
          <w:lang w:eastAsia="x-none"/>
        </w:rPr>
        <w:t>440 млн. руб., лимит к установлению - 5</w:t>
      </w:r>
      <w:r>
        <w:rPr/>
        <w:t> </w:t>
      </w:r>
      <w:r>
        <w:rPr>
          <w:lang w:eastAsia="x-none"/>
        </w:rPr>
        <w:t>400 млн. руб.; расчетное значение лимита - 5</w:t>
      </w:r>
      <w:r>
        <w:rPr/>
        <w:t> </w:t>
      </w:r>
      <w:r>
        <w:rPr>
          <w:lang w:eastAsia="x-none"/>
        </w:rPr>
        <w:t>450 млн. руб., лимит к установлению - 5</w:t>
      </w:r>
      <w:r>
        <w:rPr/>
        <w:t> </w:t>
      </w:r>
      <w:r>
        <w:rPr>
          <w:lang w:eastAsia="x-none"/>
        </w:rPr>
        <w:t>500 млн. руб.</w:t>
      </w:r>
    </w:p>
  </w:footnote>
  <w:footnote w:id="12">
    <w:p>
      <w:pPr>
        <w:pStyle w:val="FootnoteText"/>
        <w:jc w:val="both"/>
        <w:rPr/>
      </w:pPr>
      <w:r>
        <w:rPr>
          <w:rStyle w:val="Style14"/>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/или рейтинговых агентств и/или </w:t>
        <w:br/>
        <w:t xml:space="preserve">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64" w:leader="none"/>
      </w:tabs>
      <w:ind w:left="8364" w:hanging="426"/>
      <w:rPr>
        <w:i/>
        <w:i/>
      </w:rPr>
    </w:pPr>
    <w:r>
      <w:rPr/>
      <w:t xml:space="preserve">ТФД № </w:t>
    </w:r>
    <w:r>
      <w:rPr>
        <w:lang w:val="en-US"/>
      </w:rPr>
      <w:t>2</w:t>
    </w:r>
    <w:r>
      <w:rPr/>
      <w:t>.2.3.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b w:val="false"/>
        <w:rFonts w:cs="Times New Roman"/>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3">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abstractNum w:abstractNumId="14">
    <w:lvl w:ilvl="0">
      <w:start w:val="6"/>
      <w:numFmt w:val="decimal"/>
      <w:lvlText w:val="%1."/>
      <w:lvlJc w:val="left"/>
      <w:pPr>
        <w:tabs>
          <w:tab w:val="num" w:pos="0"/>
        </w:tabs>
        <w:ind w:left="360" w:hanging="360"/>
      </w:pPr>
      <w:rPr/>
    </w:lvl>
    <w:lvl w:ilvl="1">
      <w:start w:val="5"/>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1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uiPriority w:val="99"/>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uiPriority w:val="99"/>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Абзац списка Знак"/>
    <w:link w:val="ListParagraph"/>
    <w:uiPriority w:val="34"/>
    <w:qFormat/>
    <w:locked/>
    <w:rsid w:val="00182860"/>
    <w:rPr/>
  </w:style>
  <w:style w:type="character" w:styleId="Style18">
    <w:name w:val="Символ концевой сноски"/>
    <w:qFormat/>
    <w:rPr/>
  </w:style>
  <w:style w:type="character" w:styleId="EndnoteReference">
    <w:name w:val="Endnote Reference"/>
    <w:rPr>
      <w:vertAlign w:val="superscript"/>
    </w:rPr>
  </w:style>
  <w:style w:type="paragraph" w:styleId="Style19">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style>
  <w:style w:type="paragraph" w:styleId="Title">
    <w:name w:val="Title"/>
    <w:basedOn w:val="Normal"/>
    <w:link w:val="Style7"/>
    <w:qFormat/>
    <w:rsid w:val="00a264b0"/>
    <w:pPr>
      <w:jc w:val="center"/>
    </w:pPr>
    <w:rPr>
      <w:b/>
      <w:bCs/>
      <w:sz w:val="24"/>
      <w:szCs w:val="24"/>
    </w:rPr>
  </w:style>
  <w:style w:type="paragraph" w:styleId="Style21"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2">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uiPriority w:val="99"/>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3"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4"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5"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6"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yperlink" Target="http://www.cbr.ru/" TargetMode="Externa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Relationship Id="rId19" Type="http://schemas.openxmlformats.org/officeDocument/2006/relationships/customXml" Target="../customXml/item2.xml"/><Relationship Id="rId20" Type="http://schemas.openxmlformats.org/officeDocument/2006/relationships/customXml" Target="../customXml/item3.xml"/><Relationship Id="rId21"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3.xml><?xml version="1.0" encoding="utf-8"?>
<ds:datastoreItem xmlns:ds="http://schemas.openxmlformats.org/officeDocument/2006/customXml" ds:itemID="{F4B0BAB9-8B8F-4B85-B8DF-266ED50E1B2E}">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E596726F-7A42-474C-8790-9A2A32251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AlterOffice/3.4.0.9$Linux_X86_64 LibreOffice_project/b8daf9e823b1a5463a2f48435ddc2e8696e7d4fc</Application>
  <AppVersion>15.0000</AppVersion>
  <Pages>21</Pages>
  <Words>9054</Words>
  <Characters>65002</Characters>
  <CharactersWithSpaces>73779</CharactersWithSpaces>
  <Paragraphs>417</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2026-05-20T11:32:00Z</dcterms:created>
  <dc:creator>tsypilev_ag</dc:creator>
  <dc:description/>
  <dc:language>ru-RU</dc:language>
  <cp:lastModifiedBy>eryshevavn@corp.gidroogk.com</cp:lastModifiedBy>
  <cp:lastPrinted>2018-05-22T09:46:00Z</cp:lastPrinted>
  <dcterms:modified xsi:type="dcterms:W3CDTF">2026-05-20T15:27:19Z</dcterms:modified>
  <cp:revision>4</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