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ind w:left="6095" w:right="0" w:hanging="0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«УТВЕРЖДАЮ»</w:t>
      </w:r>
    </w:p>
    <w:p>
      <w:pPr>
        <w:pStyle w:val="Normal"/>
        <w:spacing w:lineRule="auto" w:line="276" w:before="0" w:after="200"/>
        <w:ind w:left="6095" w:right="0" w:hanging="0"/>
        <w:contextualSpacing/>
        <w:jc w:val="right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И.о.</w:t>
      </w:r>
      <w:r>
        <w:rPr>
          <w:sz w:val="24"/>
          <w:szCs w:val="24"/>
        </w:rPr>
        <w:t xml:space="preserve"> директора Центрального</w:t>
      </w:r>
    </w:p>
    <w:p>
      <w:pPr>
        <w:pStyle w:val="Normal"/>
        <w:spacing w:lineRule="auto" w:line="276" w:before="0" w:after="200"/>
        <w:ind w:left="6095" w:right="0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Филиала АО «ТК РусГидро»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/>
        <w:t xml:space="preserve">____________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О.Н. Захаров</w:t>
      </w:r>
      <w:r>
        <w:rPr/>
        <w:br/>
        <w:t>«____»________________20____г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left="0" w:right="0" w:firstLine="851"/>
        <w:jc w:val="center"/>
        <w:rPr>
          <w:b/>
        </w:rPr>
      </w:pPr>
      <w:r>
        <w:rPr>
          <w:rFonts w:eastAsia="Calibri"/>
          <w:b/>
        </w:rPr>
        <w:t>«ОКПД2 33.17.19.000  Оказание услуг по выездному ремонту  самоходных машин Загорского строительного участка Центрального филиала АО "ТК РусГидро"»</w:t>
      </w:r>
    </w:p>
    <w:p>
      <w:pPr>
        <w:pStyle w:val="Normal"/>
        <w:ind w:left="0" w:right="0" w:firstLine="851"/>
        <w:jc w:val="center"/>
        <w:rPr>
          <w:b/>
        </w:rPr>
      </w:pPr>
      <w:r>
        <w:rPr>
          <w:b/>
        </w:rPr>
      </w:r>
    </w:p>
    <w:p>
      <w:pPr>
        <w:pStyle w:val="Normal"/>
        <w:ind w:left="0" w:right="0" w:firstLine="851"/>
        <w:jc w:val="center"/>
        <w:rPr>
          <w:b/>
        </w:rPr>
      </w:pPr>
      <w:r>
        <w:rPr>
          <w:b/>
        </w:rPr>
      </w:r>
    </w:p>
    <w:p>
      <w:pPr>
        <w:pStyle w:val="Normal"/>
        <w:ind w:left="0" w:right="0" w:firstLine="851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u w:val="single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23"/>
            </w:rPr>
            <w:instrText xml:space="preserve"> TOC \o "1-4" \h</w:instrText>
          </w:r>
          <w:r>
            <w:rPr>
              <w:rStyle w:val="Style23"/>
            </w:rPr>
            <w:fldChar w:fldCharType="separate"/>
          </w:r>
          <w:hyperlink w:anchor="__RefHeading___Toc3418_2131320929">
            <w:r>
              <w:rPr>
                <w:rStyle w:val="Style23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22_2131320929">
            <w:r>
              <w:rPr>
                <w:rStyle w:val="Style23"/>
              </w:rPr>
              <w:t>1.1. Наименование закупаемых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24_2131320929">
            <w:r>
              <w:rPr>
                <w:rStyle w:val="Style23"/>
              </w:rPr>
              <w:t>1.2.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26_2131320929">
            <w:r>
              <w:rPr>
                <w:rStyle w:val="Style23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28_2131320929">
            <w:r>
              <w:rPr>
                <w:rStyle w:val="Style23"/>
              </w:rPr>
              <w:t xml:space="preserve">2. </w:t>
            </w:r>
            <w:r>
              <w:rPr>
                <w:rStyle w:val="Style23"/>
                <w:iCs/>
              </w:rPr>
              <w:t>Требования</w:t>
            </w:r>
            <w:r>
              <w:rPr>
                <w:rStyle w:val="Style23"/>
                <w:iCs/>
              </w:rPr>
              <w:t xml:space="preserve"> к оказываемым услугам</w:t>
            </w:r>
            <w:r>
              <w:rPr>
                <w:rStyle w:val="Style23"/>
              </w:rPr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30_2131320929">
            <w:r>
              <w:rPr>
                <w:rStyle w:val="Style23"/>
              </w:rPr>
              <w:t>2.1. Требования к объемам и срокам оказания услуг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432_2131320929">
            <w:r>
              <w:rPr>
                <w:rStyle w:val="Style23"/>
              </w:rPr>
              <w:t>2.1.1. Требования к перечню и объему услуг: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34_2131320929">
            <w:r>
              <w:rPr>
                <w:rStyle w:val="Style23"/>
              </w:rPr>
              <w:t>Таблица 2. Перечень и объем оказываемых услуг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436_2131320929">
            <w:r>
              <w:rPr>
                <w:rStyle w:val="Style23"/>
              </w:rPr>
              <w:t>2.1.2. Требования к срокам оказания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38_2131320929">
            <w:r>
              <w:rPr>
                <w:rStyle w:val="Style23"/>
              </w:rPr>
              <w:t>Таблица 3. Требования к срокам оказания услуг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40_2131320929">
            <w:r>
              <w:rPr>
                <w:rStyle w:val="Style23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42_2131320929">
            <w:r>
              <w:rPr>
                <w:rStyle w:val="Style23"/>
              </w:rPr>
              <w:t>Таблица 4.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44_2131320929">
            <w:r>
              <w:rPr>
                <w:rStyle w:val="Style23"/>
              </w:rPr>
              <w:t>3. Требования к документации по ценообразованию на этапе закупки</w:t>
              <w:tab/>
              <w:t>9</w:t>
            </w:r>
          </w:hyperlink>
          <w:r>
            <w:rPr>
              <w:rStyle w:val="Style23"/>
            </w:rPr>
            <w:fldChar w:fldCharType="end"/>
          </w:r>
        </w:p>
      </w:sdtContent>
    </w:sdt>
    <w:p>
      <w:pPr>
        <w:pStyle w:val="TOC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OC1"/>
        <w:jc w:val="both"/>
        <w:rPr>
          <w:iCs/>
          <w:lang w:val="en-US"/>
        </w:rPr>
      </w:pPr>
      <w:r>
        <w:rPr>
          <w:iCs/>
          <w:lang w:val="en-US"/>
        </w:rPr>
      </w:r>
    </w:p>
    <w:p>
      <w:pPr>
        <w:pStyle w:val="Heading2"/>
        <w:numPr>
          <w:ilvl w:val="0"/>
        </w:numPr>
        <w:tabs>
          <w:tab w:val="clear" w:pos="0"/>
        </w:tabs>
        <w:ind w:left="0" w:righ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sz w:val="24"/>
          <w:szCs w:val="24"/>
          <w:lang w:val="ru-RU"/>
        </w:rPr>
      </w:pPr>
      <w:bookmarkStart w:id="1" w:name="__RefHeading___Toc3418_2131320929"/>
      <w:bookmarkStart w:id="2" w:name="_Toc157094377"/>
      <w:bookmarkEnd w:id="1"/>
      <w:r>
        <w:rPr>
          <w:sz w:val="24"/>
          <w:szCs w:val="24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" w:name="__RefHeading___Toc3422_2131320929"/>
      <w:bookmarkEnd w:id="3"/>
      <w:r>
        <w:rPr/>
        <w:t>На</w:t>
      </w:r>
      <w:bookmarkStart w:id="4" w:name="_Toc157094379"/>
      <w:bookmarkStart w:id="5" w:name="_Toc46743506"/>
      <w:r>
        <w:rPr/>
        <w:t>именование закупаем</w:t>
      </w:r>
      <w:bookmarkEnd w:id="5"/>
      <w:r>
        <w:rPr>
          <w:lang w:val="ru-RU"/>
        </w:rPr>
        <w:t>ых услуг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33.17.19.000  Оказание услуг по выездному ремонту  самоходных машин Загорского строительного участка Центрального филиала АО "ТК РусГидро"»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bookmarkStart w:id="6" w:name="__RefHeading___Toc3424_2131320929"/>
      <w:bookmarkStart w:id="7" w:name="_Toc157094380"/>
      <w:bookmarkStart w:id="8" w:name="_Toc46743507"/>
      <w:bookmarkEnd w:id="6"/>
      <w:r>
        <w:rPr/>
        <w:t xml:space="preserve">Цель </w:t>
      </w:r>
      <w:bookmarkEnd w:id="8"/>
      <w:r>
        <w:rPr>
          <w:lang w:val="ru-RU"/>
        </w:rPr>
        <w:t>оказания услуг</w:t>
      </w:r>
      <w:bookmarkEnd w:id="7"/>
      <w:r>
        <w:rPr/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Содержание самоходных машин Загорского строительного участка </w:t>
      </w:r>
      <w:r>
        <w:rPr>
          <w:sz w:val="24"/>
          <w:szCs w:val="24"/>
        </w:rPr>
        <w:t xml:space="preserve">в технически исправном состоянии, проведение своевременного и качественного текущего ремонта. 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9" w:name="__RefHeading___Toc3426_2131320929"/>
      <w:bookmarkStart w:id="10" w:name="_Toc157094381"/>
      <w:bookmarkEnd w:id="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0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678"/>
        <w:gridCol w:w="2494"/>
        <w:gridCol w:w="2644"/>
        <w:gridCol w:w="1548"/>
      </w:tblGrid>
      <w:tr>
        <w:trPr>
          <w:trHeight w:val="801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172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" w:hRule="atLeast"/>
        </w:trPr>
        <w:tc>
          <w:tcPr>
            <w:tcW w:w="8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Загорский строительный участок</w:t>
            </w:r>
          </w:p>
        </w:tc>
        <w:tc>
          <w:tcPr>
            <w:tcW w:w="2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Московская область, Сергиево-Посадский г.о.,</w:t>
              <w:br/>
              <w:t>пгт. Богородское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Автогрейдер UMG ГС-18.05-20 </w:t>
            </w:r>
            <w:r>
              <w:rPr>
                <w:rFonts w:eastAsia="Times New Roman"/>
                <w:color w:val="000000"/>
                <w:kern w:val="0"/>
                <w:sz w:val="20"/>
                <w:sz w:val="20"/>
                <w:szCs w:val="20"/>
                <w:lang w:val="ru-RU" w:eastAsia="ru-RU" w:bidi="ar-SA"/>
              </w:rPr>
              <w:t>﻿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VIN UMG-PBRA-2302004 </w:t>
            </w:r>
            <w:r>
              <w:rPr>
                <w:rFonts w:eastAsia="Times New Roman"/>
                <w:color w:val="000000"/>
                <w:kern w:val="0"/>
                <w:sz w:val="20"/>
                <w:sz w:val="20"/>
                <w:szCs w:val="20"/>
                <w:lang w:val="ru-RU" w:eastAsia="ru-RU" w:bidi="ar-SA"/>
              </w:rPr>
              <w:t>﻿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 шт.</w:t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Автогрейдер TIANGONG PY220G </w:t>
            </w:r>
            <w:r>
              <w:rPr>
                <w:rFonts w:eastAsia="Times New Roman"/>
                <w:color w:val="000000"/>
                <w:kern w:val="0"/>
                <w:sz w:val="20"/>
                <w:sz w:val="20"/>
                <w:szCs w:val="20"/>
                <w:lang w:eastAsia="ru-RU" w:bidi="ar-SA"/>
              </w:rPr>
              <w:t xml:space="preserve">﻿ 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VIN Р2000216В </w:t>
            </w:r>
            <w:r>
              <w:rPr>
                <w:rFonts w:eastAsia="Times New Roman"/>
                <w:color w:val="000000"/>
                <w:kern w:val="0"/>
                <w:sz w:val="20"/>
                <w:sz w:val="20"/>
                <w:szCs w:val="20"/>
                <w:lang w:eastAsia="ru-RU" w:bidi="ar-SA"/>
              </w:rPr>
              <w:t>﻿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г.н. 27 ХА 2805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Бульдозер LIEBHERR PR 734 XL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VIN VAUZ1659CZT018441 г.н. 1962 КХ 41 </w:t>
            </w:r>
            <w:r>
              <w:rPr>
                <w:rFonts w:eastAsia="Times New Roman"/>
                <w:color w:val="000000"/>
                <w:kern w:val="0"/>
                <w:sz w:val="20"/>
                <w:sz w:val="20"/>
                <w:szCs w:val="20"/>
                <w:lang w:val="ru-RU" w:eastAsia="ru-RU" w:bidi="ar-SA"/>
              </w:rPr>
              <w:t>﻿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Каток дорожный ВOMAG ВW 219D-4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101582101113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 ЕХ 5169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Каток дорожный вибрационный XCMG XS 143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XUG01431AMJE06622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 СС 6832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Каток дорожный вибрационный XCMG XS 183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XUG01831VMJE02446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ХМ 7696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 ЕК-270 LC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1461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05 ЕХ 5159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 XCMG XE 370 CA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XUGB3703CMKA02746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ХН 6812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Экскаватор-погрузчик JCB 3CX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HAR3CXTTTM3077139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ХН 7095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Мини экскаватор LONKING CDМ6060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LFW060N6CP0010618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ХС 8731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Мини экскаватор LONKING CDМ6060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LFW060N6JP0010598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ХС 8732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 XCMG XE 210W пневмоколесный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XUGB210WJKKA00198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ХО 8424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 JCB, JS305LC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SHAJE30AAL2915044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ХМ 2679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 гусеничный XCMG XE225 DN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XUGA215BKMKA00009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ХМ 7689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 гусеничный JS205NLC (объем ковша 1,02м3)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SHAJS20АЕМ2867330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ХМ 7690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Экскаватор-погрузчик JCB 4CXK14H2WM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MCW4CX4WVM2692648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ХН 6708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Бульдозер SHANTUI SD 16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CHSD16AAVM10507B8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 СС 6826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Бульдозер SHANTUI SD 23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SD23AA101730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ХА 5979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Бульдозер SHANTUI SD16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CHSD16AAJM1050352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ХН 6790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Бульдозер SHANTUI SD16L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СНSD16AIJN1051665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ХН 5682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Бульдозер SHANTUI SD23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SD23AA101631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 ХА 1650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Бульдозер SHANTUI SD16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CHSD16AALL1047259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ХМ 7697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Погрузчик фронтальный XCMG LW550RU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XUG0550FHLCB00827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ОХ 8423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Погрузчик BOBCAT S650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A3NW14621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50 ХО 8425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Фрональный погрузчик LONKING CDM856</w:t>
            </w:r>
          </w:p>
          <w:p>
            <w:pPr>
              <w:pStyle w:val="Style4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VIN: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LFJ0858NCLA301655</w:t>
            </w:r>
          </w:p>
          <w:p>
            <w:pPr>
              <w:pStyle w:val="Style49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 СС 0731</w:t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3"/>
        </w:numPr>
        <w:ind w:left="0" w:right="0" w:hanging="0"/>
        <w:rPr>
          <w:iCs/>
          <w:sz w:val="24"/>
          <w:szCs w:val="24"/>
        </w:rPr>
      </w:pPr>
      <w:bookmarkStart w:id="11" w:name="__RefHeading___Toc3428_2131320929"/>
      <w:bookmarkStart w:id="12" w:name="_Toc157094382"/>
      <w:bookmarkEnd w:id="11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  <w:bookmarkEnd w:id="12"/>
    </w:p>
    <w:p>
      <w:pPr>
        <w:pStyle w:val="Heading4"/>
        <w:numPr>
          <w:ilvl w:val="1"/>
          <w:numId w:val="3"/>
        </w:numPr>
        <w:ind w:left="0" w:right="0" w:hanging="0"/>
        <w:rPr>
          <w:b w:val="false"/>
        </w:rPr>
      </w:pPr>
      <w:bookmarkStart w:id="13" w:name="__RefHeading___Toc3430_2131320929"/>
      <w:bookmarkStart w:id="14" w:name="_Toc157094383"/>
      <w:bookmarkEnd w:id="13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14"/>
    </w:p>
    <w:p>
      <w:pPr>
        <w:pStyle w:val="Heading3"/>
        <w:numPr>
          <w:ilvl w:val="2"/>
          <w:numId w:val="3"/>
        </w:numPr>
        <w:ind w:left="0" w:right="0" w:hanging="0"/>
        <w:rPr>
          <w:b w:val="false"/>
          <w:lang w:val="ru-RU"/>
        </w:rPr>
      </w:pPr>
      <w:bookmarkStart w:id="15" w:name="__RefHeading___Toc3432_2131320929"/>
      <w:bookmarkStart w:id="16" w:name="_Toc157094384"/>
      <w:bookmarkEnd w:id="15"/>
      <w:r>
        <w:rPr>
          <w:b w:val="false"/>
          <w:lang w:val="ru-RU"/>
        </w:rPr>
        <w:t>Требования к перечню и объему услуг:</w:t>
      </w:r>
      <w:bookmarkEnd w:id="1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Фактический объем услуг по Договору определяется Заказчиком, исходя из его потребностей в соответствии с действующим прейскурантом исполнителя.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b w:val="false"/>
          <w:i/>
          <w:i/>
          <w:sz w:val="24"/>
          <w:szCs w:val="24"/>
          <w:lang w:val="ru-RU"/>
        </w:rPr>
      </w:pPr>
      <w:bookmarkStart w:id="17" w:name="__RefHeading___Toc3434_2131320929"/>
      <w:bookmarkStart w:id="18" w:name="_Toc157094385"/>
      <w:bookmarkStart w:id="19" w:name="_Toc51339695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547"/>
        <w:gridCol w:w="1947"/>
        <w:gridCol w:w="1180"/>
      </w:tblGrid>
      <w:tr>
        <w:trPr>
          <w:trHeight w:val="204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  <w:t>Наименование  услуги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  <w:br/>
              <w:t>изм.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0"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ед.</w:t>
            </w:r>
          </w:p>
        </w:tc>
      </w:tr>
      <w:tr>
        <w:trPr>
          <w:trHeight w:val="72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нормо-час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2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неисправностей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нормо-час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2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сервисной группы до места оказания услуг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0"/>
          <w:szCs w:val="28"/>
        </w:rPr>
      </w:pPr>
      <w:bookmarkStart w:id="20" w:name="__RefHeading___Toc2849_3274361489"/>
      <w:bookmarkEnd w:id="20"/>
      <w:r>
        <w:rPr>
          <w:sz w:val="20"/>
          <w:szCs w:val="28"/>
        </w:rPr>
        <w:t xml:space="preserve">* Объем услуг является ориентировочным, Заказчик не несет ответственности за неполную выборку услуг  на общую сумму договора. </w:t>
      </w:r>
    </w:p>
    <w:p>
      <w:pPr>
        <w:pStyle w:val="Normal"/>
        <w:widowControl/>
        <w:suppressAutoHyphens w:val="true"/>
        <w:bidi w:val="0"/>
        <w:spacing w:before="120" w:after="60"/>
        <w:ind w:left="0" w:right="0" w:hanging="0"/>
        <w:rPr/>
      </w:pPr>
      <w:r>
        <w:rPr/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1224" w:right="0" w:hanging="504"/>
        <w:jc w:val="left"/>
        <w:rPr>
          <w:rFonts w:ascii="Times New Roman" w:hAnsi="Times New Roman" w:eastAsia="Calibri" w:cs="Times New Roman"/>
          <w:b w:val="false"/>
          <w:bCs w:val="false"/>
          <w:color w:val="auto"/>
          <w:kern w:val="0"/>
          <w:lang w:val="ru-RU" w:eastAsia="x-none" w:bidi="ar-SA"/>
        </w:rPr>
      </w:pPr>
      <w:bookmarkStart w:id="21" w:name="__RefHeading___Toc3436_2131320929"/>
      <w:bookmarkStart w:id="22" w:name="_Toc157094386"/>
      <w:bookmarkStart w:id="23" w:name="_Toc51339696"/>
      <w:bookmarkEnd w:id="21"/>
      <w:r>
        <w:rPr>
          <w:rFonts w:eastAsia="Calibri" w:cs="Times New Roman"/>
          <w:b w:val="false"/>
          <w:bCs w:val="false"/>
          <w:color w:val="auto"/>
          <w:kern w:val="0"/>
          <w:lang w:val="ru-RU" w:eastAsia="x-none" w:bidi="ar-SA"/>
        </w:rPr>
        <w:t xml:space="preserve">Требования </w:t>
      </w:r>
      <w:bookmarkEnd w:id="23"/>
      <w:r>
        <w:rPr>
          <w:rFonts w:eastAsia="Calibri" w:cs="Times New Roman"/>
          <w:b w:val="false"/>
          <w:bCs w:val="false"/>
          <w:color w:val="auto"/>
          <w:kern w:val="0"/>
          <w:lang w:val="ru-RU" w:eastAsia="x-none" w:bidi="ar-SA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  <w:lang w:val="ru-RU"/>
        </w:rPr>
      </w:pPr>
      <w:bookmarkStart w:id="24" w:name="__RefHeading___Toc3438_2131320929"/>
      <w:bookmarkStart w:id="25" w:name="_Toc157094387"/>
      <w:bookmarkStart w:id="26" w:name="_Toc51339697"/>
      <w:bookmarkStart w:id="27" w:name="_Toc50125127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оказания услуг</w:t>
      </w:r>
      <w:bookmarkEnd w:id="25"/>
    </w:p>
    <w:tbl>
      <w:tblPr>
        <w:tblW w:w="103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60"/>
        <w:gridCol w:w="2972"/>
        <w:gridCol w:w="3317"/>
      </w:tblGrid>
      <w:tr>
        <w:trPr>
          <w:trHeight w:val="69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>
          <w:trHeight w:val="29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07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60" w:right="0" w:hanging="360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Срок действия договора: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«ОКПД2 33.17.19.000  Оказание услуг по выездному ремонту  самоходных машин Загорского строительного участка Центрального филиала АО "ТК РусГидро"»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заключения договора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12 (двенадцать) месяцев с даты заключения договора или до исчерпания предельной стоимости договора, в зависимости от того, что наступит раньше</w:t>
            </w:r>
          </w:p>
        </w:tc>
      </w:tr>
      <w:tr>
        <w:trPr>
          <w:trHeight w:val="140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60" w:right="0" w:hanging="360"/>
              <w:rPr/>
            </w:pPr>
            <w:r>
              <w:rPr/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Срок оказания услуг по заявке: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«ОКПД2 33.17.19.000  Оказание услуг по выездному ремонту  самоходных машин Загорского строительного участка Центрального филиала АО "ТК РусГидро"»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исполнителем заявки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в течение 4 (четырех) рабочих дней (легкий ремонт), 15 (пятнадцать) рабочих дней (при проведении сложного ремонта, при наличии запасных частей)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9" w:name="__RefHeading___Toc3440_2131320929"/>
      <w:bookmarkStart w:id="30" w:name="_Toc51339698"/>
      <w:bookmarkStart w:id="31" w:name="_Toc157094388"/>
      <w:bookmarkStart w:id="32" w:name="_Toc46743511"/>
      <w:bookmarkEnd w:id="29"/>
      <w:r>
        <w:rPr/>
        <w:t xml:space="preserve">Требования к </w:t>
      </w:r>
      <w:bookmarkEnd w:id="32"/>
      <w:r>
        <w:rPr>
          <w:lang w:val="ru-RU"/>
        </w:rPr>
        <w:t xml:space="preserve">качеству </w:t>
      </w:r>
      <w:bookmarkEnd w:id="31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b/>
          <w:i w:val="false"/>
          <w:i w:val="false"/>
          <w:sz w:val="24"/>
          <w:szCs w:val="24"/>
          <w:shd w:fill="auto" w:val="clear"/>
        </w:rPr>
      </w:pPr>
      <w:bookmarkStart w:id="33" w:name="__RefHeading___Toc3442_2131320929"/>
      <w:bookmarkStart w:id="34" w:name="_Toc157094389"/>
      <w:bookmarkEnd w:id="3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 xml:space="preserve">качеству </w:t>
      </w:r>
      <w:bookmarkEnd w:id="34"/>
      <w:r>
        <w:rPr>
          <w:sz w:val="24"/>
          <w:szCs w:val="24"/>
          <w:lang w:val="ru-RU"/>
        </w:rPr>
        <w:t>продукции</w:t>
      </w:r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1-3 Таблицы 2): </w:t>
      </w:r>
      <w:r>
        <w:rPr>
          <w:rFonts w:eastAsia="Calibri"/>
          <w:b/>
          <w:bCs/>
          <w:sz w:val="24"/>
          <w:szCs w:val="24"/>
          <w:lang w:eastAsia="x-none"/>
        </w:rPr>
        <w:t>«ОКПД2 33.17.19.000  Оказание услуг по выездному ремонту  самоходных машин Загорского строительного участка Центрального филиала АО "ТК РусГидро"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»</w:t>
      </w:r>
    </w:p>
    <w:tbl>
      <w:tblPr>
        <w:tblW w:w="15555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025"/>
        <w:gridCol w:w="3405"/>
        <w:gridCol w:w="3149"/>
      </w:tblGrid>
      <w:tr>
        <w:trPr/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5"/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техническим требованиям, по форме Технического предложения, установленной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Документации о закупке.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072" w:right="0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1.1.1.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Исполнитель, оказывающий услуги по текущему ремонту самоходных машин, обязан обеспечивать их проведение в соответствии с установленными нормами и правилами процедуры технического обслуживания и ремонта, установленными заводом-изготовителем.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После ремонта техника должна соответствовать требованиям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Постановления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 других видов техники".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072" w:right="0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1.1.2.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 обязан извещать Заказчика о возникновении, в ходе оказания Услуг, новых 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1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1.1.3.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Неисправные запчасти, образовавшиеся в результате оказания Услуг, являются собственностью Заказчика. 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1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1.1.4.</w: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Все работы проводятся силами, средствами Исполнителя, с использованием запасных частей и материалов Исполнителя на территории   Заказчика, находящейся в пгт. Богородское, Сергиево-Посадского г.о., Московской области.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Услуги оказываются по заявкам в период с момента подписания договора.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Срок оказания услуг по конкретной заявке не должен превышать 4 (четырех) рабочих дней (легкий ремонт), 15 (пятнадцать) рабочих дней (при проведении сложного ремонта, при наличии запасных частей)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даты получения заявки исполнителем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организации безопасности при оказании услуг, персонал Исполнителя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руководствоваться и соблюдать требования паспортных данных, руководства по эксплуатации и технического обслуживания завода-изготовителя техники, законодательства Российской Федерации, при оказании соответствующих видов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иметь и пользоваться средствами индивидуальной защиты, сертифицированный, исправный инструмент и электрооборудование, соответствующие требованиям для соответствующей профессии;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соблюдать правила внутреннего распорядка.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устанавливать только новые запасные части в соответствии с каталожными номерами завода изготовителя. Запасные части, используемые Исполнителем, должны быть сертифицированы. Также, по требованию Заказчика Исполнитель обязан устанавливать на автотранспорт Заказчика запасные части и рабочие жидкости предоставленные Заказчиком.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нормо-часа, код работы.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8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При проведении текущего ремонта,</w:t>
            </w:r>
            <w:r>
              <w:rPr>
                <w:b/>
              </w:rPr>
              <w:t xml:space="preserve"> </w:t>
            </w:r>
            <w:r>
              <w:rPr/>
              <w:t xml:space="preserve">Исполнитель обеспечивает возможность выбора Заказчиком запчастей и расходных материалов, предлагаемых к использованию у различных официальных источников (с предоставлением информации по электронным каталогам интернет-магазинов </w:t>
            </w:r>
            <w:r>
              <w:rPr>
                <w:lang w:val="en-US"/>
              </w:rPr>
              <w:t>Exist</w:t>
            </w:r>
            <w:r>
              <w:rPr/>
              <w:t xml:space="preserve">, </w:t>
            </w:r>
            <w:r>
              <w:rPr>
                <w:lang w:val="en-US"/>
              </w:rPr>
              <w:t xml:space="preserve">Autoopt.ru </w:t>
            </w:r>
            <w:r>
              <w:rPr/>
              <w:t xml:space="preserve">и др.). Стоимость запчастей, указанных в заказ-наряде на текущий ремонт, не превышает стоимость запчастей более чем на 10%, указанную на сайтах интернет-магазинов запчастей </w:t>
            </w:r>
            <w:r>
              <w:rPr>
                <w:lang w:val="en-US"/>
              </w:rPr>
              <w:t>Exist</w:t>
            </w:r>
            <w:r>
              <w:rPr/>
              <w:t xml:space="preserve"> и/или  </w:t>
            </w:r>
            <w:r>
              <w:rPr>
                <w:lang w:val="en-US"/>
              </w:rPr>
              <w:t>Autoopt.ru.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оказанные услуги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устанавливается гарантийный срок, заранее согласованный с Заказчиком, который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исчисляется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с даты подписания акта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сдачи-приемки оказанных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течении гарантийного периода Исполнитель обязан выполнить свои гарантийные обязательства своими силами и за свой счет в срок не более 10 (десяти) рабочих дней после предъявления Заказчиком соответствующего требования по устранению дефектов, выявленных в процессе эксплуатации, с учетом всех накладных и транспортных расходов,  в месте оказания услуг на территории Заказчика.</w:t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shd w:fill="auto" w:val="clear"/>
        </w:rPr>
      </w:pPr>
      <w:bookmarkStart w:id="36" w:name="__RefHeading___Toc3444_2131320929"/>
      <w:bookmarkStart w:id="37" w:name="_Toc54643710"/>
      <w:bookmarkStart w:id="38" w:name="_Toc157094390"/>
      <w:bookmarkStart w:id="39" w:name="_Toc53395937"/>
      <w:bookmarkStart w:id="40" w:name="_Toc53393312"/>
      <w:bookmarkEnd w:id="36"/>
      <w:r>
        <w:rPr>
          <w:sz w:val="24"/>
          <w:szCs w:val="24"/>
          <w:shd w:fill="auto" w:val="clear"/>
          <w:lang w:val="ru-RU"/>
        </w:rPr>
        <w:t>Требования к документации по ценообразованию</w:t>
      </w:r>
      <w:bookmarkEnd w:id="39"/>
      <w:bookmarkEnd w:id="40"/>
      <w:r>
        <w:rPr>
          <w:sz w:val="24"/>
          <w:szCs w:val="24"/>
          <w:shd w:fill="auto" w:val="clear"/>
          <w:lang w:val="ru-RU"/>
        </w:rPr>
        <w:t xml:space="preserve"> на этапе закупки</w:t>
      </w:r>
      <w:bookmarkEnd w:id="37"/>
      <w:bookmarkEnd w:id="38"/>
    </w:p>
    <w:p>
      <w:pPr>
        <w:pStyle w:val="Normal"/>
        <w:rPr>
          <w:sz w:val="24"/>
          <w:szCs w:val="24"/>
          <w:shd w:fill="auto" w:val="clear"/>
          <w:lang w:eastAsia="x-none"/>
        </w:rPr>
      </w:pPr>
      <w:r>
        <w:rPr>
          <w:sz w:val="24"/>
          <w:szCs w:val="24"/>
          <w:shd w:fill="auto" w:val="clear"/>
          <w:lang w:eastAsia="x-none"/>
        </w:rPr>
      </w:r>
    </w:p>
    <w:p>
      <w:pPr>
        <w:pStyle w:val="Normal"/>
        <w:ind w:left="0" w:right="-2" w:firstLine="426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left="0" w:right="-2" w:firstLine="426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>3.2. Дополнительные документы по ценообразованию в состав заявки не включаются.</w:t>
      </w:r>
    </w:p>
    <w:p>
      <w:pPr>
        <w:pStyle w:val="Normal"/>
        <w:ind w:left="0" w:right="-2" w:firstLine="426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3.3. </w:t>
      </w:r>
      <w:r>
        <w:rPr>
          <w:iCs/>
          <w:sz w:val="24"/>
          <w:szCs w:val="24"/>
          <w:shd w:fill="auto" w:val="clear"/>
          <w:lang w:val="x-none"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</w:t>
      </w:r>
      <w:r>
        <w:rPr>
          <w:sz w:val="24"/>
          <w:szCs w:val="24"/>
          <w:shd w:fill="auto" w:val="clear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left="0" w:right="0"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0" w:right="0"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0" w:right="0"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br/>
        <w:t xml:space="preserve">Руководитель ГКЭОиРТС ЦФ АО «ТК РусГидро»          </w:t>
        <w:tab/>
        <w:t>А.Н. Пышкин   _______________</w:t>
      </w:r>
    </w:p>
    <w:p>
      <w:pPr>
        <w:pStyle w:val="Heading1"/>
        <w:keepLines/>
        <w:numPr>
          <w:ilvl w:val="0"/>
        </w:numPr>
        <w:tabs>
          <w:tab w:val="clear" w:pos="0"/>
        </w:tabs>
        <w:ind w:left="357" w:right="0" w:hanging="0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Ведущий инженер по эксплуатации транспорта</w:t>
        <w:br/>
        <w:t>ГКЭОиРТС ЦФ АО «ТК РусГидро»</w:t>
        <w:tab/>
        <w:tab/>
        <w:tab/>
        <w:t xml:space="preserve">  </w:t>
        <w:tab/>
        <w:t xml:space="preserve"> А.И. Петров _________________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737" w:footer="0" w:bottom="1135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1224" w:right="0" w:hanging="504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left="1224" w:right="0" w:hanging="504"/>
      <w:jc w:val="both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4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3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9"/>
    <w:qFormat/>
    <w:rPr>
      <w:sz w:val="26"/>
      <w:szCs w:val="26"/>
    </w:rPr>
  </w:style>
  <w:style w:type="character" w:styleId="3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6"/>
    <w:qFormat/>
    <w:rPr>
      <w:b/>
      <w:sz w:val="28"/>
    </w:rPr>
  </w:style>
  <w:style w:type="character" w:styleId="12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Style14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TML">
    <w:name w:val="Стандартный HTML Знак"/>
    <w:basedOn w:val="DefaultParagraphFont"/>
    <w:link w:val="HTMLPreformatted"/>
    <w:qFormat/>
    <w:rPr>
      <w:rFonts w:ascii="Courier New" w:hAnsi="Courier New" w:cs="Courier New"/>
    </w:rPr>
  </w:style>
  <w:style w:type="character" w:styleId="Style15">
    <w:name w:val="Нижний колонтитул Знак"/>
    <w:basedOn w:val="DefaultParagraphFont"/>
    <w:qFormat/>
    <w:rPr>
      <w:sz w:val="28"/>
      <w:szCs w:val="28"/>
    </w:rPr>
  </w:style>
  <w:style w:type="character" w:styleId="Wmi-callto">
    <w:name w:val="wmi-callto"/>
    <w:qFormat/>
    <w:rPr/>
  </w:style>
  <w:style w:type="character" w:styleId="Apple-converted-space">
    <w:name w:val="apple-converted-space"/>
    <w:qFormat/>
    <w:rPr/>
  </w:style>
  <w:style w:type="character" w:styleId="23">
    <w:name w:val="Основной текст с отступом 2 Знак"/>
    <w:basedOn w:val="DefaultParagraphFont"/>
    <w:link w:val="BodyTextIndent2"/>
    <w:qFormat/>
    <w:rPr>
      <w:sz w:val="28"/>
      <w:szCs w:val="28"/>
    </w:rPr>
  </w:style>
  <w:style w:type="character" w:styleId="32">
    <w:name w:val="Основной текст 3 Знак"/>
    <w:basedOn w:val="DefaultParagraphFont"/>
    <w:link w:val="BodyText3"/>
    <w:qFormat/>
    <w:rPr>
      <w:sz w:val="16"/>
      <w:szCs w:val="16"/>
    </w:rPr>
  </w:style>
  <w:style w:type="character" w:styleId="Style16">
    <w:name w:val="Тема примечания Знак"/>
    <w:basedOn w:val="Style11"/>
    <w:link w:val="Annotationsubject"/>
    <w:qFormat/>
    <w:rPr>
      <w:b/>
      <w:bCs/>
    </w:rPr>
  </w:style>
  <w:style w:type="character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styleId="Style17">
    <w:name w:val="Схема документа Знак"/>
    <w:basedOn w:val="DefaultParagraphFont"/>
    <w:link w:val="DocumentMap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24">
    <w:name w:val="Основной текст 2 Знак"/>
    <w:basedOn w:val="DefaultParagraphFont"/>
    <w:link w:val="BodyText2"/>
    <w:qFormat/>
    <w:rPr>
      <w:sz w:val="28"/>
      <w:szCs w:val="28"/>
    </w:rPr>
  </w:style>
  <w:style w:type="character" w:styleId="33">
    <w:name w:val="Основной текст с отступом 3 Знак"/>
    <w:basedOn w:val="DefaultParagraphFont"/>
    <w:link w:val="BodyTextIndent3"/>
    <w:qFormat/>
    <w:rPr>
      <w:sz w:val="16"/>
      <w:szCs w:val="16"/>
    </w:rPr>
  </w:style>
  <w:style w:type="character" w:styleId="FontStyle21">
    <w:name w:val="Font Style21"/>
    <w:qFormat/>
    <w:rPr>
      <w:rFonts w:ascii="Sylfaen" w:hAnsi="Sylfaen" w:cs="Sylfaen"/>
      <w:sz w:val="22"/>
      <w:szCs w:val="22"/>
    </w:rPr>
  </w:style>
  <w:style w:type="character" w:styleId="FontStyle25">
    <w:name w:val="Font Style25"/>
    <w:qFormat/>
    <w:rPr>
      <w:rFonts w:ascii="Arial" w:hAnsi="Arial" w:cs="Arial"/>
      <w:sz w:val="18"/>
      <w:szCs w:val="18"/>
    </w:rPr>
  </w:style>
  <w:style w:type="character" w:styleId="Style18">
    <w:name w:val="Основной текст с отступом Знак"/>
    <w:basedOn w:val="DefaultParagraphFont"/>
    <w:qFormat/>
    <w:rPr>
      <w:sz w:val="24"/>
      <w:szCs w:val="24"/>
    </w:rPr>
  </w:style>
  <w:style w:type="character" w:styleId="Style19">
    <w:name w:val="Ариал Таблица Знак"/>
    <w:link w:val="Style46"/>
    <w:qFormat/>
    <w:rPr>
      <w:rFonts w:ascii="Arial" w:hAnsi="Arial"/>
      <w:sz w:val="24"/>
      <w:lang w:val="x-none" w:eastAsia="x-none"/>
    </w:rPr>
  </w:style>
  <w:style w:type="character" w:styleId="Style20">
    <w:name w:val="Пункты Знак"/>
    <w:link w:val="Style47"/>
    <w:qFormat/>
    <w:rPr>
      <w:bCs/>
      <w:iCs/>
      <w:color w:val="000000"/>
      <w:sz w:val="24"/>
      <w:szCs w:val="28"/>
      <w:lang w:val="x-none" w:eastAsia="x-none"/>
    </w:rPr>
  </w:style>
  <w:style w:type="character" w:styleId="Style21">
    <w:name w:val="Основной текст документа"/>
    <w:qFormat/>
    <w:rPr>
      <w:sz w:val="22"/>
    </w:rPr>
  </w:style>
  <w:style w:type="character" w:styleId="ConsNormal">
    <w:name w:val="ConsNormal Знак"/>
    <w:link w:val="ConsNormal1"/>
    <w:qFormat/>
    <w:rPr>
      <w:rFonts w:ascii="Arial" w:hAnsi="Arial" w:cs="Arial"/>
    </w:rPr>
  </w:style>
  <w:style w:type="character" w:styleId="Style22">
    <w:name w:val="Заголовок Знак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  <w:lang w:eastAsia="en-US"/>
    </w:rPr>
  </w:style>
  <w:style w:type="character" w:styleId="Style23">
    <w:name w:val="Ссылка указателя"/>
    <w:qFormat/>
    <w:rPr/>
  </w:style>
  <w:style w:type="character" w:styleId="Style24">
    <w:name w:val="Символ нумерации"/>
    <w:qFormat/>
    <w:rPr/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22"/>
    <w:qFormat/>
    <w:pPr>
      <w:spacing w:before="0" w:after="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7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8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9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3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3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link w:val="32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6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32">
    <w:name w:val="Раздел регламента"/>
    <w:basedOn w:val="Normal"/>
    <w:qFormat/>
    <w:pPr/>
    <w:rPr/>
  </w:style>
  <w:style w:type="paragraph" w:styleId="Style33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link w:val="Style14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15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3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3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7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>
    <w:name w:val="Подподпункт"/>
    <w:basedOn w:val="Style3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40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2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8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Default">
    <w:name w:val="Default"/>
    <w:basedOn w:val="Normal"/>
    <w:qFormat/>
    <w:pPr>
      <w:widowControl w:val="false"/>
    </w:pPr>
    <w:rPr>
      <w:color w:val="000000"/>
      <w:kern w:val="2"/>
      <w:sz w:val="24"/>
      <w:szCs w:val="24"/>
    </w:rPr>
  </w:style>
  <w:style w:type="paragraph" w:styleId="Style43">
    <w:name w:val="......."/>
    <w:basedOn w:val="Default"/>
    <w:next w:val="Default"/>
    <w:qFormat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>
    <w:name w:val="a_Header"/>
    <w:basedOn w:val="Normal"/>
    <w:qFormat/>
    <w:pPr>
      <w:tabs>
        <w:tab w:val="clear" w:pos="708"/>
        <w:tab w:val="left" w:pos="1985" w:leader="none"/>
      </w:tabs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>
    <w:name w:val="Style8"/>
    <w:basedOn w:val="Normal"/>
    <w:qFormat/>
    <w:pPr>
      <w:widowControl w:val="false"/>
      <w:spacing w:lineRule="exact" w:line="326"/>
      <w:ind w:left="0" w:right="0" w:firstLine="706"/>
      <w:jc w:val="both"/>
    </w:pPr>
    <w:rPr>
      <w:sz w:val="24"/>
      <w:szCs w:val="24"/>
    </w:rPr>
  </w:style>
  <w:style w:type="paragraph" w:styleId="41">
    <w:name w:val="Пункт_4"/>
    <w:basedOn w:val="Normal"/>
    <w:qFormat/>
    <w:pPr>
      <w:numPr>
        <w:ilvl w:val="3"/>
        <w:numId w:val="8"/>
      </w:numPr>
      <w:jc w:val="both"/>
    </w:pPr>
    <w:rPr/>
  </w:style>
  <w:style w:type="paragraph" w:styleId="51">
    <w:name w:val="Пункт_5"/>
    <w:basedOn w:val="Normal"/>
    <w:qFormat/>
    <w:pPr>
      <w:numPr>
        <w:ilvl w:val="4"/>
        <w:numId w:val="8"/>
      </w:numPr>
      <w:jc w:val="both"/>
    </w:pPr>
    <w:rPr>
      <w:szCs w:val="24"/>
    </w:rPr>
  </w:style>
  <w:style w:type="paragraph" w:styleId="38">
    <w:name w:val="Подзаголовок_3"/>
    <w:basedOn w:val="Normal"/>
    <w:qFormat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>
    <w:name w:val="font5"/>
    <w:basedOn w:val="Normal"/>
    <w:qFormat/>
    <w:pPr>
      <w:spacing w:before="280" w:after="280"/>
    </w:pPr>
    <w:rPr>
      <w:color w:val="000000"/>
      <w:sz w:val="24"/>
      <w:szCs w:val="24"/>
    </w:rPr>
  </w:style>
  <w:style w:type="paragraph" w:styleId="Font6">
    <w:name w:val="font6"/>
    <w:basedOn w:val="Normal"/>
    <w:qFormat/>
    <w:pPr>
      <w:spacing w:before="280" w:after="280"/>
    </w:pPr>
    <w:rPr>
      <w:rFonts w:ascii="Calibri" w:hAnsi="Calibri"/>
      <w:color w:val="000000"/>
      <w:sz w:val="20"/>
      <w:szCs w:val="20"/>
    </w:rPr>
  </w:style>
  <w:style w:type="paragraph" w:styleId="Xl65">
    <w:name w:val="xl65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1">
    <w:name w:val="xl7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2">
    <w:name w:val="xl7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3">
    <w:name w:val="xl73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74">
    <w:name w:val="xl74"/>
    <w:basedOn w:val="Normal"/>
    <w:qFormat/>
    <w:pPr>
      <w:spacing w:before="280" w:after="280"/>
      <w:textAlignment w:val="center"/>
    </w:pPr>
    <w:rPr>
      <w:sz w:val="24"/>
      <w:szCs w:val="24"/>
    </w:rPr>
  </w:style>
  <w:style w:type="paragraph" w:styleId="Xl75">
    <w:name w:val="xl7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6">
    <w:name w:val="xl76"/>
    <w:basedOn w:val="Normal"/>
    <w:qFormat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7">
    <w:name w:val="xl7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9">
    <w:name w:val="xl7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81">
    <w:name w:val="xl81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82">
    <w:name w:val="xl8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fill="D9D9D9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84">
    <w:name w:val="xl84"/>
    <w:basedOn w:val="Normal"/>
    <w:qFormat/>
    <w:pPr>
      <w:pBdr>
        <w:top w:val="single" w:sz="8" w:space="0" w:color="000000"/>
        <w:bottom w:val="single" w:sz="8" w:space="0" w:color="000000"/>
      </w:pBdr>
      <w:shd w:val="clear" w:fill="D9D9D9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85">
    <w:name w:val="xl85"/>
    <w:basedOn w:val="Normal"/>
    <w:qFormat/>
    <w:pPr>
      <w:pBdr>
        <w:top w:val="single" w:sz="8" w:space="0" w:color="000000"/>
        <w:bottom w:val="single" w:sz="8" w:space="0" w:color="000000"/>
      </w:pBdr>
      <w:shd w:val="clear" w:fill="D9D9D9"/>
      <w:spacing w:before="280" w:after="280"/>
      <w:textAlignment w:val="center"/>
    </w:pPr>
    <w:rPr>
      <w:b/>
      <w:bCs/>
      <w:sz w:val="24"/>
      <w:szCs w:val="24"/>
    </w:rPr>
  </w:style>
  <w:style w:type="paragraph" w:styleId="Xl86">
    <w:name w:val="xl86"/>
    <w:basedOn w:val="Normal"/>
    <w:qFormat/>
    <w:pPr>
      <w:pBdr>
        <w:top w:val="single" w:sz="8" w:space="0" w:color="000000"/>
        <w:bottom w:val="single" w:sz="8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87">
    <w:name w:val="xl87"/>
    <w:basedOn w:val="Normal"/>
    <w:qFormat/>
    <w:pPr>
      <w:pBdr>
        <w:top w:val="single" w:sz="8" w:space="0" w:color="000000"/>
        <w:bottom w:val="single" w:sz="8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styleId="Xl89">
    <w:name w:val="xl8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textAlignment w:val="center"/>
    </w:pPr>
    <w:rPr>
      <w:b/>
      <w:bCs/>
      <w:sz w:val="24"/>
      <w:szCs w:val="24"/>
    </w:rPr>
  </w:style>
  <w:style w:type="paragraph" w:styleId="Xl90">
    <w:name w:val="xl9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</w:pPr>
    <w:rPr>
      <w:sz w:val="24"/>
      <w:szCs w:val="24"/>
    </w:rPr>
  </w:style>
  <w:style w:type="paragraph" w:styleId="Xl91">
    <w:name w:val="xl91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93">
    <w:name w:val="xl93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Font7">
    <w:name w:val="font7"/>
    <w:basedOn w:val="Normal"/>
    <w:qFormat/>
    <w:pPr>
      <w:spacing w:before="280" w:after="280"/>
    </w:pPr>
    <w:rPr>
      <w:rFonts w:ascii="Arial" w:hAnsi="Arial" w:cs="Arial"/>
      <w:color w:val="494949"/>
      <w:sz w:val="20"/>
      <w:szCs w:val="20"/>
    </w:rPr>
  </w:style>
  <w:style w:type="paragraph" w:styleId="Xl94">
    <w:name w:val="xl94"/>
    <w:basedOn w:val="Normal"/>
    <w:qFormat/>
    <w:pPr>
      <w:spacing w:before="280" w:after="280"/>
    </w:pPr>
    <w:rPr>
      <w:b/>
      <w:bCs/>
      <w:sz w:val="24"/>
      <w:szCs w:val="24"/>
    </w:rPr>
  </w:style>
  <w:style w:type="paragraph" w:styleId="Xl95">
    <w:name w:val="xl9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24"/>
      <w:szCs w:val="24"/>
    </w:rPr>
  </w:style>
  <w:style w:type="paragraph" w:styleId="Xl96">
    <w:name w:val="xl9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97">
    <w:name w:val="xl97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98">
    <w:name w:val="xl98"/>
    <w:basedOn w:val="Normal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99">
    <w:name w:val="xl99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01">
    <w:name w:val="xl101"/>
    <w:basedOn w:val="Normal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02">
    <w:name w:val="xl102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03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6">
    <w:name w:val="xl106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</w:pPr>
    <w:rPr>
      <w:sz w:val="24"/>
      <w:szCs w:val="24"/>
    </w:rPr>
  </w:style>
  <w:style w:type="paragraph" w:styleId="Xl108">
    <w:name w:val="xl10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24"/>
      <w:szCs w:val="24"/>
    </w:rPr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0">
    <w:name w:val="xl110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1">
    <w:name w:val="xl11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2">
    <w:name w:val="xl112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15">
    <w:name w:val="xl11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16">
    <w:name w:val="xl116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17">
    <w:name w:val="xl11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18">
    <w:name w:val="xl11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4"/>
      <w:szCs w:val="24"/>
    </w:rPr>
  </w:style>
  <w:style w:type="paragraph" w:styleId="Xl119">
    <w:name w:val="xl119"/>
    <w:basedOn w:val="Normal"/>
    <w:qFormat/>
    <w:pPr>
      <w:pBdr>
        <w:left w:val="single" w:sz="4" w:space="0" w:color="000000"/>
        <w:right w:val="single" w:sz="4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20">
    <w:name w:val="xl120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23">
    <w:name w:val="xl123"/>
    <w:basedOn w:val="Normal"/>
    <w:qFormat/>
    <w:pPr>
      <w:pBdr>
        <w:left w:val="single" w:sz="4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</w:pBdr>
      <w:shd w:val="clear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ConsNormal1">
    <w:name w:val="ConsNormal"/>
    <w:link w:val="ConsNormal"/>
    <w:qFormat/>
    <w:pPr>
      <w:widowControl w:val="false"/>
      <w:suppressAutoHyphens w:val="true"/>
      <w:overflowPunct w:val="fals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4">
    <w:name w:val="Style4"/>
    <w:basedOn w:val="Normal"/>
    <w:qFormat/>
    <w:pPr>
      <w:widowControl w:val="false"/>
    </w:pPr>
    <w:rPr>
      <w:rFonts w:ascii="Sylfaen" w:hAnsi="Sylfaen"/>
      <w:sz w:val="24"/>
      <w:szCs w:val="24"/>
    </w:rPr>
  </w:style>
  <w:style w:type="paragraph" w:styleId="Style91">
    <w:name w:val="Style9"/>
    <w:basedOn w:val="Normal"/>
    <w:qFormat/>
    <w:pPr>
      <w:widowControl w:val="false"/>
      <w:spacing w:lineRule="exact" w:line="209"/>
      <w:ind w:left="0" w:right="0" w:firstLine="533"/>
    </w:pPr>
    <w:rPr>
      <w:rFonts w:ascii="Sylfaen" w:hAnsi="Sylfaen"/>
      <w:sz w:val="24"/>
      <w:szCs w:val="24"/>
    </w:rPr>
  </w:style>
  <w:style w:type="paragraph" w:styleId="Style141">
    <w:name w:val="Style14"/>
    <w:basedOn w:val="Normal"/>
    <w:qFormat/>
    <w:pPr>
      <w:widowControl w:val="false"/>
      <w:spacing w:lineRule="exact" w:line="226"/>
      <w:ind w:left="0" w:right="0" w:firstLine="490"/>
      <w:jc w:val="both"/>
    </w:pPr>
    <w:rPr>
      <w:rFonts w:ascii="Sylfaen" w:hAnsi="Sylfaen"/>
      <w:sz w:val="24"/>
      <w:szCs w:val="24"/>
    </w:rPr>
  </w:style>
  <w:style w:type="paragraph" w:styleId="Style45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Arial Unicode MS"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rFonts w:eastAsia="Arial Unicode MS"/>
      <w:sz w:val="24"/>
      <w:szCs w:val="24"/>
    </w:rPr>
  </w:style>
  <w:style w:type="paragraph" w:styleId="Xl37">
    <w:name w:val="xl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Arial Unicode MS"/>
      <w:sz w:val="24"/>
      <w:szCs w:val="24"/>
    </w:rPr>
  </w:style>
  <w:style w:type="paragraph" w:styleId="Xl38">
    <w:name w:val="xl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>
    <w:name w:val="xl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6">
    <w:name w:val="Ариал Таблица"/>
    <w:basedOn w:val="Normal"/>
    <w:link w:val="Style19"/>
    <w:qFormat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pPr>
      <w:spacing w:before="0" w:after="60"/>
      <w:ind w:left="566" w:right="0" w:hanging="283"/>
      <w:jc w:val="both"/>
    </w:pPr>
    <w:rPr>
      <w:sz w:val="24"/>
      <w:szCs w:val="24"/>
    </w:rPr>
  </w:style>
  <w:style w:type="paragraph" w:styleId="Style47">
    <w:name w:val="Пункты"/>
    <w:basedOn w:val="Heading2"/>
    <w:link w:val="Style20"/>
    <w:qFormat/>
    <w:pPr>
      <w:numPr>
        <w:ilvl w:val="1"/>
        <w:numId w:val="9"/>
      </w:numPr>
      <w:tabs>
        <w:tab w:val="left" w:pos="0" w:leader="none"/>
        <w:tab w:val="left" w:pos="1134" w:leader="none"/>
      </w:tabs>
      <w:spacing w:before="120" w:after="0"/>
      <w:ind w:left="0" w:righ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>
    <w:name w:val="xl63"/>
    <w:basedOn w:val="Normal"/>
    <w:qFormat/>
    <w:pPr>
      <w:spacing w:before="280" w:after="280"/>
    </w:pPr>
    <w:rPr>
      <w:color w:val="000000"/>
      <w:sz w:val="20"/>
      <w:szCs w:val="20"/>
    </w:rPr>
  </w:style>
  <w:style w:type="paragraph" w:styleId="Xl64">
    <w:name w:val="xl6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color w:val="000000"/>
      <w:sz w:val="20"/>
      <w:szCs w:val="20"/>
    </w:rPr>
  </w:style>
  <w:style w:type="paragraph" w:styleId="Font8">
    <w:name w:val="font8"/>
    <w:basedOn w:val="Normal"/>
    <w:qFormat/>
    <w:pPr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styleId="Style48">
    <w:name w:val="Содержимое врезки"/>
    <w:basedOn w:val="Normal"/>
    <w:qFormat/>
    <w:pPr/>
    <w:rPr/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numbering" w:styleId="19">
    <w:name w:val="Стиль1"/>
    <w:qFormat/>
  </w:style>
  <w:style w:type="numbering" w:styleId="211">
    <w:name w:val="Стиль2"/>
    <w:qFormat/>
  </w:style>
  <w:style w:type="numbering" w:styleId="110">
    <w:name w:val="Нет списка1"/>
    <w:qFormat/>
  </w:style>
  <w:style w:type="numbering" w:styleId="111">
    <w:name w:val="Нет списка11"/>
    <w:qFormat/>
  </w:style>
  <w:style w:type="numbering" w:styleId="212">
    <w:name w:val="Нет списка2"/>
    <w:qFormat/>
  </w:style>
  <w:style w:type="numbering" w:styleId="121">
    <w:name w:val="Нет списка12"/>
    <w:qFormat/>
  </w:style>
  <w:style w:type="numbering" w:styleId="39">
    <w:name w:val="Нет списка3"/>
    <w:qFormat/>
  </w:style>
  <w:style w:type="numbering" w:styleId="131">
    <w:name w:val="Нет списка13"/>
    <w:qFormat/>
  </w:style>
  <w:style w:type="numbering" w:styleId="1111">
    <w:name w:val="Нет списка111"/>
    <w:qFormat/>
  </w:style>
  <w:style w:type="numbering" w:styleId="213">
    <w:name w:val="Нет списка21"/>
    <w:qFormat/>
  </w:style>
  <w:style w:type="numbering" w:styleId="1211">
    <w:name w:val="Нет списка121"/>
    <w:qFormat/>
  </w:style>
  <w:style w:type="numbering" w:styleId="11111">
    <w:name w:val="Нет списка1111"/>
    <w:qFormat/>
  </w:style>
  <w:style w:type="numbering" w:styleId="312">
    <w:name w:val="Нет списка31"/>
    <w:qFormat/>
  </w:style>
  <w:style w:type="numbering" w:styleId="1311">
    <w:name w:val="Нет списка131"/>
    <w:qFormat/>
  </w:style>
  <w:style w:type="numbering" w:styleId="112">
    <w:name w:val="Нет списка112"/>
    <w:qFormat/>
  </w:style>
  <w:style w:type="numbering" w:styleId="111111">
    <w:name w:val="Нет списка11111"/>
    <w:qFormat/>
  </w:style>
  <w:style w:type="numbering" w:styleId="2111">
    <w:name w:val="Нет списка211"/>
    <w:qFormat/>
  </w:style>
  <w:style w:type="numbering" w:styleId="12111">
    <w:name w:val="Нет списка1211"/>
    <w:qFormat/>
  </w:style>
  <w:style w:type="numbering" w:styleId="3111">
    <w:name w:val="Нет списка311"/>
    <w:qFormat/>
  </w:style>
  <w:style w:type="numbering" w:styleId="13111">
    <w:name w:val="Нет списка1311"/>
    <w:qFormat/>
  </w:style>
  <w:style w:type="numbering" w:styleId="1121">
    <w:name w:val="Нет списка1121"/>
    <w:qFormat/>
  </w:style>
  <w:style w:type="numbering" w:styleId="21111">
    <w:name w:val="Нет списка2111"/>
    <w:qFormat/>
  </w:style>
  <w:style w:type="numbering" w:styleId="121111">
    <w:name w:val="Нет списка12111"/>
    <w:qFormat/>
  </w:style>
  <w:style w:type="numbering" w:styleId="42">
    <w:name w:val="Нет списка4"/>
    <w:qFormat/>
  </w:style>
  <w:style w:type="numbering" w:styleId="141">
    <w:name w:val="Нет списка14"/>
    <w:qFormat/>
  </w:style>
  <w:style w:type="numbering" w:styleId="113">
    <w:name w:val="Нет списка113"/>
    <w:qFormat/>
  </w:style>
  <w:style w:type="numbering" w:styleId="221">
    <w:name w:val="Нет списка22"/>
    <w:qFormat/>
  </w:style>
  <w:style w:type="numbering" w:styleId="122">
    <w:name w:val="Нет списка122"/>
    <w:qFormat/>
  </w:style>
  <w:style w:type="numbering" w:styleId="52">
    <w:name w:val="Нет списка5"/>
    <w:qFormat/>
  </w:style>
  <w:style w:type="numbering" w:styleId="151">
    <w:name w:val="Нет списка15"/>
    <w:qFormat/>
  </w:style>
  <w:style w:type="numbering" w:styleId="114">
    <w:name w:val="Нет списка114"/>
    <w:qFormat/>
  </w:style>
  <w:style w:type="numbering" w:styleId="231">
    <w:name w:val="Нет списка23"/>
    <w:qFormat/>
  </w:style>
  <w:style w:type="numbering" w:styleId="123">
    <w:name w:val="Нет списка123"/>
    <w:qFormat/>
  </w:style>
  <w:style w:type="numbering" w:styleId="61">
    <w:name w:val="Нет списка6"/>
    <w:qFormat/>
  </w:style>
  <w:style w:type="numbering" w:styleId="161">
    <w:name w:val="Нет списка16"/>
    <w:qFormat/>
  </w:style>
  <w:style w:type="numbering" w:styleId="115">
    <w:name w:val="Нет списка115"/>
    <w:qFormat/>
  </w:style>
  <w:style w:type="numbering" w:styleId="241">
    <w:name w:val="Нет списка24"/>
    <w:qFormat/>
  </w:style>
  <w:style w:type="numbering" w:styleId="124">
    <w:name w:val="Нет списка124"/>
    <w:qFormat/>
  </w:style>
  <w:style w:type="numbering" w:styleId="1111111">
    <w:name w:val="Нет списка111111"/>
    <w:qFormat/>
  </w:style>
  <w:style w:type="numbering" w:styleId="71">
    <w:name w:val="Нет списка7"/>
    <w:qFormat/>
  </w:style>
  <w:style w:type="numbering" w:styleId="171">
    <w:name w:val="Нет списка17"/>
    <w:qFormat/>
  </w:style>
  <w:style w:type="numbering" w:styleId="116">
    <w:name w:val="Нет списка116"/>
    <w:qFormat/>
  </w:style>
  <w:style w:type="numbering" w:styleId="251">
    <w:name w:val="Нет списка25"/>
    <w:qFormat/>
  </w:style>
  <w:style w:type="numbering" w:styleId="125">
    <w:name w:val="Нет списка125"/>
    <w:qFormat/>
  </w:style>
  <w:style w:type="numbering" w:styleId="1112">
    <w:name w:val="Нет списка1112"/>
    <w:qFormat/>
  </w:style>
  <w:style w:type="numbering" w:styleId="81">
    <w:name w:val="Нет списка8"/>
    <w:qFormat/>
  </w:style>
  <w:style w:type="numbering" w:styleId="181">
    <w:name w:val="Нет списка18"/>
    <w:qFormat/>
  </w:style>
  <w:style w:type="numbering" w:styleId="117">
    <w:name w:val="Нет списка117"/>
    <w:qFormat/>
  </w:style>
  <w:style w:type="numbering" w:styleId="1113">
    <w:name w:val="Нет списка1113"/>
    <w:qFormat/>
  </w:style>
  <w:style w:type="numbering" w:styleId="261">
    <w:name w:val="Нет списка26"/>
    <w:qFormat/>
  </w:style>
  <w:style w:type="numbering" w:styleId="126">
    <w:name w:val="Нет списка126"/>
    <w:qFormat/>
  </w:style>
  <w:style w:type="numbering" w:styleId="321">
    <w:name w:val="Нет списка32"/>
    <w:qFormat/>
  </w:style>
  <w:style w:type="numbering" w:styleId="132">
    <w:name w:val="Нет списка132"/>
    <w:qFormat/>
  </w:style>
  <w:style w:type="numbering" w:styleId="1122">
    <w:name w:val="Нет списка1122"/>
    <w:qFormat/>
  </w:style>
  <w:style w:type="numbering" w:styleId="2121">
    <w:name w:val="Нет списка212"/>
    <w:qFormat/>
  </w:style>
  <w:style w:type="numbering" w:styleId="1212">
    <w:name w:val="Нет списка1212"/>
    <w:qFormat/>
  </w:style>
  <w:style w:type="numbering" w:styleId="411">
    <w:name w:val="Нет списка41"/>
    <w:qFormat/>
  </w:style>
  <w:style w:type="numbering" w:styleId="1411">
    <w:name w:val="Нет списка141"/>
    <w:qFormat/>
  </w:style>
  <w:style w:type="numbering" w:styleId="1131">
    <w:name w:val="Нет списка1131"/>
    <w:qFormat/>
  </w:style>
  <w:style w:type="numbering" w:styleId="2211">
    <w:name w:val="Нет списка221"/>
    <w:qFormat/>
  </w:style>
  <w:style w:type="numbering" w:styleId="1221">
    <w:name w:val="Нет списка1221"/>
    <w:qFormat/>
  </w:style>
  <w:style w:type="numbering" w:styleId="511">
    <w:name w:val="Нет списка51"/>
    <w:qFormat/>
  </w:style>
  <w:style w:type="numbering" w:styleId="1511">
    <w:name w:val="Нет списка151"/>
    <w:qFormat/>
  </w:style>
  <w:style w:type="numbering" w:styleId="1141">
    <w:name w:val="Нет списка1141"/>
    <w:qFormat/>
  </w:style>
  <w:style w:type="numbering" w:styleId="2311">
    <w:name w:val="Нет списка231"/>
    <w:qFormat/>
  </w:style>
  <w:style w:type="numbering" w:styleId="1231">
    <w:name w:val="Нет списка1231"/>
    <w:qFormat/>
  </w:style>
  <w:style w:type="numbering" w:styleId="611">
    <w:name w:val="Нет списка61"/>
    <w:qFormat/>
  </w:style>
  <w:style w:type="numbering" w:styleId="1611">
    <w:name w:val="Нет списка161"/>
    <w:qFormat/>
  </w:style>
  <w:style w:type="numbering" w:styleId="1151">
    <w:name w:val="Нет списка1151"/>
    <w:qFormat/>
  </w:style>
  <w:style w:type="numbering" w:styleId="2411">
    <w:name w:val="Нет списка241"/>
    <w:qFormat/>
  </w:style>
  <w:style w:type="numbering" w:styleId="1241">
    <w:name w:val="Нет списка1241"/>
    <w:qFormat/>
  </w:style>
  <w:style w:type="numbering" w:styleId="11112">
    <w:name w:val="Нет списка11112"/>
    <w:qFormat/>
  </w:style>
  <w:style w:type="numbering" w:styleId="711">
    <w:name w:val="Нет списка71"/>
    <w:qFormat/>
  </w:style>
  <w:style w:type="numbering" w:styleId="1711">
    <w:name w:val="Нет списка171"/>
    <w:qFormat/>
  </w:style>
  <w:style w:type="numbering" w:styleId="1161">
    <w:name w:val="Нет списка1161"/>
    <w:qFormat/>
  </w:style>
  <w:style w:type="numbering" w:styleId="2511">
    <w:name w:val="Нет списка251"/>
    <w:qFormat/>
  </w:style>
  <w:style w:type="numbering" w:styleId="1251">
    <w:name w:val="Нет списка1251"/>
    <w:qFormat/>
  </w:style>
  <w:style w:type="numbering" w:styleId="11121">
    <w:name w:val="Нет списка11121"/>
    <w:qFormat/>
  </w:style>
  <w:style w:type="numbering" w:styleId="91">
    <w:name w:val="Нет списка9"/>
    <w:qFormat/>
  </w:style>
  <w:style w:type="numbering" w:styleId="191">
    <w:name w:val="Нет списка19"/>
    <w:qFormat/>
  </w:style>
  <w:style w:type="numbering" w:styleId="118">
    <w:name w:val="Нет списка118"/>
    <w:qFormat/>
  </w:style>
  <w:style w:type="numbering" w:styleId="1114">
    <w:name w:val="Нет списка1114"/>
    <w:qFormat/>
  </w:style>
  <w:style w:type="numbering" w:styleId="271">
    <w:name w:val="Нет списка27"/>
    <w:qFormat/>
  </w:style>
  <w:style w:type="numbering" w:styleId="127">
    <w:name w:val="Нет списка127"/>
    <w:qFormat/>
  </w:style>
  <w:style w:type="numbering" w:styleId="331">
    <w:name w:val="Нет списка33"/>
    <w:qFormat/>
  </w:style>
  <w:style w:type="numbering" w:styleId="133">
    <w:name w:val="Нет списка133"/>
    <w:qFormat/>
  </w:style>
  <w:style w:type="numbering" w:styleId="1123">
    <w:name w:val="Нет списка1123"/>
    <w:qFormat/>
  </w:style>
  <w:style w:type="numbering" w:styleId="2131">
    <w:name w:val="Нет списка213"/>
    <w:qFormat/>
  </w:style>
  <w:style w:type="numbering" w:styleId="1213">
    <w:name w:val="Нет списка1213"/>
    <w:qFormat/>
  </w:style>
  <w:style w:type="numbering" w:styleId="421">
    <w:name w:val="Нет списка42"/>
    <w:qFormat/>
  </w:style>
  <w:style w:type="numbering" w:styleId="142">
    <w:name w:val="Нет списка142"/>
    <w:qFormat/>
  </w:style>
  <w:style w:type="numbering" w:styleId="1132">
    <w:name w:val="Нет списка1132"/>
    <w:qFormat/>
  </w:style>
  <w:style w:type="numbering" w:styleId="222">
    <w:name w:val="Нет списка222"/>
    <w:qFormat/>
  </w:style>
  <w:style w:type="numbering" w:styleId="1222">
    <w:name w:val="Нет списка1222"/>
    <w:qFormat/>
  </w:style>
  <w:style w:type="numbering" w:styleId="521">
    <w:name w:val="Нет списка52"/>
    <w:qFormat/>
  </w:style>
  <w:style w:type="numbering" w:styleId="152">
    <w:name w:val="Нет списка152"/>
    <w:qFormat/>
  </w:style>
  <w:style w:type="numbering" w:styleId="1142">
    <w:name w:val="Нет списка1142"/>
    <w:qFormat/>
  </w:style>
  <w:style w:type="numbering" w:styleId="232">
    <w:name w:val="Нет списка232"/>
    <w:qFormat/>
  </w:style>
  <w:style w:type="numbering" w:styleId="1232">
    <w:name w:val="Нет списка1232"/>
    <w:qFormat/>
  </w:style>
  <w:style w:type="numbering" w:styleId="62">
    <w:name w:val="Нет списка62"/>
    <w:qFormat/>
  </w:style>
  <w:style w:type="numbering" w:styleId="162">
    <w:name w:val="Нет списка162"/>
    <w:qFormat/>
  </w:style>
  <w:style w:type="numbering" w:styleId="1152">
    <w:name w:val="Нет списка1152"/>
    <w:qFormat/>
  </w:style>
  <w:style w:type="numbering" w:styleId="242">
    <w:name w:val="Нет списка242"/>
    <w:qFormat/>
  </w:style>
  <w:style w:type="numbering" w:styleId="1242">
    <w:name w:val="Нет списка1242"/>
    <w:qFormat/>
  </w:style>
  <w:style w:type="numbering" w:styleId="11113">
    <w:name w:val="Нет списка11113"/>
    <w:qFormat/>
  </w:style>
  <w:style w:type="numbering" w:styleId="72">
    <w:name w:val="Нет списка72"/>
    <w:qFormat/>
  </w:style>
  <w:style w:type="numbering" w:styleId="172">
    <w:name w:val="Нет списка172"/>
    <w:qFormat/>
  </w:style>
  <w:style w:type="numbering" w:styleId="1162">
    <w:name w:val="Нет списка1162"/>
    <w:qFormat/>
  </w:style>
  <w:style w:type="numbering" w:styleId="252">
    <w:name w:val="Нет списка252"/>
    <w:qFormat/>
  </w:style>
  <w:style w:type="numbering" w:styleId="1252">
    <w:name w:val="Нет списка1252"/>
    <w:qFormat/>
  </w:style>
  <w:style w:type="numbering" w:styleId="11122">
    <w:name w:val="Нет списка11122"/>
    <w:qFormat/>
  </w:style>
  <w:style w:type="numbering" w:styleId="10">
    <w:name w:val="Нет списка10"/>
    <w:qFormat/>
  </w:style>
  <w:style w:type="numbering" w:styleId="1101">
    <w:name w:val="Нет списка110"/>
    <w:qFormat/>
  </w:style>
  <w:style w:type="numbering" w:styleId="119">
    <w:name w:val="Нет списка119"/>
    <w:qFormat/>
  </w:style>
  <w:style w:type="numbering" w:styleId="1115">
    <w:name w:val="Нет списка1115"/>
    <w:qFormat/>
  </w:style>
  <w:style w:type="numbering" w:styleId="281">
    <w:name w:val="Нет списка28"/>
    <w:qFormat/>
  </w:style>
  <w:style w:type="numbering" w:styleId="128">
    <w:name w:val="Нет списка128"/>
    <w:qFormat/>
  </w:style>
  <w:style w:type="numbering" w:styleId="341">
    <w:name w:val="Нет списка34"/>
    <w:qFormat/>
  </w:style>
  <w:style w:type="numbering" w:styleId="134">
    <w:name w:val="Нет списка134"/>
    <w:qFormat/>
  </w:style>
  <w:style w:type="numbering" w:styleId="1124">
    <w:name w:val="Нет списка1124"/>
    <w:qFormat/>
  </w:style>
  <w:style w:type="numbering" w:styleId="214">
    <w:name w:val="Нет списка214"/>
    <w:qFormat/>
  </w:style>
  <w:style w:type="numbering" w:styleId="1214">
    <w:name w:val="Нет списка1214"/>
    <w:qFormat/>
  </w:style>
  <w:style w:type="numbering" w:styleId="43">
    <w:name w:val="Нет списка43"/>
    <w:qFormat/>
  </w:style>
  <w:style w:type="numbering" w:styleId="143">
    <w:name w:val="Нет списка143"/>
    <w:qFormat/>
  </w:style>
  <w:style w:type="numbering" w:styleId="1133">
    <w:name w:val="Нет списка1133"/>
    <w:qFormat/>
  </w:style>
  <w:style w:type="numbering" w:styleId="223">
    <w:name w:val="Нет списка223"/>
    <w:qFormat/>
  </w:style>
  <w:style w:type="numbering" w:styleId="1223">
    <w:name w:val="Нет списка1223"/>
    <w:qFormat/>
  </w:style>
  <w:style w:type="numbering" w:styleId="53">
    <w:name w:val="Нет списка53"/>
    <w:qFormat/>
  </w:style>
  <w:style w:type="numbering" w:styleId="153">
    <w:name w:val="Нет списка153"/>
    <w:qFormat/>
  </w:style>
  <w:style w:type="numbering" w:styleId="1143">
    <w:name w:val="Нет списка1143"/>
    <w:qFormat/>
  </w:style>
  <w:style w:type="numbering" w:styleId="233">
    <w:name w:val="Нет списка233"/>
    <w:qFormat/>
  </w:style>
  <w:style w:type="numbering" w:styleId="1233">
    <w:name w:val="Нет списка1233"/>
    <w:qFormat/>
  </w:style>
  <w:style w:type="numbering" w:styleId="63">
    <w:name w:val="Нет списка63"/>
    <w:qFormat/>
  </w:style>
  <w:style w:type="numbering" w:styleId="163">
    <w:name w:val="Нет списка163"/>
    <w:qFormat/>
  </w:style>
  <w:style w:type="numbering" w:styleId="1153">
    <w:name w:val="Нет списка1153"/>
    <w:qFormat/>
  </w:style>
  <w:style w:type="numbering" w:styleId="243">
    <w:name w:val="Нет списка243"/>
    <w:qFormat/>
  </w:style>
  <w:style w:type="numbering" w:styleId="1243">
    <w:name w:val="Нет списка1243"/>
    <w:qFormat/>
  </w:style>
  <w:style w:type="numbering" w:styleId="11114">
    <w:name w:val="Нет списка11114"/>
    <w:qFormat/>
  </w:style>
  <w:style w:type="numbering" w:styleId="31111">
    <w:name w:val="Нет списка3111"/>
    <w:qFormat/>
  </w:style>
  <w:style w:type="numbering" w:styleId="131111">
    <w:name w:val="Нет списка13111"/>
    <w:qFormat/>
  </w:style>
  <w:style w:type="numbering" w:styleId="11211">
    <w:name w:val="Нет списка11211"/>
    <w:qFormat/>
  </w:style>
  <w:style w:type="numbering" w:styleId="11111111">
    <w:name w:val="Нет списка1111111"/>
    <w:qFormat/>
  </w:style>
  <w:style w:type="numbering" w:styleId="211111">
    <w:name w:val="Нет списка21111"/>
    <w:qFormat/>
  </w:style>
  <w:style w:type="numbering" w:styleId="1211111">
    <w:name w:val="Нет списка121111"/>
    <w:qFormat/>
  </w:style>
  <w:style w:type="numbering" w:styleId="311111">
    <w:name w:val="Нет списка31111"/>
    <w:qFormat/>
  </w:style>
  <w:style w:type="numbering" w:styleId="1311111">
    <w:name w:val="Нет списка131111"/>
    <w:qFormat/>
  </w:style>
  <w:style w:type="numbering" w:styleId="112111">
    <w:name w:val="Нет списка112111"/>
    <w:qFormat/>
  </w:style>
  <w:style w:type="numbering" w:styleId="2111111">
    <w:name w:val="Нет списка211111"/>
    <w:qFormat/>
  </w:style>
  <w:style w:type="numbering" w:styleId="12111111">
    <w:name w:val="Нет списка1211111"/>
    <w:qFormat/>
  </w:style>
  <w:style w:type="numbering" w:styleId="4111">
    <w:name w:val="Нет списка411"/>
    <w:qFormat/>
  </w:style>
  <w:style w:type="numbering" w:styleId="14111">
    <w:name w:val="Нет списка1411"/>
    <w:qFormat/>
  </w:style>
  <w:style w:type="numbering" w:styleId="11311">
    <w:name w:val="Нет списка11311"/>
    <w:qFormat/>
  </w:style>
  <w:style w:type="numbering" w:styleId="22111">
    <w:name w:val="Нет списка2211"/>
    <w:qFormat/>
  </w:style>
  <w:style w:type="numbering" w:styleId="12211">
    <w:name w:val="Нет списка12211"/>
    <w:qFormat/>
  </w:style>
  <w:style w:type="numbering" w:styleId="5111">
    <w:name w:val="Нет списка511"/>
    <w:qFormat/>
  </w:style>
  <w:style w:type="numbering" w:styleId="15111">
    <w:name w:val="Нет списка1511"/>
    <w:qFormat/>
  </w:style>
  <w:style w:type="numbering" w:styleId="11411">
    <w:name w:val="Нет списка11411"/>
    <w:qFormat/>
  </w:style>
  <w:style w:type="numbering" w:styleId="23111">
    <w:name w:val="Нет списка2311"/>
    <w:qFormat/>
  </w:style>
  <w:style w:type="numbering" w:styleId="12311">
    <w:name w:val="Нет списка12311"/>
    <w:qFormat/>
  </w:style>
  <w:style w:type="numbering" w:styleId="6111">
    <w:name w:val="Нет списка611"/>
    <w:qFormat/>
  </w:style>
  <w:style w:type="numbering" w:styleId="16111">
    <w:name w:val="Нет списка1611"/>
    <w:qFormat/>
  </w:style>
  <w:style w:type="numbering" w:styleId="11511">
    <w:name w:val="Нет списка11511"/>
    <w:qFormat/>
  </w:style>
  <w:style w:type="numbering" w:styleId="24111">
    <w:name w:val="Нет списка2411"/>
    <w:qFormat/>
  </w:style>
  <w:style w:type="numbering" w:styleId="12411">
    <w:name w:val="Нет списка12411"/>
    <w:qFormat/>
  </w:style>
  <w:style w:type="numbering" w:styleId="111111111">
    <w:name w:val="Нет списка11111111"/>
    <w:qFormat/>
  </w:style>
  <w:style w:type="numbering" w:styleId="73">
    <w:name w:val="Нет списка73"/>
    <w:qFormat/>
  </w:style>
  <w:style w:type="numbering" w:styleId="173">
    <w:name w:val="Нет списка173"/>
    <w:qFormat/>
  </w:style>
  <w:style w:type="numbering" w:styleId="1163">
    <w:name w:val="Нет списка1163"/>
    <w:qFormat/>
  </w:style>
  <w:style w:type="numbering" w:styleId="253">
    <w:name w:val="Нет списка253"/>
    <w:qFormat/>
  </w:style>
  <w:style w:type="numbering" w:styleId="1253">
    <w:name w:val="Нет списка1253"/>
    <w:qFormat/>
  </w:style>
  <w:style w:type="numbering" w:styleId="11123">
    <w:name w:val="Нет списка11123"/>
    <w:qFormat/>
  </w:style>
  <w:style w:type="numbering" w:styleId="811">
    <w:name w:val="Нет списка81"/>
    <w:qFormat/>
  </w:style>
  <w:style w:type="numbering" w:styleId="1811">
    <w:name w:val="Нет списка181"/>
    <w:qFormat/>
  </w:style>
  <w:style w:type="numbering" w:styleId="1171">
    <w:name w:val="Нет списка1171"/>
    <w:qFormat/>
  </w:style>
  <w:style w:type="numbering" w:styleId="11131">
    <w:name w:val="Нет списка11131"/>
    <w:qFormat/>
  </w:style>
  <w:style w:type="numbering" w:styleId="2611">
    <w:name w:val="Нет списка261"/>
    <w:qFormat/>
  </w:style>
  <w:style w:type="numbering" w:styleId="1261">
    <w:name w:val="Нет списка1261"/>
    <w:qFormat/>
  </w:style>
  <w:style w:type="numbering" w:styleId="3211">
    <w:name w:val="Нет списка321"/>
    <w:qFormat/>
  </w:style>
  <w:style w:type="numbering" w:styleId="1321">
    <w:name w:val="Нет списка1321"/>
    <w:qFormat/>
  </w:style>
  <w:style w:type="numbering" w:styleId="11221">
    <w:name w:val="Нет списка11221"/>
    <w:qFormat/>
  </w:style>
  <w:style w:type="numbering" w:styleId="21211">
    <w:name w:val="Нет списка2121"/>
    <w:qFormat/>
  </w:style>
  <w:style w:type="numbering" w:styleId="12121">
    <w:name w:val="Нет списка12121"/>
    <w:qFormat/>
  </w:style>
  <w:style w:type="numbering" w:styleId="41111">
    <w:name w:val="Нет списка4111"/>
    <w:qFormat/>
  </w:style>
  <w:style w:type="numbering" w:styleId="141111">
    <w:name w:val="Нет списка14111"/>
    <w:qFormat/>
  </w:style>
  <w:style w:type="numbering" w:styleId="113111">
    <w:name w:val="Нет списка113111"/>
    <w:qFormat/>
  </w:style>
  <w:style w:type="numbering" w:styleId="221111">
    <w:name w:val="Нет списка22111"/>
    <w:qFormat/>
  </w:style>
  <w:style w:type="numbering" w:styleId="122111">
    <w:name w:val="Нет списка122111"/>
    <w:qFormat/>
  </w:style>
  <w:style w:type="numbering" w:styleId="51111">
    <w:name w:val="Нет списка5111"/>
    <w:qFormat/>
  </w:style>
  <w:style w:type="numbering" w:styleId="151111">
    <w:name w:val="Нет списка15111"/>
    <w:qFormat/>
  </w:style>
  <w:style w:type="numbering" w:styleId="114111">
    <w:name w:val="Нет списка114111"/>
    <w:qFormat/>
  </w:style>
  <w:style w:type="numbering" w:styleId="231111">
    <w:name w:val="Нет списка23111"/>
    <w:qFormat/>
  </w:style>
  <w:style w:type="numbering" w:styleId="123111">
    <w:name w:val="Нет списка123111"/>
    <w:qFormat/>
  </w:style>
  <w:style w:type="numbering" w:styleId="61111">
    <w:name w:val="Нет списка6111"/>
    <w:qFormat/>
  </w:style>
  <w:style w:type="numbering" w:styleId="161111">
    <w:name w:val="Нет списка16111"/>
    <w:qFormat/>
  </w:style>
  <w:style w:type="numbering" w:styleId="115111">
    <w:name w:val="Нет списка115111"/>
    <w:qFormat/>
  </w:style>
  <w:style w:type="numbering" w:styleId="241111">
    <w:name w:val="Нет списка24111"/>
    <w:qFormat/>
  </w:style>
  <w:style w:type="numbering" w:styleId="124111">
    <w:name w:val="Нет списка124111"/>
    <w:qFormat/>
  </w:style>
  <w:style w:type="numbering" w:styleId="111121">
    <w:name w:val="Нет списка111121"/>
    <w:qFormat/>
  </w:style>
  <w:style w:type="numbering" w:styleId="7111">
    <w:name w:val="Нет списка711"/>
    <w:qFormat/>
  </w:style>
  <w:style w:type="numbering" w:styleId="17111">
    <w:name w:val="Нет списка1711"/>
    <w:qFormat/>
  </w:style>
  <w:style w:type="numbering" w:styleId="11611">
    <w:name w:val="Нет списка11611"/>
    <w:qFormat/>
  </w:style>
  <w:style w:type="numbering" w:styleId="25111">
    <w:name w:val="Нет списка2511"/>
    <w:qFormat/>
  </w:style>
  <w:style w:type="numbering" w:styleId="12511">
    <w:name w:val="Нет списка12511"/>
    <w:qFormat/>
  </w:style>
  <w:style w:type="numbering" w:styleId="111211">
    <w:name w:val="Нет списка111211"/>
    <w:qFormat/>
  </w:style>
  <w:style w:type="numbering" w:styleId="911">
    <w:name w:val="Нет списка91"/>
    <w:qFormat/>
  </w:style>
  <w:style w:type="numbering" w:styleId="1911">
    <w:name w:val="Нет списка191"/>
    <w:qFormat/>
  </w:style>
  <w:style w:type="numbering" w:styleId="1181">
    <w:name w:val="Нет списка1181"/>
    <w:qFormat/>
  </w:style>
  <w:style w:type="numbering" w:styleId="11141">
    <w:name w:val="Нет списка11141"/>
    <w:qFormat/>
  </w:style>
  <w:style w:type="numbering" w:styleId="2711">
    <w:name w:val="Нет списка271"/>
    <w:qFormat/>
  </w:style>
  <w:style w:type="numbering" w:styleId="1271">
    <w:name w:val="Нет списка1271"/>
    <w:qFormat/>
  </w:style>
  <w:style w:type="numbering" w:styleId="3311">
    <w:name w:val="Нет списка331"/>
    <w:qFormat/>
  </w:style>
  <w:style w:type="numbering" w:styleId="1331">
    <w:name w:val="Нет списка1331"/>
    <w:qFormat/>
  </w:style>
  <w:style w:type="numbering" w:styleId="11231">
    <w:name w:val="Нет списка11231"/>
    <w:qFormat/>
  </w:style>
  <w:style w:type="numbering" w:styleId="21311">
    <w:name w:val="Нет списка2131"/>
    <w:qFormat/>
  </w:style>
  <w:style w:type="numbering" w:styleId="12131">
    <w:name w:val="Нет списка12131"/>
    <w:qFormat/>
  </w:style>
  <w:style w:type="numbering" w:styleId="4211">
    <w:name w:val="Нет списка421"/>
    <w:qFormat/>
  </w:style>
  <w:style w:type="numbering" w:styleId="1421">
    <w:name w:val="Нет списка1421"/>
    <w:qFormat/>
  </w:style>
  <w:style w:type="numbering" w:styleId="11321">
    <w:name w:val="Нет списка11321"/>
    <w:qFormat/>
  </w:style>
  <w:style w:type="numbering" w:styleId="2221">
    <w:name w:val="Нет списка2221"/>
    <w:qFormat/>
  </w:style>
  <w:style w:type="numbering" w:styleId="12221">
    <w:name w:val="Нет списка12221"/>
    <w:qFormat/>
  </w:style>
  <w:style w:type="numbering" w:styleId="5211">
    <w:name w:val="Нет списка521"/>
    <w:qFormat/>
  </w:style>
  <w:style w:type="numbering" w:styleId="1521">
    <w:name w:val="Нет списка1521"/>
    <w:qFormat/>
  </w:style>
  <w:style w:type="numbering" w:styleId="11421">
    <w:name w:val="Нет списка11421"/>
    <w:qFormat/>
  </w:style>
  <w:style w:type="numbering" w:styleId="2321">
    <w:name w:val="Нет списка2321"/>
    <w:qFormat/>
  </w:style>
  <w:style w:type="numbering" w:styleId="12321">
    <w:name w:val="Нет списка12321"/>
    <w:qFormat/>
  </w:style>
  <w:style w:type="numbering" w:styleId="621">
    <w:name w:val="Нет списка621"/>
    <w:qFormat/>
  </w:style>
  <w:style w:type="numbering" w:styleId="1621">
    <w:name w:val="Нет списка1621"/>
    <w:qFormat/>
  </w:style>
  <w:style w:type="numbering" w:styleId="11521">
    <w:name w:val="Нет списка11521"/>
    <w:qFormat/>
  </w:style>
  <w:style w:type="numbering" w:styleId="2421">
    <w:name w:val="Нет списка2421"/>
    <w:qFormat/>
  </w:style>
  <w:style w:type="numbering" w:styleId="12421">
    <w:name w:val="Нет списка12421"/>
    <w:qFormat/>
  </w:style>
  <w:style w:type="numbering" w:styleId="111131">
    <w:name w:val="Нет списка111131"/>
    <w:qFormat/>
  </w:style>
  <w:style w:type="numbering" w:styleId="721">
    <w:name w:val="Нет списка721"/>
    <w:qFormat/>
  </w:style>
  <w:style w:type="numbering" w:styleId="1721">
    <w:name w:val="Нет списка1721"/>
    <w:qFormat/>
  </w:style>
  <w:style w:type="numbering" w:styleId="11621">
    <w:name w:val="Нет списка11621"/>
    <w:qFormat/>
  </w:style>
  <w:style w:type="numbering" w:styleId="2521">
    <w:name w:val="Нет списка2521"/>
    <w:qFormat/>
  </w:style>
  <w:style w:type="numbering" w:styleId="12521">
    <w:name w:val="Нет списка12521"/>
    <w:qFormat/>
  </w:style>
  <w:style w:type="numbering" w:styleId="111221">
    <w:name w:val="Нет списка111221"/>
    <w:qFormat/>
  </w:style>
  <w:style w:type="numbering" w:styleId="34305100621">
    <w:name w:val="343051006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Application>AlterOffice/3.4.0.9$Linux_X86_64 LibreOffice_project/b8daf9e823b1a5463a2f48435ddc2e8696e7d4fc</Application>
  <AppVersion>15.0000</AppVersion>
  <Pages>9</Pages>
  <Words>1346</Words>
  <Characters>8985</Characters>
  <CharactersWithSpaces>10155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2024-01-25T10:23:00Z</dcterms:created>
  <dc:creator>Быстров Олег Геннадьевич</dc:creator>
  <dc:description/>
  <dc:language>ru-RU</dc:language>
  <cp:lastModifiedBy>petrovai@corp.gidroogk.com</cp:lastModifiedBy>
  <cp:lastPrinted>2026-03-05T14:37:09Z</cp:lastPrinted>
  <dcterms:modified xsi:type="dcterms:W3CDTF">2026-05-26T17:05:15Z</dcterms:modified>
  <cp:revision>83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