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мая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закупки </w:t>
      </w:r>
      <w:r>
        <w:rPr>
          <w:rFonts w:eastAsia="Calibri" w:ascii="Times New Roman" w:hAnsi="Times New Roman"/>
          <w:color w:val="000000"/>
          <w:sz w:val="24"/>
          <w:szCs w:val="24"/>
          <w:shd w:fill="auto" w:val="clear"/>
          <w:lang w:eastAsia="en-US"/>
        </w:rPr>
        <w:t>«</w:t>
      </w:r>
      <w:r>
        <w:rPr>
          <w:rFonts w:ascii="Times New Roman" w:hAnsi="Times New Roman"/>
          <w:sz w:val="24"/>
          <w:szCs w:val="28"/>
          <w:shd w:fill="auto" w:val="clear"/>
        </w:rPr>
        <w:t>ОКПД2 45.20.11.000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Оказание у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>слуг по техническому обслуживанию и ремон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ту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 xml:space="preserve">легковых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автомобилей Ка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8"/>
          <w:lang w:eastAsia="en-US"/>
        </w:rPr>
        <w:t xml:space="preserve">рачаево-Черкесского транспортного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lang w:eastAsia="en-US"/>
        </w:rPr>
        <w:t>участка Ю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жного филиала АО «ТК РусГидро"» </w:t>
      </w:r>
    </w:p>
    <w:p>
      <w:pPr>
        <w:pStyle w:val="11"/>
        <w:numPr>
          <w:ilvl w:val="0"/>
          <w:numId w:val="0"/>
        </w:numPr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«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Услуги по техническому обслуживанию и ремонту легковых автомобилей </w:t>
      </w:r>
      <w:r>
        <w:rPr>
          <w:rFonts w:eastAsia="Calibri"/>
          <w:color w:val="000000"/>
          <w:sz w:val="24"/>
          <w:szCs w:val="24"/>
          <w:lang w:eastAsia="en-US"/>
        </w:rPr>
        <w:t>Карачаево-Черкесского транспортного участка Южного филиала АО «ТК РусГидро»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sz w:val="24"/>
          <w:szCs w:val="24"/>
        </w:rPr>
        <w:t>18</w:t>
      </w:r>
      <w:r>
        <w:rPr>
          <w:sz w:val="24"/>
          <w:szCs w:val="24"/>
        </w:rPr>
        <w:t>-00 2</w:t>
      </w:r>
      <w:r>
        <w:rPr>
          <w:sz w:val="24"/>
          <w:szCs w:val="24"/>
        </w:rPr>
        <w:t>9</w:t>
      </w:r>
      <w:r>
        <w:rPr>
          <w:sz w:val="24"/>
          <w:szCs w:val="24"/>
        </w:rPr>
        <w:t>.05.202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hyperlink r:id="rId3">
        <w:r>
          <w:rPr>
            <w:rStyle w:val="Hyperlink"/>
            <w:color w:val="auto"/>
            <w:sz w:val="24"/>
            <w:szCs w:val="24"/>
            <w:lang w:val="en-US"/>
          </w:rPr>
          <w:t>BalanovskiiVD</w:t>
        </w:r>
        <w:r>
          <w:rPr>
            <w:rStyle w:val="Hyperlink"/>
            <w:color w:val="auto"/>
            <w:sz w:val="24"/>
            <w:szCs w:val="24"/>
            <w:lang w:val="ru-RU"/>
          </w:rPr>
          <w:t>@</w:t>
        </w:r>
        <w:r>
          <w:rPr>
            <w:rStyle w:val="Hyperlink"/>
            <w:color w:val="auto"/>
            <w:sz w:val="24"/>
            <w:szCs w:val="24"/>
            <w:lang w:val="en-US"/>
          </w:rPr>
          <w:t>rushydro</w:t>
        </w:r>
        <w:r>
          <w:rPr>
            <w:rStyle w:val="Hyperlink"/>
            <w:color w:val="auto"/>
            <w:sz w:val="24"/>
            <w:szCs w:val="24"/>
            <w:lang w:val="ru-RU"/>
          </w:rPr>
          <w:t>.</w:t>
        </w:r>
        <w:r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>
        <w:rPr>
          <w:color w:val="auto"/>
          <w:sz w:val="24"/>
          <w:szCs w:val="24"/>
          <w:lang w:val="en-US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BalanovskiiVD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AlterOffice/3.4.0.9$Linux_X86_64 LibreOffice_project/b8daf9e823b1a5463a2f48435ddc2e8696e7d4fc</Application>
  <AppVersion>15.0000</AppVersion>
  <Pages>2</Pages>
  <Words>462</Words>
  <Characters>3291</Characters>
  <CharactersWithSpaces>3733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balanovskiivd@corp.gidroogk.com</cp:lastModifiedBy>
  <cp:lastPrinted>2024-01-09T15:39:00Z</cp:lastPrinted>
  <dcterms:modified xsi:type="dcterms:W3CDTF">2026-05-26T19:09:44Z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