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2026г.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Акционерное общество «Транспортная компания РусГидро» (АО «ТК РусГидро»), (далее - «Покупатель»), в лице _________________, действующего на основании ______________, с одной стороны, и_________________________________________________, (далее - «Поставщик»), в лице ________________, действующего на основании ______________, с другой стороны, совместно в дальнейшем именуемые «Стороны», а по отдельности – «Сторона», по результатам проведенной конкурентной процедуры по лоту № _________, и на основании протокола от «_____» __№_______ 20__ г.,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4"/>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5"/>
        </w:numPr>
        <w:shd w:val="clear" w:color="auto" w:fill="FFFFFF"/>
        <w:tabs>
          <w:tab w:val="clear" w:pos="708"/>
          <w:tab w:val="left" w:pos="1134" w:leader="none"/>
        </w:tabs>
        <w:ind w:left="0" w:firstLine="709"/>
        <w:jc w:val="both"/>
        <w:rPr>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rFonts w:eastAsia="Calibri"/>
          <w:bCs/>
          <w:i w:val="false"/>
          <w:iCs w:val="false"/>
          <w:color w:val="000000"/>
          <w:sz w:val="24"/>
          <w:szCs w:val="24"/>
          <w:lang w:eastAsia="en-US"/>
        </w:rPr>
        <w:t xml:space="preserve">Бортовой редуктор хода без гидромотора </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6"/>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7"/>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128"/>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Срок поставки Товара: в течение 10 (десяти) календарных дней с даты предоставления Покупателем заявки по форме Приложения №2 к Договору в адрес Поставщика.</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9"/>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30"/>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t xml:space="preserve"> </w:t>
      </w:r>
      <w:r>
        <w:rPr>
          <w:bCs/>
          <w:sz w:val="24"/>
          <w:szCs w:val="24"/>
        </w:rPr>
        <w:t xml:space="preserve">( ) рублей </w:t>
      </w:r>
      <w:r>
        <w:rPr>
          <w:sz w:val="24"/>
          <w:szCs w:val="24"/>
        </w:rPr>
        <w:t>00</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31"/>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3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5"/>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6"/>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7"/>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8"/>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9"/>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40"/>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Предельный размер неотработанных авансовых платежей по одной или нескольким заявкам не должен превышать 4 950 000 (Четыре миллиона девятьсот пятьдесят тысяч) рублей 00 копеек без учета НДС (при этом НДС исчисляется дополнительно по ставке, установленной статьей 164 Налогового кодекса РФ на дату выплаты авансового платежа).  </w:t>
      </w:r>
      <w:bookmarkEnd w:id="2"/>
    </w:p>
    <w:p>
      <w:pPr>
        <w:pStyle w:val="Normal"/>
        <w:widowControl/>
        <w:numPr>
          <w:ilvl w:val="2"/>
          <w:numId w:val="141"/>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42"/>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4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5"/>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p>
    <w:p>
      <w:pPr>
        <w:pStyle w:val="Normal"/>
        <w:widowControl/>
        <w:numPr>
          <w:ilvl w:val="1"/>
          <w:numId w:val="146"/>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7"/>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8"/>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50"/>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с последующим направлением оригинала Заявки по адресу, указанному в разделе 14 Договора.</w:t>
      </w:r>
    </w:p>
    <w:p>
      <w:pPr>
        <w:pStyle w:val="Normal"/>
        <w:widowControl/>
        <w:numPr>
          <w:ilvl w:val="2"/>
          <w:numId w:val="151"/>
        </w:numPr>
        <w:tabs>
          <w:tab w:val="clear" w:pos="708"/>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MasterinNN@rushydro.ru с последующим направлением письменного ответа по адресу, указанному в разделе 14 Договора.</w:t>
      </w:r>
    </w:p>
    <w:p>
      <w:pPr>
        <w:pStyle w:val="Normal"/>
        <w:widowControl/>
        <w:numPr>
          <w:ilvl w:val="2"/>
          <w:numId w:val="152"/>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53"/>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4"/>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ListParagraph"/>
        <w:numPr>
          <w:ilvl w:val="2"/>
          <w:numId w:val="155"/>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11.2 Договора.</w:t>
      </w:r>
    </w:p>
    <w:p>
      <w:pPr>
        <w:pStyle w:val="ListParagraph"/>
        <w:widowControl/>
        <w:numPr>
          <w:ilvl w:val="2"/>
          <w:numId w:val="156"/>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Normal"/>
        <w:widowControl/>
        <w:numPr>
          <w:ilvl w:val="1"/>
          <w:numId w:val="157"/>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8"/>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9"/>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60"/>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61"/>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62"/>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63"/>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64"/>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5"/>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6"/>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7"/>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8"/>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9"/>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70"/>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71"/>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72"/>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73"/>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1"/>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BodyText"/>
        <w:widowControl/>
        <w:numPr>
          <w:ilvl w:val="1"/>
          <w:numId w:val="11"/>
        </w:numPr>
        <w:tabs>
          <w:tab w:val="clear" w:pos="708"/>
          <w:tab w:val="left" w:pos="1276" w:leader="none"/>
        </w:tabs>
        <w:spacing w:before="0" w:after="0"/>
        <w:ind w:left="0" w:firstLine="851"/>
        <w:contextualSpacing/>
        <w:jc w:val="both"/>
        <w:rPr>
          <w:sz w:val="24"/>
          <w:szCs w:val="24"/>
        </w:rPr>
      </w:pPr>
      <w:r>
        <w:rPr>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1"/>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1"/>
        </w:numPr>
        <w:tabs>
          <w:tab w:val="clear" w:pos="708"/>
          <w:tab w:val="left" w:pos="1134" w:leader="none"/>
        </w:tabs>
        <w:spacing w:before="0" w:after="0"/>
        <w:ind w:left="0" w:firstLine="709"/>
        <w:contextualSpacing/>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10"/>
        </w:numPr>
        <w:tabs>
          <w:tab w:val="clear" w:pos="708"/>
          <w:tab w:val="left" w:pos="993" w:leader="none"/>
        </w:tabs>
        <w:ind w:left="0" w:firstLine="709"/>
        <w:jc w:val="both"/>
        <w:rPr>
          <w:bCs/>
          <w:sz w:val="24"/>
          <w:szCs w:val="24"/>
        </w:rPr>
      </w:pPr>
      <w:r>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10"/>
        </w:numPr>
        <w:tabs>
          <w:tab w:val="clear" w:pos="708"/>
          <w:tab w:val="left" w:pos="993" w:leader="none"/>
        </w:tabs>
        <w:ind w:left="0" w:firstLine="709"/>
        <w:jc w:val="both"/>
        <w:rPr>
          <w:bCs/>
          <w:sz w:val="24"/>
          <w:szCs w:val="24"/>
        </w:rPr>
      </w:pPr>
      <w:r>
        <w:rPr>
          <w:bCs/>
          <w:sz w:val="24"/>
          <w:szCs w:val="24"/>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shd w:val="clear" w:color="auto" w:fill="FFFFFF"/>
        <w:tabs>
          <w:tab w:val="clear" w:pos="708"/>
          <w:tab w:val="left" w:pos="1276" w:leader="none"/>
        </w:tabs>
        <w:ind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1"/>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1"/>
        </w:numPr>
        <w:tabs>
          <w:tab w:val="clear" w:pos="708"/>
          <w:tab w:val="left" w:pos="1276" w:leader="none"/>
        </w:tabs>
        <w:spacing w:before="0" w:after="0"/>
        <w:ind w:left="0" w:firstLine="709"/>
        <w:contextualSpacing/>
        <w:jc w:val="both"/>
        <w:rPr>
          <w:bCs/>
          <w:sz w:val="24"/>
          <w:szCs w:val="24"/>
        </w:rPr>
      </w:pPr>
      <w:r>
        <w:rPr>
          <w:bCs/>
          <w:sz w:val="24"/>
          <w:szCs w:val="24"/>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74"/>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6"/>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7"/>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8"/>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9"/>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80"/>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8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5"/>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6"/>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7"/>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9"/>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90"/>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91"/>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92"/>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93"/>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94"/>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5"/>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6"/>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7"/>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8"/>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200"/>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201"/>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202"/>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203"/>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204"/>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5"/>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6"/>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7"/>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8"/>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9"/>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10"/>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1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bCs/>
            <w:color w:val="auto"/>
            <w:sz w:val="24"/>
            <w:szCs w:val="24"/>
            <w:u w:val="none"/>
          </w:rPr>
          <w:t>№ 18162/09</w:t>
        </w:r>
      </w:hyperlink>
      <w:r>
        <w:rPr>
          <w:bCs/>
          <w:sz w:val="24"/>
          <w:szCs w:val="24"/>
        </w:rPr>
        <w:t xml:space="preserve"> </w:t>
        <w:br/>
        <w:t xml:space="preserve">и от 25.05.2010 </w:t>
      </w:r>
      <w:hyperlink r:id="rId4">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5">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5"/>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7"/>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9"/>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2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21"/>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23"/>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24"/>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5"/>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6"/>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7"/>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8"/>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9"/>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30"/>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31"/>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32"/>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33"/>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 xml:space="preserve">Договор вступает в силу с даты его подписания Сторонами и действует </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в течение 12 (двенадцати) месяцев, либо до исчерпания предельной суммы по Договору, в зависимости что наступит ранее.</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34"/>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widowControl/>
        <w:numPr>
          <w:ilvl w:val="0"/>
          <w:numId w:val="235"/>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д.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b/>
                <w:sz w:val="24"/>
                <w:szCs w:val="24"/>
              </w:rPr>
            </w:r>
          </w:p>
          <w:p>
            <w:pPr>
              <w:pStyle w:val="Normal"/>
              <w:widowControl w:val="false"/>
              <w:rPr>
                <w:sz w:val="24"/>
                <w:szCs w:val="24"/>
              </w:rPr>
            </w:pPr>
            <w:r>
              <w:rPr>
                <w:sz w:val="24"/>
                <w:szCs w:val="24"/>
              </w:rPr>
            </w:r>
          </w:p>
        </w:tc>
      </w:tr>
    </w:tbl>
    <w:p>
      <w:pPr>
        <w:sectPr>
          <w:headerReference w:type="default" r:id="rId6"/>
          <w:headerReference w:type="first" r:id="rId7"/>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c>
          <w:tcPr>
            <w:tcW w:w="236" w:type="dxa"/>
            <w:tcBorders/>
          </w:tcPr>
          <w:p>
            <w:pPr>
              <w:pStyle w:val="Normal"/>
              <w:widowControl w:val="false"/>
              <w:rPr/>
            </w:pPr>
            <w:r>
              <w:rPr/>
            </w:r>
          </w:p>
        </w:tc>
      </w:tr>
    </w:tbl>
    <w:p>
      <w:pPr>
        <w:sectPr>
          <w:headerReference w:type="default" r:id="rId8"/>
          <w:headerReference w:type="first" r:id="rId9"/>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rPr/>
      </w:pPr>
      <w:r>
        <w:rPr/>
      </w:r>
    </w:p>
    <w:p>
      <w:pPr>
        <w:pStyle w:val="Normal"/>
        <w:jc w:val="right"/>
        <w:rPr>
          <w:sz w:val="28"/>
          <w:szCs w:val="28"/>
        </w:rPr>
      </w:pPr>
      <w:r>
        <w:rPr>
          <w:sz w:val="22"/>
          <w:szCs w:val="22"/>
        </w:rPr>
        <w:t>Приложение № 1</w:t>
      </w:r>
    </w:p>
    <w:p>
      <w:pPr>
        <w:pStyle w:val="Normal"/>
        <w:jc w:val="right"/>
        <w:rPr>
          <w:sz w:val="22"/>
          <w:szCs w:val="22"/>
        </w:rPr>
      </w:pPr>
      <w:r>
        <w:rPr>
          <w:sz w:val="22"/>
          <w:szCs w:val="22"/>
        </w:rPr>
        <w:t xml:space="preserve">к Договору поставки №        </w:t>
      </w:r>
      <w:r>
        <w:rPr>
          <w:sz w:val="24"/>
          <w:szCs w:val="24"/>
        </w:rPr>
        <w:t>/2025/ЦФ/Рм</w:t>
      </w:r>
    </w:p>
    <w:p>
      <w:pPr>
        <w:pStyle w:val="Normal"/>
        <w:ind w:firstLine="4820"/>
        <w:jc w:val="right"/>
        <w:rPr>
          <w:sz w:val="22"/>
          <w:szCs w:val="22"/>
        </w:rPr>
      </w:pPr>
      <w:r>
        <w:rPr>
          <w:sz w:val="22"/>
          <w:szCs w:val="22"/>
        </w:rPr>
        <w:t>от «____» _____20 _ г. № _____</w:t>
      </w:r>
    </w:p>
    <w:p>
      <w:pPr>
        <w:pStyle w:val="Norma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sz w:val="24"/>
          <w:szCs w:val="24"/>
        </w:rPr>
        <w:t xml:space="preserve">СПЕЦИФИКАЦИЯ </w:t>
      </w:r>
    </w:p>
    <w:p>
      <w:pPr>
        <w:pStyle w:val="Normal"/>
        <w:jc w:val="center"/>
        <w:rPr>
          <w:b/>
        </w:rPr>
      </w:pPr>
      <w:r>
        <w:rPr>
          <w:b/>
        </w:rPr>
      </w:r>
    </w:p>
    <w:tbl>
      <w:tblPr>
        <w:tblW w:w="15081"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693"/>
        <w:gridCol w:w="416"/>
        <w:gridCol w:w="1658"/>
        <w:gridCol w:w="778"/>
        <w:gridCol w:w="787"/>
        <w:gridCol w:w="873"/>
        <w:gridCol w:w="788"/>
        <w:gridCol w:w="899"/>
        <w:gridCol w:w="855"/>
        <w:gridCol w:w="680"/>
        <w:gridCol w:w="846"/>
        <w:gridCol w:w="926"/>
        <w:gridCol w:w="1256"/>
        <w:gridCol w:w="1191"/>
        <w:gridCol w:w="1237"/>
        <w:gridCol w:w="1194"/>
      </w:tblGrid>
      <w:tr>
        <w:trPr>
          <w:trHeight w:val="52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1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pPr>
            <w:r>
              <w:rPr>
                <w:bCs/>
              </w:rPr>
              <w:t>Порядковый номер(а) реестровой(ых) записи(ей)</w:t>
            </w:r>
            <w:r>
              <w:rPr>
                <w:rStyle w:val="FootnoteReference"/>
                <w:bCs/>
              </w:rPr>
              <w:footnoteReference w:id="4"/>
            </w:r>
          </w:p>
          <w:p>
            <w:pPr>
              <w:pStyle w:val="Normal"/>
              <w:widowControl w:val="false"/>
              <w:jc w:val="center"/>
              <w:rPr>
                <w:bCs/>
              </w:rPr>
            </w:pPr>
            <w:r>
              <w:rPr>
                <w:bCs/>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(22%) руб.</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bookmarkStart w:id="15" w:name="_GoBack"/>
            <w:r>
              <w:rPr>
                <w:bCs/>
              </w:rPr>
              <w:t>Перечень сопроводительных документов (в том числе подтверждающих качество Товара)</w:t>
            </w:r>
            <w:bookmarkEnd w:id="15"/>
          </w:p>
        </w:tc>
      </w:tr>
      <w:tr>
        <w:trPr>
          <w:trHeight w:val="526"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41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t>1</w:t>
            </w:r>
          </w:p>
        </w:tc>
        <w:tc>
          <w:tcPr>
            <w:tcW w:w="1658" w:type="dxa"/>
            <w:tcBorders>
              <w:left w:val="single" w:sz="4" w:space="0" w:color="000000"/>
              <w:bottom w:val="single" w:sz="4" w:space="0" w:color="000000"/>
              <w:right w:val="single" w:sz="4" w:space="0" w:color="000000"/>
            </w:tcBorders>
            <w:vAlign w:val="center"/>
          </w:tcPr>
          <w:p>
            <w:pPr>
              <w:pStyle w:val="Normal"/>
              <w:widowControl w:val="false"/>
              <w:jc w:val="center"/>
              <w:rPr>
                <w:i w:val="false"/>
                <w:i w:val="false"/>
                <w:iCs w:val="false"/>
                <w:sz w:val="24"/>
                <w:szCs w:val="24"/>
              </w:rPr>
            </w:pPr>
            <w:r>
              <w:rPr>
                <w:bCs/>
                <w:i w:val="false"/>
                <w:iCs w:val="false"/>
                <w:sz w:val="24"/>
                <w:szCs w:val="24"/>
              </w:rPr>
              <w:t xml:space="preserve">Бортовой редуктор хода без гидромотора </w:t>
            </w:r>
          </w:p>
        </w:tc>
        <w:tc>
          <w:tcPr>
            <w:tcW w:w="778" w:type="dxa"/>
            <w:tcBorders>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787"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73" w:type="dxa"/>
            <w:tcBorders>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788"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99"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55"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680" w:type="dxa"/>
            <w:tcBorders>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84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t>1</w:t>
            </w:r>
          </w:p>
        </w:tc>
        <w:tc>
          <w:tcPr>
            <w:tcW w:w="92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25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237"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194"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r>
      <w:tr>
        <w:trPr>
          <w:trHeight w:val="62" w:hRule="atLeast"/>
        </w:trPr>
        <w:tc>
          <w:tcPr>
            <w:tcW w:w="1264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pPr>
            <w:r>
              <w:rPr/>
              <w:t>Итого стоимость партии Товара №1, руб. с НДС</w:t>
            </w: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1264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pPr>
            <w:r>
              <w:rPr/>
              <w:t>Итого стоимость всего Товара (с учетом доставки), руб. с НДС:</w:t>
            </w: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hd w:fill="FFFF00" w:val="clear"/>
        </w:rPr>
      </w:pPr>
      <w:r>
        <w:rPr>
          <w:i/>
          <w:shd w:fill="FFFF00" w:val="clear"/>
        </w:rPr>
      </w:r>
    </w:p>
    <w:p>
      <w:pPr>
        <w:pStyle w:val="Normal"/>
        <w:rPr>
          <w:i/>
          <w:i/>
          <w:sz w:val="22"/>
          <w:szCs w:val="22"/>
          <w:shd w:fill="C0C0C0" w:val="clear"/>
        </w:rPr>
      </w:pPr>
      <w:r>
        <w:rPr>
          <w:i/>
          <w:sz w:val="22"/>
          <w:szCs w:val="22"/>
          <w:shd w:fill="C0C0C0"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shd w:fill="C0C0C0" w:val="clear"/>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sectPr>
          <w:headerReference w:type="default" r:id="rId10"/>
          <w:headerReference w:type="first" r:id="rId11"/>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ind w:firstLine="709"/>
        <w:jc w:val="both"/>
        <w:rPr>
          <w:i/>
          <w:i/>
        </w:rPr>
      </w:pPr>
      <w:r>
        <w:rPr>
          <w:i/>
          <w:sz w:val="24"/>
          <w:szCs w:val="24"/>
        </w:rPr>
        <w:t xml:space="preserve"> </w:t>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4"/>
        <w:gridCol w:w="4896"/>
      </w:tblGrid>
      <w:tr>
        <w:trPr/>
        <w:tc>
          <w:tcPr>
            <w:tcW w:w="4884" w:type="dxa"/>
            <w:tcBorders/>
          </w:tcPr>
          <w:p>
            <w:pPr>
              <w:pStyle w:val="Normal"/>
              <w:widowControl w:val="false"/>
              <w:jc w:val="center"/>
              <w:rPr>
                <w:b/>
                <w:bCs/>
              </w:rPr>
            </w:pPr>
            <w:r>
              <w:rPr>
                <w:b/>
                <w:bCs/>
              </w:rPr>
            </w:r>
          </w:p>
          <w:p>
            <w:pPr>
              <w:pStyle w:val="Normal"/>
              <w:widowControl w:val="false"/>
              <w:jc w:val="center"/>
              <w:rPr/>
            </w:pPr>
            <w:r>
              <w:rPr>
                <w:b/>
                <w:bCs/>
                <w:sz w:val="24"/>
                <w:szCs w:val="24"/>
              </w:rPr>
              <w:t xml:space="preserve">                                   </w:t>
            </w:r>
            <w:r>
              <w:rPr>
                <w:b/>
                <w:bCs/>
                <w:sz w:val="24"/>
                <w:szCs w:val="24"/>
              </w:rPr>
              <w:t>ПОДПИСИ СТОРОН:</w:t>
            </w:r>
          </w:p>
          <w:p>
            <w:pPr>
              <w:pStyle w:val="Normal"/>
              <w:widowControl w:val="false"/>
              <w:rPr/>
            </w:pPr>
            <w:r>
              <w:rPr/>
            </w:r>
          </w:p>
          <w:p>
            <w:pPr>
              <w:pStyle w:val="Normal"/>
              <w:widowControl w:val="false"/>
              <w:rPr/>
            </w:pPr>
            <w:r>
              <w:rPr>
                <w:sz w:val="24"/>
                <w:szCs w:val="24"/>
              </w:rPr>
              <w:t>Директор Центрального филиала</w:t>
            </w:r>
          </w:p>
          <w:p>
            <w:pPr>
              <w:pStyle w:val="Normal"/>
              <w:widowControl w:val="false"/>
              <w:rPr/>
            </w:pPr>
            <w:r>
              <w:rPr>
                <w:sz w:val="24"/>
                <w:szCs w:val="24"/>
              </w:rPr>
              <w:t>АО «ТК РусГидро»</w:t>
            </w:r>
          </w:p>
          <w:p>
            <w:pPr>
              <w:pStyle w:val="Normal"/>
              <w:widowControl w:val="false"/>
              <w:rPr/>
            </w:pPr>
            <w:r>
              <w:rPr/>
            </w:r>
          </w:p>
          <w:p>
            <w:pPr>
              <w:pStyle w:val="Normal"/>
              <w:widowControl w:val="false"/>
              <w:rPr/>
            </w:pPr>
            <w:r>
              <w:rPr/>
            </w:r>
          </w:p>
          <w:p>
            <w:pPr>
              <w:pStyle w:val="Normal"/>
              <w:widowControl w:val="false"/>
              <w:rPr/>
            </w:pPr>
            <w:r>
              <w:rPr>
                <w:sz w:val="24"/>
                <w:szCs w:val="24"/>
              </w:rPr>
              <w:t>_______________ /</w:t>
            </w:r>
          </w:p>
          <w:p>
            <w:pPr>
              <w:pStyle w:val="Normal"/>
              <w:widowControl w:val="false"/>
              <w:rPr/>
            </w:pPr>
            <w:r>
              <w:rPr/>
            </w:r>
          </w:p>
        </w:tc>
        <w:tc>
          <w:tcPr>
            <w:tcW w:w="4896" w:type="dxa"/>
            <w:tcBorders/>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tc>
      </w:tr>
    </w:tbl>
    <w:p>
      <w:pPr>
        <w:sectPr>
          <w:headerReference w:type="default" r:id="rId12"/>
          <w:headerReference w:type="first" r:id="rId13"/>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7"/>
        <w:gridCol w:w="1065"/>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hanging="0"/>
        <w:jc w:val="right"/>
        <w:rPr>
          <w:b/>
          <w:bCs/>
          <w:sz w:val="24"/>
          <w:szCs w:val="24"/>
        </w:rPr>
      </w:pPr>
      <w:r>
        <w:rPr>
          <w:b/>
          <w:bCs/>
          <w:sz w:val="24"/>
          <w:szCs w:val="24"/>
        </w:rPr>
      </w:r>
    </w:p>
    <w:p>
      <w:pPr>
        <w:pStyle w:val="Normal"/>
        <w:rPr/>
      </w:pPr>
      <w:r>
        <w:rPr/>
      </w:r>
    </w:p>
    <w:p>
      <w:pPr>
        <w:pStyle w:val="Normal"/>
        <w:rPr/>
      </w:pPr>
      <w:r>
        <w:rPr/>
      </w:r>
    </w:p>
    <w:p>
      <w:pPr>
        <w:pStyle w:val="Normal"/>
        <w:ind w:firstLine="4820"/>
        <w:jc w:val="right"/>
        <w:rPr>
          <w:sz w:val="22"/>
          <w:szCs w:val="22"/>
        </w:rPr>
      </w:pPr>
      <w:r>
        <w:rPr>
          <w:sz w:val="22"/>
          <w:szCs w:val="22"/>
        </w:rPr>
      </w:r>
    </w:p>
    <w:p>
      <w:pPr>
        <w:pStyle w:val="Normal"/>
        <w:keepNext w:val="true"/>
        <w:keepLines/>
        <w:jc w:val="center"/>
        <w:rPr>
          <w:rFonts w:eastAsia="Calibri"/>
          <w:sz w:val="24"/>
          <w:szCs w:val="24"/>
        </w:rPr>
      </w:pPr>
      <w:r>
        <w:rPr>
          <w:rFonts w:eastAsia="Calibri"/>
          <w:sz w:val="24"/>
          <w:szCs w:val="24"/>
        </w:rPr>
      </w:r>
    </w:p>
    <w:p>
      <w:pPr>
        <w:pStyle w:val="ListParagraph"/>
        <w:keepNext w:val="true"/>
        <w:widowControl/>
        <w:numPr>
          <w:ilvl w:val="0"/>
          <w:numId w:val="0"/>
        </w:numPr>
        <w:spacing w:before="120" w:after="60"/>
        <w:ind w:left="426" w:hanging="0"/>
        <w:contextualSpacing/>
        <w:outlineLvl w:val="3"/>
        <w:rPr>
          <w:rFonts w:eastAsia="Calibri"/>
          <w:b/>
          <w:bCs/>
          <w:sz w:val="24"/>
          <w:szCs w:val="24"/>
          <w:lang w:val="x-none" w:eastAsia="x-none"/>
        </w:rPr>
      </w:pPr>
      <w:r>
        <w:rPr>
          <w:rFonts w:eastAsia="Calibri"/>
          <w:b/>
          <w:bCs/>
          <w:sz w:val="24"/>
          <w:szCs w:val="24"/>
          <w:lang w:val="x-none" w:eastAsia="x-none"/>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firstLine="708"/>
        <w:rPr>
          <w:sz w:val="24"/>
          <w:szCs w:val="24"/>
        </w:rPr>
      </w:pPr>
      <w:r>
        <w:rPr/>
      </w:r>
    </w:p>
    <w:sectPr>
      <w:headerReference w:type="default" r:id="rId14"/>
      <w:headerReference w:type="first" r:id="rId15"/>
      <w:footerReference w:type="default" r:id="rId16"/>
      <w:footnotePr>
        <w:numFmt w:val="decimal"/>
      </w:footnotePr>
      <w:type w:val="nextPage"/>
      <w:pgSz w:w="11906" w:h="16838"/>
      <w:pgMar w:left="1418" w:right="851"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 w:id="3">
    <w:p>
      <w:pPr>
        <w:pStyle w:val="FootnoteText"/>
        <w:jc w:val="both"/>
        <w:rPr/>
      </w:pPr>
      <w:r>
        <w:rPr>
          <w:rStyle w:val="Style13"/>
        </w:rPr>
        <w:footnoteRef/>
      </w:r>
      <w:r>
        <w:rPr/>
        <w:tab/>
        <w:t xml:space="preserve"> 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3"/>
        </w:rPr>
        <w:footnoteRef/>
      </w:r>
      <w:r>
        <w:rPr>
          <w:shd w:fill="C0C0C0" w:val="clear"/>
        </w:rPr>
        <w:tab/>
        <w:t xml:space="preserve"> 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shd w:fill="C0C0C0" w:val="clear"/>
          <w:lang w:eastAsia="en-US"/>
        </w:rPr>
        <w:t xml:space="preserve"> «О минимальной доле закупок товаров российского происхождения»</w:t>
      </w:r>
      <w:r>
        <w:rPr>
          <w:rFonts w:eastAsia="Calibr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
    <w:lvlOverride w:ilvl="0">
      <w:startOverride w:val="1"/>
    </w:lvlOverride>
  </w:num>
  <w:num w:numId="125">
    <w:abstractNumId w:val="12"/>
  </w:num>
  <w:num w:numId="126">
    <w:abstractNumId w:val="12"/>
  </w:num>
  <w:num w:numId="127">
    <w:abstractNumId w:val="12"/>
  </w:num>
  <w:num w:numId="128">
    <w:abstractNumId w:val="12"/>
  </w:num>
  <w:num w:numId="129">
    <w:abstractNumId w:val="12"/>
  </w:num>
  <w:num w:numId="130">
    <w:abstractNumId w:val="12"/>
  </w:num>
  <w:num w:numId="131">
    <w:abstractNumId w:val="12"/>
  </w:num>
  <w:num w:numId="132">
    <w:abstractNumId w:val="12"/>
  </w:num>
  <w:num w:numId="133">
    <w:abstractNumId w:val="12"/>
  </w:num>
  <w:num w:numId="134">
    <w:abstractNumId w:val="22"/>
    <w:lvlOverride w:ilvl="0">
      <w:startOverride w:val="2"/>
    </w:lvlOverride>
    <w:lvlOverride w:ilvl="1">
      <w:startOverride w:val="3"/>
    </w:lvlOverride>
    <w:lvlOverride w:ilvl="2">
      <w:startOverride w:val="2"/>
    </w:lvlOverride>
  </w:num>
  <w:num w:numId="135">
    <w:abstractNumId w:val="12"/>
  </w:num>
  <w:num w:numId="136">
    <w:abstractNumId w:val="12"/>
  </w:num>
  <w:num w:numId="137">
    <w:abstractNumId w:val="12"/>
  </w:num>
  <w:num w:numId="138">
    <w:abstractNumId w:val="12"/>
  </w:num>
  <w:num w:numId="139">
    <w:abstractNumId w:val="12"/>
  </w:num>
  <w:num w:numId="140">
    <w:abstractNumId w:val="12"/>
  </w:num>
  <w:num w:numId="141">
    <w:abstractNumId w:val="12"/>
  </w:num>
  <w:num w:numId="142">
    <w:abstractNumId w:val="12"/>
  </w:num>
  <w:num w:numId="143">
    <w:abstractNumId w:val="12"/>
  </w:num>
  <w:num w:numId="144">
    <w:abstractNumId w:val="12"/>
  </w:num>
  <w:num w:numId="145">
    <w:abstractNumId w:val="12"/>
  </w:num>
  <w:num w:numId="146">
    <w:abstractNumId w:val="12"/>
  </w:num>
  <w:num w:numId="147">
    <w:abstractNumId w:val="12"/>
  </w:num>
  <w:num w:numId="148">
    <w:abstractNumId w:val="12"/>
  </w:num>
  <w:num w:numId="149">
    <w:abstractNumId w:val="12"/>
  </w:num>
  <w:num w:numId="150">
    <w:abstractNumId w:val="12"/>
  </w:num>
  <w:num w:numId="151">
    <w:abstractNumId w:val="12"/>
  </w:num>
  <w:num w:numId="152">
    <w:abstractNumId w:val="12"/>
  </w:num>
  <w:num w:numId="153">
    <w:abstractNumId w:val="12"/>
  </w:num>
  <w:num w:numId="154">
    <w:abstractNumId w:val="12"/>
  </w:num>
  <w:num w:numId="155">
    <w:abstractNumId w:val="12"/>
  </w:num>
  <w:num w:numId="156">
    <w:abstractNumId w:val="12"/>
  </w:num>
  <w:num w:numId="157">
    <w:abstractNumId w:val="12"/>
  </w:num>
  <w:num w:numId="158">
    <w:abstractNumId w:val="12"/>
  </w:num>
  <w:num w:numId="159">
    <w:abstractNumId w:val="12"/>
  </w:num>
  <w:num w:numId="160">
    <w:abstractNumId w:val="12"/>
  </w:num>
  <w:num w:numId="161">
    <w:abstractNumId w:val="12"/>
  </w:num>
  <w:num w:numId="162">
    <w:abstractNumId w:val="12"/>
  </w:num>
  <w:num w:numId="163">
    <w:abstractNumId w:val="12"/>
  </w:num>
  <w:num w:numId="164">
    <w:abstractNumId w:val="12"/>
  </w:num>
  <w:num w:numId="165">
    <w:abstractNumId w:val="12"/>
  </w:num>
  <w:num w:numId="166">
    <w:abstractNumId w:val="12"/>
  </w:num>
  <w:num w:numId="167">
    <w:abstractNumId w:val="12"/>
  </w:num>
  <w:num w:numId="168">
    <w:abstractNumId w:val="12"/>
  </w:num>
  <w:num w:numId="169">
    <w:abstractNumId w:val="12"/>
  </w:num>
  <w:num w:numId="170">
    <w:abstractNumId w:val="12"/>
  </w:num>
  <w:num w:numId="171">
    <w:abstractNumId w:val="12"/>
  </w:num>
  <w:num w:numId="172">
    <w:abstractNumId w:val="12"/>
  </w:num>
  <w:num w:numId="173">
    <w:abstractNumId w:val="12"/>
  </w:num>
  <w:num w:numId="174">
    <w:abstractNumId w:val="12"/>
  </w:num>
  <w:num w:numId="175">
    <w:abstractNumId w:val="12"/>
  </w:num>
  <w:num w:numId="176">
    <w:abstractNumId w:val="12"/>
  </w:num>
  <w:num w:numId="177">
    <w:abstractNumId w:val="12"/>
  </w:num>
  <w:num w:numId="178">
    <w:abstractNumId w:val="12"/>
  </w:num>
  <w:num w:numId="179">
    <w:abstractNumId w:val="12"/>
  </w:num>
  <w:num w:numId="180">
    <w:abstractNumId w:val="12"/>
  </w:num>
  <w:num w:numId="181">
    <w:abstractNumId w:val="12"/>
  </w:num>
  <w:num w:numId="182">
    <w:abstractNumId w:val="12"/>
  </w:num>
  <w:num w:numId="183">
    <w:abstractNumId w:val="12"/>
  </w:num>
  <w:num w:numId="184">
    <w:abstractNumId w:val="12"/>
  </w:num>
  <w:num w:numId="185">
    <w:abstractNumId w:val="12"/>
  </w:num>
  <w:num w:numId="186">
    <w:abstractNumId w:val="12"/>
  </w:num>
  <w:num w:numId="187">
    <w:abstractNumId w:val="12"/>
  </w:num>
  <w:num w:numId="188">
    <w:abstractNumId w:val="12"/>
  </w:num>
  <w:num w:numId="189">
    <w:abstractNumId w:val="12"/>
  </w:num>
  <w:num w:numId="190">
    <w:abstractNumId w:val="12"/>
  </w:num>
  <w:num w:numId="191">
    <w:abstractNumId w:val="12"/>
  </w:num>
  <w:num w:numId="192">
    <w:abstractNumId w:val="12"/>
  </w:num>
  <w:num w:numId="193">
    <w:abstractNumId w:val="12"/>
  </w:num>
  <w:num w:numId="194">
    <w:abstractNumId w:val="12"/>
  </w:num>
  <w:num w:numId="195">
    <w:abstractNumId w:val="12"/>
  </w:num>
  <w:num w:numId="196">
    <w:abstractNumId w:val="12"/>
  </w:num>
  <w:num w:numId="197">
    <w:abstractNumId w:val="12"/>
  </w:num>
  <w:num w:numId="198">
    <w:abstractNumId w:val="12"/>
  </w:num>
  <w:num w:numId="199">
    <w:abstractNumId w:val="12"/>
  </w:num>
  <w:num w:numId="200">
    <w:abstractNumId w:val="12"/>
  </w:num>
  <w:num w:numId="201">
    <w:abstractNumId w:val="12"/>
  </w:num>
  <w:num w:numId="202">
    <w:abstractNumId w:val="12"/>
  </w:num>
  <w:num w:numId="203">
    <w:abstractNumId w:val="12"/>
  </w:num>
  <w:num w:numId="204">
    <w:abstractNumId w:val="12"/>
  </w:num>
  <w:num w:numId="205">
    <w:abstractNumId w:val="12"/>
  </w:num>
  <w:num w:numId="206">
    <w:abstractNumId w:val="12"/>
  </w:num>
  <w:num w:numId="207">
    <w:abstractNumId w:val="12"/>
  </w:num>
  <w:num w:numId="208">
    <w:abstractNumId w:val="12"/>
  </w:num>
  <w:num w:numId="209">
    <w:abstractNumId w:val="12"/>
  </w:num>
  <w:num w:numId="210">
    <w:abstractNumId w:val="12"/>
  </w:num>
  <w:num w:numId="211">
    <w:abstractNumId w:val="12"/>
  </w:num>
  <w:num w:numId="212">
    <w:abstractNumId w:val="12"/>
  </w:num>
  <w:num w:numId="213">
    <w:abstractNumId w:val="12"/>
  </w:num>
  <w:num w:numId="214">
    <w:abstractNumId w:val="12"/>
  </w:num>
  <w:num w:numId="215">
    <w:abstractNumId w:val="12"/>
  </w:num>
  <w:num w:numId="216">
    <w:abstractNumId w:val="12"/>
  </w:num>
  <w:num w:numId="217">
    <w:abstractNumId w:val="12"/>
  </w:num>
  <w:num w:numId="218">
    <w:abstractNumId w:val="12"/>
  </w:num>
  <w:num w:numId="219">
    <w:abstractNumId w:val="12"/>
  </w:num>
  <w:num w:numId="220">
    <w:abstractNumId w:val="12"/>
  </w:num>
  <w:num w:numId="221">
    <w:abstractNumId w:val="12"/>
  </w:num>
  <w:num w:numId="222">
    <w:abstractNumId w:val="12"/>
  </w:num>
  <w:num w:numId="223">
    <w:abstractNumId w:val="12"/>
  </w:num>
  <w:num w:numId="224">
    <w:abstractNumId w:val="12"/>
  </w:num>
  <w:num w:numId="225">
    <w:abstractNumId w:val="12"/>
  </w:num>
  <w:num w:numId="226">
    <w:abstractNumId w:val="12"/>
  </w:num>
  <w:num w:numId="227">
    <w:abstractNumId w:val="12"/>
  </w:num>
  <w:num w:numId="228">
    <w:abstractNumId w:val="12"/>
  </w:num>
  <w:num w:numId="229">
    <w:abstractNumId w:val="12"/>
  </w:num>
  <w:num w:numId="230">
    <w:abstractNumId w:val="12"/>
  </w:num>
  <w:num w:numId="231">
    <w:abstractNumId w:val="12"/>
  </w:num>
  <w:num w:numId="232">
    <w:abstractNumId w:val="12"/>
  </w:num>
  <w:num w:numId="233">
    <w:abstractNumId w:val="12"/>
  </w:num>
  <w:num w:numId="234">
    <w:abstractNumId w:val="12"/>
  </w:num>
  <w:num w:numId="235">
    <w:abstractNumId w:val="12"/>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екст в заданном формате"/>
    <w:basedOn w:val="Normal"/>
    <w:qFormat/>
    <w:pPr/>
    <w:rPr>
      <w:rFonts w:ascii="Liberation Mono" w:hAnsi="Liberation Mono" w:eastAsia="Liberation Mono" w:cs="Liberation Mono"/>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Application>AlterOffice/3.4.0.9$Linux_X86_64 LibreOffice_project/b8daf9e823b1a5463a2f48435ddc2e8696e7d4fc</Application>
  <AppVersion>15.0000</AppVersion>
  <Pages>20</Pages>
  <Words>6195</Words>
  <Characters>43340</Characters>
  <CharactersWithSpaces>49520</CharactersWithSpaces>
  <Paragraphs>290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masterinnn@corp.gidroogk.com</cp:lastModifiedBy>
  <cp:lastPrinted>2023-03-06T07:59:00Z</cp:lastPrinted>
  <dcterms:modified xsi:type="dcterms:W3CDTF">2026-05-26T08:08:25Z</dcterms:modified>
  <cp:revision>15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