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Props/core.xml" ContentType="application/vnd.openxmlformats-package.core-properties+xml"/>
  <Override PartName="/word/_rels/document.xml.rels" ContentType="application/vnd.openxmlformats-package.relationships+xml"/>
  <Override PartName="/word/header6.xml" ContentType="application/vnd.openxmlformats-officedocument.wordprocessingml.header+xml"/>
  <Override PartName="/word/header9.xml" ContentType="application/vnd.openxmlformats-officedocument.wordprocessingml.header+xml"/>
  <Override PartName="/word/fontTable.xml" ContentType="application/vnd.openxmlformats-officedocument.wordprocessingml.fontTable+xml"/>
  <Override PartName="/word/header8.xml" ContentType="application/vnd.openxmlformats-officedocument.wordprocessingml.header+xml"/>
  <Override PartName="/word/theme/theme1.xml" ContentType="application/vnd.openxmlformats-officedocument.theme+xml"/>
  <Override PartName="/word/header5.xml" ContentType="application/vnd.openxmlformats-officedocument.wordprocessingml.header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header7.xml" ContentType="application/vnd.openxmlformats-officedocument.wordprocessingml.header+xml"/>
  <Override PartName="/word/styles.xml" ContentType="application/vnd.openxmlformats-officedocument.wordprocessingml.styles+xml"/>
  <Override PartName="/word/header4.xml" ContentType="application/vnd.openxmlformats-officedocument.wordprocessingml.header+xml"/>
  <Override PartName="/word/numbering.xml" ContentType="application/vnd.openxmlformats-officedocument.wordprocessingml.numbering+xml"/>
  <Override PartName="/word/header10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customXml/_rels/item1.xml.rels" ContentType="application/vnd.openxmlformats-package.relationships+xml"/>
  <Override PartName="/customXml/itemProps1.xml" ContentType="application/vnd.openxmlformats-officedocument.customXmlProperties+xml"/>
  <Override PartName="/customXml/item1.xml" ContentType="application/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keepNext w:val="true"/>
        <w:keepLines/>
        <w:jc w:val="right"/>
        <w:rPr>
          <w:b w:val="false"/>
          <w:bCs w:val="false"/>
        </w:rPr>
      </w:pPr>
      <w:r>
        <w:rPr>
          <w:b w:val="false"/>
          <w:bCs w:val="false"/>
          <w:sz w:val="24"/>
          <w:szCs w:val="24"/>
        </w:rPr>
        <w:t>УТВЕРЖДАЮ</w:t>
      </w:r>
    </w:p>
    <w:p>
      <w:pPr>
        <w:pStyle w:val="Normal"/>
        <w:keepNext w:val="true"/>
        <w:keepLines/>
        <w:jc w:val="right"/>
        <w:rPr>
          <w:b w:val="false"/>
          <w:bCs w:val="false"/>
        </w:rPr>
      </w:pPr>
      <w:r>
        <w:rPr>
          <w:b w:val="false"/>
          <w:bCs w:val="false"/>
          <w:sz w:val="24"/>
          <w:szCs w:val="24"/>
        </w:rPr>
        <w:t xml:space="preserve">И.о. директора Центрального филиала </w:t>
      </w:r>
    </w:p>
    <w:p>
      <w:pPr>
        <w:pStyle w:val="Normal"/>
        <w:keepNext w:val="true"/>
        <w:keepLines/>
        <w:jc w:val="right"/>
        <w:rPr>
          <w:b w:val="false"/>
          <w:bCs w:val="false"/>
        </w:rPr>
      </w:pPr>
      <w:r>
        <w:rPr>
          <w:b w:val="false"/>
          <w:bCs w:val="false"/>
          <w:sz w:val="24"/>
          <w:szCs w:val="24"/>
        </w:rPr>
        <w:t>АО «ТК РусГидро»</w:t>
      </w:r>
    </w:p>
    <w:p>
      <w:pPr>
        <w:pStyle w:val="Normal"/>
        <w:keepNext w:val="true"/>
        <w:keepLines/>
        <w:jc w:val="right"/>
        <w:rPr>
          <w:b w:val="false"/>
          <w:bCs w:val="false"/>
        </w:rPr>
      </w:pPr>
      <w:r>
        <w:rPr>
          <w:b w:val="false"/>
          <w:bCs w:val="false"/>
          <w:sz w:val="24"/>
          <w:szCs w:val="24"/>
        </w:rPr>
        <w:t xml:space="preserve">________________ Захаров О.Н. </w:t>
      </w:r>
    </w:p>
    <w:p>
      <w:pPr>
        <w:pStyle w:val="Normal"/>
        <w:keepNext w:val="true"/>
        <w:keepLines/>
        <w:jc w:val="right"/>
        <w:rPr>
          <w:b w:val="false"/>
          <w:bCs w:val="false"/>
        </w:rPr>
      </w:pPr>
      <w:r>
        <w:rPr>
          <w:b w:val="false"/>
          <w:bCs w:val="false"/>
          <w:sz w:val="24"/>
          <w:szCs w:val="24"/>
        </w:rPr>
        <w:t>«____»________________2026 г.</w:t>
      </w:r>
    </w:p>
    <w:p>
      <w:pPr>
        <w:pStyle w:val="Normal"/>
        <w:keepNext w:val="true"/>
        <w:keepLines/>
        <w:rPr>
          <w:b w:val="false"/>
          <w:bCs w:val="false"/>
          <w:sz w:val="24"/>
          <w:szCs w:val="24"/>
        </w:rPr>
      </w:pPr>
      <w:r>
        <w:rPr>
          <w:b w:val="false"/>
          <w:bCs w:val="false"/>
          <w:sz w:val="24"/>
          <w:szCs w:val="24"/>
        </w:rPr>
      </w:r>
    </w:p>
    <w:p>
      <w:pPr>
        <w:pStyle w:val="Normal"/>
        <w:keepNext w:val="true"/>
        <w:keepLines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keepNext w:val="true"/>
        <w:keepLines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keepNext w:val="true"/>
        <w:keepLines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keepNext w:val="true"/>
        <w:keepLines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keepNext w:val="true"/>
        <w:keepLines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keepNext w:val="true"/>
        <w:keepLines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keepNext w:val="true"/>
        <w:keepLines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keepNext w:val="true"/>
        <w:keepLines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keepNext w:val="true"/>
        <w:keepLines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keepNext w:val="true"/>
        <w:keepLines/>
        <w:jc w:val="center"/>
        <w:rPr>
          <w:b w:val="false"/>
          <w:bCs w:val="false"/>
        </w:rPr>
      </w:pPr>
      <w:r>
        <w:rPr>
          <w:rFonts w:eastAsia="Calibri" w:ascii="Liberation Serif" w:hAnsi="Liberation Serif"/>
          <w:b w:val="false"/>
          <w:bCs w:val="false"/>
        </w:rPr>
        <w:t>Технические требования на оказание услуг</w:t>
      </w:r>
    </w:p>
    <w:p>
      <w:pPr>
        <w:pStyle w:val="Normal"/>
        <w:keepNext w:val="true"/>
        <w:keepLines/>
        <w:jc w:val="center"/>
        <w:rPr>
          <w:rFonts w:ascii="Liberation Serif" w:hAnsi="Liberation Serif" w:eastAsia="Calibri"/>
          <w:b/>
          <w:sz w:val="24"/>
          <w:szCs w:val="24"/>
        </w:rPr>
      </w:pPr>
      <w:r>
        <w:rPr>
          <w:rFonts w:eastAsia="Calibri" w:ascii="Liberation Serif" w:hAnsi="Liberation Serif"/>
          <w:b/>
          <w:sz w:val="24"/>
          <w:szCs w:val="24"/>
        </w:rPr>
      </w:r>
    </w:p>
    <w:p>
      <w:pPr>
        <w:pStyle w:val="Normal"/>
        <w:keepNext w:val="true"/>
        <w:keepLines/>
        <w:jc w:val="center"/>
        <w:rPr>
          <w:rFonts w:ascii="Liberation Serif" w:hAnsi="Liberation Serif" w:eastAsia="Calibri"/>
          <w:b/>
          <w:sz w:val="24"/>
          <w:szCs w:val="24"/>
        </w:rPr>
      </w:pPr>
      <w:r>
        <w:rPr>
          <w:rFonts w:eastAsia="Calibri" w:ascii="Liberation Serif" w:hAnsi="Liberation Serif"/>
          <w:b/>
          <w:sz w:val="24"/>
          <w:szCs w:val="24"/>
        </w:rPr>
      </w:r>
    </w:p>
    <w:p>
      <w:pPr>
        <w:pStyle w:val="Normal"/>
        <w:ind w:firstLine="708"/>
        <w:jc w:val="center"/>
        <w:rPr>
          <w:b w:val="false"/>
          <w:bCs w:val="false"/>
        </w:rPr>
      </w:pPr>
      <w:r>
        <w:rPr>
          <w:rFonts w:eastAsia="Calibri" w:ascii="Liberation Serif" w:hAnsi="Liberation Serif"/>
          <w:b w:val="false"/>
          <w:bCs w:val="false"/>
          <w:sz w:val="24"/>
          <w:szCs w:val="24"/>
        </w:rPr>
        <w:t>ОКПД2 86.10.15.000 Услуги по проведению предсменных, предрейсовых и послесменных, послерейсовых медицинских осмотров для нужд Московского представительства Центрального филиала АО «ТК РусГидро» в г. Москва</w:t>
      </w:r>
    </w:p>
    <w:p>
      <w:pPr>
        <w:pStyle w:val="Normal"/>
        <w:jc w:val="center"/>
        <w:rPr>
          <w:rFonts w:eastAsia="Calibri"/>
          <w:b/>
          <w:sz w:val="24"/>
          <w:szCs w:val="24"/>
        </w:rPr>
      </w:pPr>
      <w:r>
        <w:rPr>
          <w:rFonts w:eastAsia="Calibri"/>
          <w:b/>
          <w:sz w:val="24"/>
          <w:szCs w:val="24"/>
        </w:rPr>
      </w:r>
    </w:p>
    <w:p>
      <w:pPr>
        <w:pStyle w:val="Normal"/>
        <w:jc w:val="center"/>
        <w:rPr>
          <w:rStyle w:val="Style8"/>
          <w:sz w:val="24"/>
          <w:szCs w:val="24"/>
        </w:rPr>
      </w:pPr>
      <w:r>
        <w:rPr>
          <w:sz w:val="24"/>
          <w:szCs w:val="24"/>
        </w:rPr>
      </w:r>
    </w:p>
    <w:p>
      <w:pPr>
        <w:sectPr>
          <w:headerReference w:type="default" r:id="rId2"/>
          <w:type w:val="nextPage"/>
          <w:pgSz w:w="11906" w:h="16838"/>
          <w:pgMar w:left="1134" w:right="851" w:gutter="0" w:header="680" w:top="1134" w:footer="0" w:bottom="1134"/>
          <w:pgNumType w:fmt="decimal"/>
          <w:formProt w:val="false"/>
          <w:textDirection w:val="lrTb"/>
          <w:docGrid w:type="default" w:linePitch="360" w:charSpace="0"/>
        </w:sectPr>
        <w:pStyle w:val="Normal"/>
        <w:keepNext w:val="true"/>
        <w:keepLines/>
        <w:jc w:val="center"/>
        <w:rPr>
          <w:b w:val="false"/>
          <w:bCs w:val="false"/>
        </w:rPr>
      </w:pPr>
      <w:r>
        <w:rPr>
          <w:rFonts w:eastAsia="Calibri"/>
          <w:b w:val="false"/>
          <w:bCs w:val="false"/>
          <w:sz w:val="24"/>
          <w:szCs w:val="24"/>
        </w:rPr>
        <w:t>Лот</w:t>
      </w:r>
      <w:r>
        <w:rPr>
          <w:rFonts w:eastAsia="Calibri"/>
          <w:b w:val="false"/>
          <w:bCs w:val="false"/>
          <w:i w:val="false"/>
          <w:iCs w:val="false"/>
          <w:sz w:val="24"/>
          <w:szCs w:val="24"/>
        </w:rPr>
        <w:t xml:space="preserve"> </w:t>
      </w:r>
      <w:r>
        <w:rPr>
          <w:rFonts w:eastAsia="Calibri" w:cs="Calibri" w:ascii="Liberation Serif" w:hAnsi="Liberation Serif" w:cstheme="minorHAnsi"/>
          <w:b w:val="false"/>
          <w:bCs w:val="false"/>
          <w:i w:val="false"/>
          <w:iCs w:val="false"/>
          <w:kern w:val="0"/>
          <w:sz w:val="22"/>
          <w:szCs w:val="22"/>
          <w:lang w:val="ru-RU" w:eastAsia="en-US" w:bidi="ar-SA"/>
        </w:rPr>
        <w:t>№</w:t>
      </w:r>
    </w:p>
    <w:p>
      <w:pPr>
        <w:pStyle w:val="Normal"/>
        <w:jc w:val="center"/>
        <w:rPr>
          <w:b w:val="false"/>
          <w:bCs w:val="false"/>
        </w:rPr>
      </w:pPr>
      <w:r>
        <w:rPr>
          <w:b w:val="false"/>
          <w:bCs w:val="false"/>
          <w:sz w:val="24"/>
          <w:szCs w:val="24"/>
        </w:rPr>
        <w:t>СОДЕРЖАНИЕ</w:t>
      </w:r>
    </w:p>
    <w:sdt>
      <w:sdtPr>
        <w:docPartObj>
          <w:docPartGallery w:val="Table of Contents"/>
          <w:docPartUnique w:val="true"/>
        </w:docPartObj>
      </w:sdtPr>
      <w:sdtContent>
        <w:p>
          <w:pPr>
            <w:pStyle w:val="TOC1"/>
            <w:rPr/>
          </w:pPr>
          <w:r>
            <w:fldChar w:fldCharType="begin"/>
          </w:r>
          <w:r>
            <w:rPr>
              <w:webHidden/>
              <w:rStyle w:val="Style14"/>
              <w:b w:val="false"/>
              <w:bCs w:val="false"/>
              <w:vanish w:val="false"/>
            </w:rPr>
            <w:instrText xml:space="preserve"> TOC \z \o "1-4" \u \h</w:instrText>
          </w:r>
          <w:r>
            <w:rPr>
              <w:webHidden/>
              <w:rStyle w:val="Style14"/>
              <w:b w:val="false"/>
              <w:bCs w:val="false"/>
              <w:vanish w:val="false"/>
            </w:rPr>
            <w:fldChar w:fldCharType="separate"/>
          </w:r>
          <w:hyperlink w:anchor="_Toc54643694">
            <w:r>
              <w:rPr>
                <w:webHidden/>
                <w:rStyle w:val="Style14"/>
                <w:b w:val="false"/>
                <w:bCs w:val="false"/>
                <w:vanish w:val="false"/>
              </w:rPr>
              <w:t>1.</w:t>
            </w:r>
            <w:r>
              <w:rPr>
                <w:rStyle w:val="Style14"/>
                <w:rFonts w:eastAsia="新細明體" w:cs="Arial" w:ascii="Calibri" w:hAnsi="Calibri" w:asciiTheme="minorHAnsi" w:cstheme="minorBidi" w:eastAsiaTheme="minorEastAsia" w:hAnsiTheme="minorHAnsi"/>
                <w:b w:val="false"/>
                <w:bCs w:val="false"/>
              </w:rPr>
              <w:tab/>
            </w:r>
            <w:r>
              <w:rPr>
                <w:rStyle w:val="Style14"/>
                <w:b w:val="false"/>
                <w:bCs w:val="false"/>
              </w:rPr>
              <w:t>Общие сведения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_Toc54643694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  <w:b w:val="false"/>
                <w:bCs w:val="false"/>
                <w:vanish w:val="false"/>
              </w:rPr>
              <w:tab/>
              <w:t>3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4"/>
            <w:rPr/>
          </w:pPr>
          <w:hyperlink w:anchor="_Toc54643695">
            <w:r>
              <w:rPr>
                <w:webHidden/>
                <w:rStyle w:val="Style14"/>
                <w:b w:val="false"/>
                <w:bCs w:val="false"/>
                <w:iCs/>
                <w:vanish w:val="false"/>
                <w:sz w:val="24"/>
                <w:szCs w:val="24"/>
              </w:rPr>
              <w:t>1.1.</w:t>
            </w:r>
            <w:r>
              <w:rPr>
                <w:rStyle w:val="Style14"/>
                <w:rFonts w:eastAsia="新細明體" w:cs="Arial" w:ascii="Calibri" w:hAnsi="Calibri" w:asciiTheme="minorHAnsi" w:cstheme="minorBidi" w:eastAsiaTheme="minorEastAsia" w:hAnsiTheme="minorHAnsi"/>
                <w:b w:val="false"/>
                <w:bCs w:val="false"/>
                <w:sz w:val="24"/>
                <w:szCs w:val="24"/>
              </w:rPr>
              <w:tab/>
            </w:r>
            <w:r>
              <w:rPr>
                <w:rStyle w:val="Style14"/>
                <w:b w:val="false"/>
                <w:bCs w:val="false"/>
                <w:sz w:val="24"/>
                <w:szCs w:val="24"/>
              </w:rPr>
              <w:t>Обозначения и сокращения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_Toc54643695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  <w:b w:val="false"/>
                <w:bCs w:val="false"/>
                <w:vanish w:val="false"/>
                <w:sz w:val="24"/>
                <w:szCs w:val="24"/>
              </w:rPr>
              <w:tab/>
              <w:t>3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4"/>
            <w:rPr/>
          </w:pPr>
          <w:hyperlink w:anchor="_Toc54643696">
            <w:r>
              <w:rPr>
                <w:webHidden/>
                <w:rStyle w:val="Style14"/>
                <w:b w:val="false"/>
                <w:bCs w:val="false"/>
                <w:iCs/>
                <w:vanish w:val="false"/>
                <w:sz w:val="24"/>
                <w:szCs w:val="24"/>
              </w:rPr>
              <w:t>1.2.</w:t>
            </w:r>
            <w:r>
              <w:rPr>
                <w:rStyle w:val="Style14"/>
                <w:rFonts w:eastAsia="新細明體" w:cs="Arial" w:ascii="Calibri" w:hAnsi="Calibri" w:asciiTheme="minorHAnsi" w:cstheme="minorBidi" w:eastAsiaTheme="minorEastAsia" w:hAnsiTheme="minorHAnsi"/>
                <w:b w:val="false"/>
                <w:bCs w:val="false"/>
                <w:sz w:val="24"/>
                <w:szCs w:val="24"/>
              </w:rPr>
              <w:tab/>
            </w:r>
            <w:r>
              <w:rPr>
                <w:rStyle w:val="Style14"/>
                <w:b w:val="false"/>
                <w:bCs w:val="false"/>
                <w:sz w:val="24"/>
                <w:szCs w:val="24"/>
              </w:rPr>
              <w:t>Наименование закупаемых услуг</w:t>
            </w:r>
            <w:r>
              <w:rPr>
                <w:rStyle w:val="Style14"/>
                <w:b w:val="false"/>
                <w:bCs w:val="false"/>
                <w:vanish w:val="false"/>
                <w:sz w:val="24"/>
                <w:szCs w:val="24"/>
              </w:rPr>
              <w:tab/>
            </w:r>
          </w:hyperlink>
          <w:r>
            <w:rPr>
              <w:b w:val="false"/>
              <w:bCs w:val="false"/>
              <w:sz w:val="24"/>
              <w:szCs w:val="24"/>
            </w:rPr>
            <w:t>3</w:t>
          </w:r>
        </w:p>
        <w:p>
          <w:pPr>
            <w:pStyle w:val="TOC4"/>
            <w:rPr/>
          </w:pPr>
          <w:hyperlink w:anchor="_Toc54643697">
            <w:r>
              <w:rPr>
                <w:webHidden/>
                <w:rStyle w:val="Style14"/>
                <w:b w:val="false"/>
                <w:bCs w:val="false"/>
                <w:iCs/>
                <w:vanish w:val="false"/>
                <w:sz w:val="24"/>
                <w:szCs w:val="24"/>
              </w:rPr>
              <w:t>1.3.</w:t>
            </w:r>
            <w:r>
              <w:rPr>
                <w:rStyle w:val="Style14"/>
                <w:rFonts w:eastAsia="新細明體" w:cs="Arial" w:ascii="Calibri" w:hAnsi="Calibri" w:asciiTheme="minorHAnsi" w:cstheme="minorBidi" w:eastAsiaTheme="minorEastAsia" w:hAnsiTheme="minorHAnsi"/>
                <w:b w:val="false"/>
                <w:bCs w:val="false"/>
                <w:sz w:val="24"/>
                <w:szCs w:val="24"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_Toc54643697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  <w:b w:val="false"/>
                <w:bCs w:val="false"/>
                <w:sz w:val="24"/>
                <w:szCs w:val="24"/>
              </w:rPr>
              <w:t>Цель оказания услуг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4"/>
            <w:rPr/>
          </w:pPr>
          <w:r>
            <w:rPr>
              <w:b w:val="false"/>
              <w:bCs w:val="false"/>
              <w:vanish w:val="false"/>
              <w:sz w:val="24"/>
              <w:szCs w:val="24"/>
            </w:rPr>
            <w:t>1.4.</w:t>
          </w:r>
          <w:hyperlink w:anchor="_Toc54643697">
            <w:r>
              <w:rPr>
                <w:webHidden/>
                <w:rStyle w:val="Style14"/>
                <w:b w:val="false"/>
                <w:bCs w:val="false"/>
                <w:vanish w:val="false"/>
                <w:sz w:val="24"/>
                <w:szCs w:val="24"/>
              </w:rPr>
              <w:tab/>
            </w:r>
          </w:hyperlink>
          <w:r>
            <w:rPr>
              <w:b w:val="false"/>
              <w:bCs w:val="false"/>
              <w:vanish w:val="false"/>
              <w:sz w:val="24"/>
              <w:szCs w:val="24"/>
            </w:rPr>
            <w:t>Существующее положение                                                                                                  3</w:t>
          </w:r>
        </w:p>
        <w:p>
          <w:pPr>
            <w:pStyle w:val="TOC1"/>
            <w:rPr/>
          </w:pPr>
          <w:hyperlink w:anchor="_Toc54643699">
            <w:r>
              <w:rPr>
                <w:webHidden/>
                <w:rStyle w:val="Style14"/>
                <w:b w:val="false"/>
                <w:bCs w:val="false"/>
                <w:vanish w:val="false"/>
              </w:rPr>
              <w:t>Таблица 1. Перечень объектов заказчика</w:t>
              <w:tab/>
            </w:r>
          </w:hyperlink>
          <w:r>
            <w:rPr>
              <w:b w:val="false"/>
              <w:bCs w:val="false"/>
            </w:rPr>
            <w:t>3</w:t>
          </w:r>
        </w:p>
        <w:p>
          <w:pPr>
            <w:pStyle w:val="TOC1"/>
            <w:rPr/>
          </w:pPr>
          <w:hyperlink w:anchor="_Toc54643702">
            <w:r>
              <w:rPr>
                <w:webHidden/>
                <w:rStyle w:val="Style14"/>
                <w:b w:val="false"/>
                <w:bCs w:val="false"/>
                <w:vanish w:val="false"/>
              </w:rPr>
              <w:t>2.</w:t>
            </w:r>
            <w:r>
              <w:rPr>
                <w:rStyle w:val="Style14"/>
                <w:rFonts w:eastAsia="新細明體" w:cs="Arial" w:ascii="Calibri" w:hAnsi="Calibri" w:asciiTheme="minorHAnsi" w:cstheme="minorBidi" w:eastAsiaTheme="minorEastAsia" w:hAnsiTheme="minorHAnsi"/>
                <w:b w:val="false"/>
                <w:bCs w:val="false"/>
              </w:rPr>
              <w:tab/>
            </w:r>
            <w:r>
              <w:rPr>
                <w:rStyle w:val="Style14"/>
                <w:b w:val="false"/>
                <w:bCs w:val="false"/>
                <w:iCs/>
              </w:rPr>
              <w:t>Требования к услуге</w:t>
            </w:r>
            <w:r>
              <w:rPr>
                <w:rStyle w:val="Style14"/>
                <w:b w:val="false"/>
                <w:bCs w:val="false"/>
                <w:vanish w:val="false"/>
              </w:rPr>
              <w:tab/>
            </w:r>
          </w:hyperlink>
          <w:r>
            <w:rPr>
              <w:b w:val="false"/>
              <w:bCs w:val="false"/>
              <w:vanish w:val="false"/>
            </w:rPr>
            <w:t>4</w:t>
          </w:r>
        </w:p>
        <w:p>
          <w:pPr>
            <w:pStyle w:val="TOC4"/>
            <w:rPr/>
          </w:pPr>
          <w:hyperlink w:anchor="_Toc54643703">
            <w:r>
              <w:rPr>
                <w:webHidden/>
                <w:rStyle w:val="Style14"/>
                <w:b w:val="false"/>
                <w:bCs w:val="false"/>
                <w:iCs/>
                <w:vanish w:val="false"/>
                <w:sz w:val="24"/>
                <w:szCs w:val="24"/>
              </w:rPr>
              <w:t>2.1.</w:t>
            </w:r>
            <w:r>
              <w:rPr>
                <w:rStyle w:val="Style14"/>
                <w:rFonts w:eastAsia="新細明體" w:cs="Arial" w:ascii="Calibri" w:hAnsi="Calibri" w:asciiTheme="minorHAnsi" w:cstheme="minorBidi" w:eastAsiaTheme="minorEastAsia" w:hAnsiTheme="minorHAnsi"/>
                <w:b w:val="false"/>
                <w:bCs w:val="false"/>
                <w:sz w:val="24"/>
                <w:szCs w:val="24"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_Toc54643703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  <w:b w:val="false"/>
                <w:bCs w:val="false"/>
                <w:sz w:val="24"/>
                <w:szCs w:val="24"/>
              </w:rPr>
              <w:t>Требования к объемам и срокам оказания услуг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Normal"/>
            <w:spacing w:before="0" w:after="0"/>
            <w:ind w:left="360" w:right="0" w:hanging="360"/>
            <w:contextualSpacing/>
            <w:rPr/>
          </w:pPr>
          <w:r>
            <w:rPr>
              <w:b/>
              <w:bCs/>
              <w:sz w:val="24"/>
              <w:szCs w:val="24"/>
            </w:rPr>
            <w:tab/>
            <w:t xml:space="preserve">   </w:t>
          </w:r>
          <w:r>
            <w:rPr>
              <w:b w:val="false"/>
              <w:bCs w:val="false"/>
              <w:sz w:val="24"/>
              <w:szCs w:val="24"/>
            </w:rPr>
            <w:t>2.1.1 Требования к перечню</w:t>
          </w:r>
          <w:r>
            <w:rPr>
              <w:rFonts w:eastAsia="Calibri"/>
              <w:b w:val="false"/>
              <w:bCs w:val="false"/>
              <w:sz w:val="24"/>
              <w:szCs w:val="24"/>
            </w:rPr>
            <w:t xml:space="preserve"> и объему услуг                                                                               4</w:t>
          </w:r>
        </w:p>
        <w:p>
          <w:pPr>
            <w:pStyle w:val="TOC4"/>
            <w:ind w:left="560" w:hanging="0"/>
            <w:rPr/>
          </w:pPr>
          <w:r>
            <w:rPr>
              <w:b w:val="false"/>
              <w:bCs w:val="false"/>
              <w:sz w:val="24"/>
              <w:szCs w:val="24"/>
            </w:rPr>
            <w:t xml:space="preserve">Таблица 2. </w:t>
          </w:r>
          <w:r>
            <w:rPr>
              <w:rFonts w:eastAsia="Calibri"/>
              <w:b w:val="false"/>
              <w:bCs w:val="false"/>
              <w:sz w:val="24"/>
              <w:szCs w:val="24"/>
            </w:rPr>
            <w:t xml:space="preserve">Перечень и объем оказываемых услуг…………………………………………………...4           </w:t>
          </w:r>
        </w:p>
        <w:p>
          <w:pPr>
            <w:pStyle w:val="Normal"/>
            <w:keepNext w:val="true"/>
            <w:numPr>
              <w:ilvl w:val="0"/>
              <w:numId w:val="0"/>
            </w:numPr>
            <w:spacing w:before="120" w:after="60"/>
            <w:ind w:left="0" w:right="0" w:hanging="0"/>
            <w:outlineLvl w:val="2"/>
            <w:rPr/>
          </w:pPr>
          <w:r>
            <w:rPr>
              <w:rFonts w:eastAsia="Calibri"/>
              <w:b w:val="false"/>
              <w:bCs w:val="false"/>
              <w:sz w:val="24"/>
              <w:szCs w:val="24"/>
            </w:rPr>
            <w:t xml:space="preserve">         </w:t>
          </w:r>
          <w:r>
            <w:rPr>
              <w:rFonts w:eastAsia="Calibri"/>
              <w:b w:val="false"/>
              <w:bCs w:val="false"/>
              <w:sz w:val="24"/>
              <w:szCs w:val="24"/>
            </w:rPr>
            <w:t>2.2. Требования к срокам оказания услуг                                                                                    5</w:t>
          </w:r>
        </w:p>
        <w:p>
          <w:pPr>
            <w:pStyle w:val="Normal"/>
            <w:keepNext w:val="true"/>
            <w:keepLines/>
            <w:numPr>
              <w:ilvl w:val="0"/>
              <w:numId w:val="0"/>
            </w:numPr>
            <w:spacing w:before="240" w:after="60"/>
            <w:ind w:left="0" w:right="0" w:hanging="0"/>
            <w:outlineLvl w:val="0"/>
            <w:rPr>
              <w:b w:val="false"/>
              <w:bCs w:val="false"/>
            </w:rPr>
          </w:pPr>
          <w:r>
            <w:rPr>
              <w:rFonts w:eastAsia="Calibri"/>
              <w:b w:val="false"/>
              <w:bCs w:val="false"/>
              <w:i w:val="false"/>
              <w:iCs w:val="false"/>
              <w:sz w:val="24"/>
              <w:szCs w:val="24"/>
              <w:shd w:fill="auto" w:val="clear"/>
              <w:lang w:val="ru-RU"/>
            </w:rPr>
            <w:t xml:space="preserve">Таблица </w:t>
          </w:r>
          <w:r>
            <w:rPr>
              <w:rFonts w:eastAsia="Calibri"/>
              <w:b w:val="false"/>
              <w:bCs w:val="false"/>
              <w:i w:val="false"/>
              <w:iCs w:val="false"/>
              <w:sz w:val="24"/>
              <w:szCs w:val="24"/>
              <w:shd w:fill="auto" w:val="clear"/>
            </w:rPr>
            <w:t>3</w:t>
          </w:r>
          <w:r>
            <w:rPr>
              <w:rFonts w:eastAsia="Calibri"/>
              <w:b w:val="false"/>
              <w:bCs w:val="false"/>
              <w:i w:val="false"/>
              <w:iCs w:val="false"/>
              <w:sz w:val="24"/>
              <w:szCs w:val="24"/>
              <w:shd w:fill="auto" w:val="clear"/>
              <w:lang w:val="ru-RU"/>
            </w:rPr>
            <w:t xml:space="preserve">. </w:t>
          </w:r>
          <w:bookmarkStart w:id="0" w:name="_Hlk50465284_Копия_1"/>
          <w:r>
            <w:rPr>
              <w:rFonts w:eastAsia="Calibri"/>
              <w:b w:val="false"/>
              <w:bCs w:val="false"/>
              <w:i w:val="false"/>
              <w:iCs w:val="false"/>
              <w:sz w:val="24"/>
              <w:szCs w:val="24"/>
              <w:shd w:fill="auto" w:val="clear"/>
              <w:lang w:val="ru-RU"/>
            </w:rPr>
            <w:t xml:space="preserve">Требования </w:t>
          </w:r>
          <w:r>
            <w:rPr>
              <w:rFonts w:eastAsia="Calibri"/>
              <w:b w:val="false"/>
              <w:bCs w:val="false"/>
              <w:i w:val="false"/>
              <w:iCs w:val="false"/>
              <w:sz w:val="24"/>
              <w:szCs w:val="24"/>
              <w:shd w:fill="auto" w:val="clear"/>
            </w:rPr>
            <w:t>к</w:t>
          </w:r>
          <w:r>
            <w:rPr>
              <w:rFonts w:eastAsia="Calibri"/>
              <w:b w:val="false"/>
              <w:bCs w:val="false"/>
              <w:i w:val="false"/>
              <w:iCs w:val="false"/>
              <w:sz w:val="24"/>
              <w:szCs w:val="24"/>
              <w:shd w:fill="auto" w:val="clear"/>
              <w:lang w:val="ru-RU"/>
            </w:rPr>
            <w:t xml:space="preserve"> срокам </w:t>
          </w:r>
          <w:bookmarkEnd w:id="0"/>
          <w:r>
            <w:rPr>
              <w:rFonts w:eastAsia="Calibri"/>
              <w:b w:val="false"/>
              <w:bCs w:val="false"/>
              <w:i w:val="false"/>
              <w:iCs w:val="false"/>
              <w:sz w:val="24"/>
              <w:szCs w:val="24"/>
              <w:shd w:fill="auto" w:val="clear"/>
            </w:rPr>
            <w:t>оказания услуг…………………………………………………….5</w:t>
          </w:r>
        </w:p>
        <w:p>
          <w:pPr>
            <w:pStyle w:val="TOC3"/>
            <w:tabs>
              <w:tab w:val="clear" w:pos="708"/>
              <w:tab w:val="left" w:pos="1120" w:leader="none"/>
              <w:tab w:val="right" w:pos="9911" w:leader="dot"/>
            </w:tabs>
            <w:rPr/>
          </w:pPr>
          <w:r>
            <w:rPr>
              <w:b w:val="false"/>
              <w:bCs w:val="false"/>
            </w:rPr>
            <w:t xml:space="preserve">    </w:t>
          </w:r>
          <w:hyperlink w:anchor="_Toc54643708">
            <w:r>
              <w:rPr>
                <w:webHidden/>
                <w:rStyle w:val="Style14"/>
                <w:b w:val="false"/>
                <w:bCs w:val="false"/>
                <w:iCs/>
                <w:vanish w:val="false"/>
                <w:sz w:val="24"/>
                <w:szCs w:val="24"/>
              </w:rPr>
              <w:t>2.3.</w:t>
            </w:r>
            <w:r>
              <w:rPr>
                <w:rStyle w:val="Style14"/>
                <w:rFonts w:eastAsia="新細明體" w:cs="Arial" w:ascii="Calibri" w:hAnsi="Calibri" w:asciiTheme="minorHAnsi" w:cstheme="minorBidi" w:eastAsiaTheme="minorEastAsia" w:hAnsiTheme="minorHAnsi"/>
                <w:b w:val="false"/>
                <w:bCs w:val="false"/>
                <w:sz w:val="24"/>
                <w:szCs w:val="24"/>
              </w:rPr>
              <w:tab/>
            </w:r>
            <w:r>
              <w:rPr>
                <w:rStyle w:val="Style14"/>
                <w:b w:val="false"/>
                <w:bCs w:val="false"/>
                <w:sz w:val="24"/>
                <w:szCs w:val="24"/>
              </w:rPr>
              <w:t>Требования к качеству услуг</w:t>
            </w:r>
            <w:r>
              <w:rPr>
                <w:rStyle w:val="Style14"/>
                <w:b w:val="false"/>
                <w:bCs w:val="false"/>
                <w:vanish w:val="false"/>
                <w:sz w:val="24"/>
                <w:szCs w:val="24"/>
              </w:rPr>
              <w:tab/>
            </w:r>
          </w:hyperlink>
          <w:r>
            <w:rPr>
              <w:b w:val="false"/>
              <w:bCs w:val="false"/>
              <w:vanish w:val="false"/>
              <w:sz w:val="24"/>
              <w:szCs w:val="24"/>
            </w:rPr>
            <w:t>6</w:t>
          </w:r>
        </w:p>
        <w:p>
          <w:pPr>
            <w:pStyle w:val="TOC1"/>
            <w:rPr/>
          </w:pPr>
          <w:hyperlink w:anchor="_Toc54643709">
            <w:r>
              <w:rPr>
                <w:webHidden/>
                <w:rStyle w:val="Style14"/>
                <w:b w:val="false"/>
                <w:bCs w:val="false"/>
                <w:vanish w:val="false"/>
              </w:rPr>
              <w:t>Таблица 4. Требования к качеству услуг</w:t>
              <w:tab/>
            </w:r>
          </w:hyperlink>
          <w:r>
            <w:rPr>
              <w:b w:val="false"/>
              <w:bCs w:val="false"/>
            </w:rPr>
            <w:t>4</w:t>
          </w:r>
        </w:p>
        <w:p>
          <w:pPr>
            <w:pStyle w:val="TOC1"/>
            <w:rPr/>
          </w:pPr>
          <w:r>
            <w:rPr>
              <w:b w:val="false"/>
              <w:bCs w:val="false"/>
              <w:vanish w:val="false"/>
            </w:rPr>
            <w:t>3</w:t>
          </w:r>
          <w:hyperlink w:anchor="_Toc54643712">
            <w:r>
              <w:rPr>
                <w:webHidden/>
                <w:rStyle w:val="Style14"/>
                <w:b w:val="false"/>
                <w:bCs w:val="false"/>
                <w:vanish w:val="false"/>
              </w:rPr>
              <w:t>.</w:t>
            </w:r>
            <w:r>
              <w:rPr>
                <w:rStyle w:val="Style14"/>
                <w:rFonts w:eastAsia="新細明體" w:cs="Arial" w:ascii="Calibri" w:hAnsi="Calibri" w:asciiTheme="minorHAnsi" w:cstheme="minorBidi" w:eastAsiaTheme="minorEastAsia" w:hAnsiTheme="minorHAnsi"/>
                <w:b w:val="false"/>
                <w:bCs w:val="false"/>
              </w:rPr>
              <w:tab/>
            </w:r>
            <w:r>
              <w:rPr>
                <w:rStyle w:val="Style14"/>
                <w:b w:val="false"/>
                <w:bCs w:val="false"/>
                <w:iCs/>
              </w:rPr>
              <w:t>Требования к документации по ценообразованию на этапе закупки</w:t>
            </w:r>
            <w:r>
              <w:rPr>
                <w:rStyle w:val="Style14"/>
                <w:b w:val="false"/>
                <w:bCs w:val="false"/>
                <w:vanish w:val="false"/>
              </w:rPr>
              <w:tab/>
            </w:r>
          </w:hyperlink>
          <w:r>
            <w:rPr>
              <w:b w:val="false"/>
              <w:bCs w:val="false"/>
              <w:i/>
            </w:rPr>
            <w:t>9</w:t>
          </w:r>
          <w:r>
            <w:rPr>
              <w:i/>
              <w:b w:val="false"/>
              <w:bCs w:val="false"/>
            </w:rPr>
            <w:fldChar w:fldCharType="end"/>
          </w:r>
        </w:p>
      </w:sdtContent>
    </w:sdt>
    <w:p>
      <w:pPr>
        <w:pStyle w:val="TOC1"/>
        <w:rPr/>
      </w:pPr>
      <w:bookmarkStart w:id="1" w:name="_Toc46743519_Копия_1"/>
      <w:bookmarkStart w:id="2" w:name="_Toc51339699_Копия_1"/>
      <w:r>
        <w:rPr>
          <w:b w:val="false"/>
          <w:bCs w:val="false"/>
          <w:i w:val="false"/>
          <w:iCs w:val="false"/>
          <w:sz w:val="24"/>
          <w:lang w:eastAsia="x-none"/>
        </w:rPr>
        <w:t xml:space="preserve">Приложение №1: </w:t>
      </w:r>
      <w:bookmarkEnd w:id="1"/>
      <w:bookmarkEnd w:id="2"/>
      <w:r>
        <w:rPr>
          <w:b w:val="false"/>
          <w:bCs w:val="false"/>
          <w:i w:val="false"/>
          <w:iCs w:val="false"/>
          <w:sz w:val="24"/>
          <w:szCs w:val="24"/>
          <w:lang w:eastAsia="x-none"/>
        </w:rPr>
        <w:t>Сводная таблица стоимости расценок…………</w:t>
      </w:r>
      <w:r>
        <w:rPr>
          <w:b w:val="false"/>
          <w:bCs w:val="false"/>
        </w:rPr>
        <w:t xml:space="preserve">...………………………………10 </w:t>
      </w:r>
      <w:bookmarkStart w:id="3" w:name="_Toc54643694"/>
      <w:r>
        <w:br w:type="page"/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>1. Общие сведения</w:t>
      </w:r>
      <w:bookmarkEnd w:id="3"/>
    </w:p>
    <w:p>
      <w:pPr>
        <w:pStyle w:val="Heading4"/>
        <w:numPr>
          <w:ilvl w:val="1"/>
          <w:numId w:val="3"/>
        </w:numPr>
        <w:rPr>
          <w:sz w:val="28"/>
          <w:szCs w:val="28"/>
        </w:rPr>
      </w:pPr>
      <w:bookmarkStart w:id="4" w:name="_Toc54643695"/>
      <w:bookmarkStart w:id="5" w:name="_Toc46743505"/>
      <w:r>
        <w:rPr>
          <w:sz w:val="28"/>
          <w:szCs w:val="28"/>
        </w:rPr>
        <w:t>Обозначения и сокращения</w:t>
      </w:r>
      <w:bookmarkEnd w:id="4"/>
      <w:bookmarkEnd w:id="5"/>
    </w:p>
    <w:tbl>
      <w:tblPr>
        <w:tblW w:w="9783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noVBand="1" w:val="04a0" w:noHBand="0" w:lastColumn="0" w:firstColumn="1" w:lastRow="0" w:firstRow="1"/>
      </w:tblPr>
      <w:tblGrid>
        <w:gridCol w:w="2432"/>
        <w:gridCol w:w="7350"/>
      </w:tblGrid>
      <w:tr>
        <w:trPr>
          <w:trHeight w:val="389" w:hRule="atLeast"/>
          <w:cantSplit w:val="true"/>
        </w:trPr>
        <w:tc>
          <w:tcPr>
            <w:tcW w:w="2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120" w:after="120"/>
              <w:jc w:val="both"/>
              <w:rPr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ТТ</w:t>
            </w:r>
          </w:p>
        </w:tc>
        <w:tc>
          <w:tcPr>
            <w:tcW w:w="7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120" w:after="120"/>
              <w:jc w:val="both"/>
              <w:rPr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Технические требования</w:t>
            </w:r>
          </w:p>
        </w:tc>
      </w:tr>
      <w:tr>
        <w:trPr>
          <w:cantSplit w:val="true"/>
        </w:trPr>
        <w:tc>
          <w:tcPr>
            <w:tcW w:w="2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120" w:after="120"/>
              <w:jc w:val="both"/>
              <w:rPr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ТС</w:t>
            </w:r>
          </w:p>
        </w:tc>
        <w:tc>
          <w:tcPr>
            <w:tcW w:w="7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120" w:after="120"/>
              <w:jc w:val="both"/>
              <w:rPr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Транспортное средство</w:t>
            </w:r>
          </w:p>
        </w:tc>
      </w:tr>
      <w:tr>
        <w:trPr>
          <w:cantSplit w:val="true"/>
        </w:trPr>
        <w:tc>
          <w:tcPr>
            <w:tcW w:w="24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120" w:after="120"/>
              <w:jc w:val="both"/>
              <w:rPr>
                <w:sz w:val="28"/>
                <w:szCs w:val="28"/>
              </w:rPr>
            </w:pPr>
            <w:r>
              <w:rPr>
                <w:bCs/>
                <w:spacing w:val="-2"/>
                <w:sz w:val="28"/>
                <w:szCs w:val="28"/>
              </w:rPr>
              <w:t>РФ</w:t>
            </w:r>
          </w:p>
        </w:tc>
        <w:tc>
          <w:tcPr>
            <w:tcW w:w="73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120" w:after="120"/>
              <w:jc w:val="both"/>
              <w:rPr>
                <w:sz w:val="28"/>
                <w:szCs w:val="28"/>
              </w:rPr>
            </w:pPr>
            <w:r>
              <w:rPr>
                <w:bCs/>
                <w:spacing w:val="-2"/>
                <w:sz w:val="28"/>
                <w:szCs w:val="28"/>
              </w:rPr>
              <w:t>Российская Федерация</w:t>
            </w:r>
          </w:p>
        </w:tc>
      </w:tr>
      <w:tr>
        <w:trPr>
          <w:cantSplit w:val="true"/>
        </w:trPr>
        <w:tc>
          <w:tcPr>
            <w:tcW w:w="24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120" w:after="12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ФЗ</w:t>
            </w:r>
          </w:p>
        </w:tc>
        <w:tc>
          <w:tcPr>
            <w:tcW w:w="73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120" w:after="12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Федеральный закон</w:t>
            </w:r>
          </w:p>
        </w:tc>
      </w:tr>
      <w:tr>
        <w:trPr>
          <w:cantSplit w:val="true"/>
        </w:trPr>
        <w:tc>
          <w:tcPr>
            <w:tcW w:w="24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120" w:after="120"/>
              <w:rPr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АО «ТК РусГидро»</w:t>
            </w:r>
          </w:p>
        </w:tc>
        <w:tc>
          <w:tcPr>
            <w:tcW w:w="73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120" w:after="120"/>
              <w:jc w:val="both"/>
              <w:rPr>
                <w:sz w:val="28"/>
                <w:szCs w:val="28"/>
              </w:rPr>
            </w:pPr>
            <w:r>
              <w:rPr>
                <w:bCs/>
                <w:spacing w:val="-2"/>
                <w:sz w:val="28"/>
                <w:szCs w:val="28"/>
              </w:rPr>
              <w:t>Акционерное общество «Транспортная компания РусГидро»</w:t>
            </w:r>
          </w:p>
        </w:tc>
      </w:tr>
    </w:tbl>
    <w:p>
      <w:pPr>
        <w:pStyle w:val="Normal"/>
        <w:keepNext w:val="true"/>
        <w:keepLines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Heading4"/>
        <w:widowControl w:val="false"/>
        <w:numPr>
          <w:ilvl w:val="1"/>
          <w:numId w:val="3"/>
        </w:numPr>
        <w:tabs>
          <w:tab w:val="clear" w:pos="708"/>
          <w:tab w:val="left" w:pos="426" w:leader="none"/>
        </w:tabs>
        <w:spacing w:before="120" w:after="120"/>
        <w:jc w:val="both"/>
        <w:rPr>
          <w:sz w:val="28"/>
          <w:szCs w:val="28"/>
        </w:rPr>
      </w:pPr>
      <w:bookmarkStart w:id="6" w:name="_Toc54643696"/>
      <w:r>
        <w:rPr>
          <w:sz w:val="28"/>
          <w:szCs w:val="28"/>
        </w:rPr>
        <w:t xml:space="preserve">Наименование закупаемых </w:t>
      </w:r>
      <w:bookmarkStart w:id="7" w:name="_Toc46743507"/>
      <w:bookmarkEnd w:id="6"/>
      <w:r>
        <w:rPr>
          <w:sz w:val="28"/>
          <w:szCs w:val="28"/>
          <w:lang w:val="ru-RU"/>
        </w:rPr>
        <w:t>услуг</w:t>
      </w:r>
    </w:p>
    <w:p>
      <w:pPr>
        <w:pStyle w:val="Normal"/>
        <w:ind w:firstLine="708"/>
        <w:jc w:val="both"/>
        <w:rPr>
          <w:rFonts w:ascii="Times New Roman" w:hAnsi="Times New Roman"/>
          <w:sz w:val="28"/>
          <w:szCs w:val="24"/>
        </w:rPr>
      </w:pPr>
      <w:r>
        <w:rPr>
          <w:rFonts w:eastAsia="Calibri" w:ascii="Times New Roman" w:hAnsi="Times New Roman"/>
          <w:b w:val="false"/>
          <w:bCs w:val="false"/>
          <w:sz w:val="28"/>
          <w:szCs w:val="24"/>
        </w:rPr>
        <w:t>ОКПД2 86.10.15.000 Услуги по проведению предсменных, предрейсовых и послесменных, послерейсовых медицинских осмотров для нужд Московского представительства Центрального филиала АО «ТК РусГидро» в г. Москва.</w:t>
      </w:r>
    </w:p>
    <w:p>
      <w:pPr>
        <w:pStyle w:val="Heading4"/>
        <w:numPr>
          <w:ilvl w:val="1"/>
          <w:numId w:val="3"/>
        </w:numPr>
        <w:spacing w:before="240" w:after="60"/>
        <w:ind w:left="431" w:hanging="431"/>
        <w:rPr>
          <w:sz w:val="28"/>
          <w:szCs w:val="28"/>
        </w:rPr>
      </w:pPr>
      <w:bookmarkStart w:id="8" w:name="_Toc54643697"/>
      <w:r>
        <w:rPr>
          <w:sz w:val="28"/>
          <w:szCs w:val="28"/>
        </w:rPr>
        <w:t xml:space="preserve">Цель </w:t>
      </w:r>
      <w:bookmarkEnd w:id="7"/>
      <w:r>
        <w:rPr>
          <w:sz w:val="28"/>
          <w:szCs w:val="28"/>
          <w:lang w:val="ru-RU"/>
        </w:rPr>
        <w:t>оказания услуг</w:t>
      </w:r>
      <w:r>
        <w:rPr>
          <w:sz w:val="28"/>
          <w:szCs w:val="28"/>
        </w:rPr>
        <w:t xml:space="preserve"> </w:t>
      </w:r>
      <w:bookmarkEnd w:id="8"/>
    </w:p>
    <w:p>
      <w:pPr>
        <w:pStyle w:val="Normal"/>
        <w:spacing w:lineRule="auto" w:line="240"/>
        <w:ind w:firstLine="431"/>
        <w:jc w:val="both"/>
        <w:rPr>
          <w:sz w:val="28"/>
          <w:szCs w:val="28"/>
        </w:rPr>
      </w:pPr>
      <w:bookmarkStart w:id="9" w:name="_Toc54643699"/>
      <w:r>
        <w:rPr>
          <w:bCs/>
          <w:sz w:val="28"/>
          <w:szCs w:val="28"/>
        </w:rPr>
        <w:t>Целью предсменных, предрейсовых и послесменных, послерейсовых медицинских осмотров водителей является выявление лиц, которые по медицинским показаниям не могут быть допущены к управлению автомобилем как с позиции обеспечения безопасности дорожного движения, так и охраны здоровья водителя и пассажиров, а именно: выявление у водителя признаков различных заболеваний, признаков употребления алкоголя, наркотиков, запрещенных лекарственных препаратов, остаточных явлений алкогольной интоксикации (похмельного синдрома), утомления.</w:t>
      </w:r>
    </w:p>
    <w:p>
      <w:pPr>
        <w:pStyle w:val="Normal"/>
        <w:spacing w:lineRule="auto" w:line="240"/>
        <w:ind w:firstLine="431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Heading1"/>
        <w:keepLines/>
        <w:numPr>
          <w:ilvl w:val="0"/>
          <w:numId w:val="0"/>
        </w:numPr>
        <w:spacing w:before="0" w:after="0"/>
        <w:ind w:left="0" w:hanging="0"/>
        <w:jc w:val="both"/>
        <w:rPr>
          <w:sz w:val="28"/>
          <w:szCs w:val="28"/>
        </w:rPr>
      </w:pPr>
      <w:r>
        <w:rPr>
          <w:sz w:val="28"/>
          <w:szCs w:val="28"/>
        </w:rPr>
        <w:t>1.4. Существующее положение.</w:t>
      </w:r>
    </w:p>
    <w:p>
      <w:pPr>
        <w:pStyle w:val="Heading1"/>
        <w:keepLines/>
        <w:numPr>
          <w:ilvl w:val="0"/>
          <w:numId w:val="0"/>
        </w:numPr>
        <w:spacing w:before="0" w:after="60"/>
        <w:ind w:left="0" w:hang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>
        <w:rPr>
          <w:rFonts w:eastAsia="Times New Roman"/>
          <w:b w:val="false"/>
          <w:bCs/>
          <w:sz w:val="28"/>
          <w:szCs w:val="28"/>
          <w:lang w:val="ru-RU" w:eastAsia="ru-RU"/>
        </w:rPr>
        <w:t>Услуги оказываются в отношении работников Московского представительства Центрального филиала АО «ТК РусГидро» согласно Таблицы 1 «Перечень объектов заказчика»:</w:t>
      </w:r>
    </w:p>
    <w:p>
      <w:pPr>
        <w:pStyle w:val="Heading1"/>
        <w:keepLines/>
        <w:numPr>
          <w:ilvl w:val="0"/>
          <w:numId w:val="0"/>
        </w:numPr>
        <w:spacing w:before="240" w:after="60"/>
        <w:ind w:left="0" w:hanging="0"/>
        <w:rPr>
          <w:sz w:val="28"/>
          <w:szCs w:val="28"/>
        </w:rPr>
      </w:pPr>
      <w:r>
        <w:rPr>
          <w:sz w:val="28"/>
          <w:szCs w:val="28"/>
        </w:rPr>
        <w:t>Таблица 1</w:t>
      </w:r>
      <w:r>
        <w:rPr>
          <w:sz w:val="28"/>
          <w:szCs w:val="28"/>
          <w:lang w:val="ru-RU"/>
        </w:rPr>
        <w:t>.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val="ru-RU"/>
        </w:rPr>
        <w:t>Перечень объектов заказчика</w:t>
      </w:r>
      <w:bookmarkEnd w:id="9"/>
    </w:p>
    <w:tbl>
      <w:tblPr>
        <w:tblW w:w="10101" w:type="dxa"/>
        <w:jc w:val="left"/>
        <w:tblInd w:w="-76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noVBand="0" w:val="0000" w:noHBand="0" w:lastColumn="0" w:firstColumn="0" w:lastRow="0" w:firstRow="0"/>
      </w:tblPr>
      <w:tblGrid>
        <w:gridCol w:w="1138"/>
        <w:gridCol w:w="4036"/>
        <w:gridCol w:w="3176"/>
        <w:gridCol w:w="1750"/>
      </w:tblGrid>
      <w:tr>
        <w:trPr>
          <w:trHeight w:val="400" w:hRule="atLeast"/>
        </w:trPr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№ </w:t>
            </w:r>
            <w:r>
              <w:rPr>
                <w:sz w:val="28"/>
                <w:szCs w:val="28"/>
              </w:rPr>
              <w:t>п/п</w:t>
            </w:r>
          </w:p>
        </w:tc>
        <w:tc>
          <w:tcPr>
            <w:tcW w:w="4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объекта</w:t>
            </w:r>
          </w:p>
        </w:tc>
        <w:tc>
          <w:tcPr>
            <w:tcW w:w="3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Адрес 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Примечания</w:t>
            </w:r>
          </w:p>
        </w:tc>
      </w:tr>
      <w:tr>
        <w:trPr>
          <w:trHeight w:val="228" w:hRule="atLeast"/>
        </w:trPr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</w:p>
        </w:tc>
        <w:tc>
          <w:tcPr>
            <w:tcW w:w="4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</w:t>
            </w:r>
          </w:p>
        </w:tc>
        <w:tc>
          <w:tcPr>
            <w:tcW w:w="3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</w:t>
            </w:r>
          </w:p>
        </w:tc>
      </w:tr>
      <w:tr>
        <w:trPr>
          <w:trHeight w:val="732" w:hRule="atLeast"/>
        </w:trPr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</w:t>
            </w:r>
          </w:p>
        </w:tc>
        <w:tc>
          <w:tcPr>
            <w:tcW w:w="4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eastAsia="Calibri"/>
                <w:lang w:eastAsia="x-none"/>
              </w:rPr>
            </w:pPr>
            <w:r>
              <w:rPr>
                <w:rFonts w:eastAsia="Calibri"/>
                <w:lang w:eastAsia="x-none"/>
              </w:rPr>
            </w:r>
          </w:p>
          <w:p>
            <w:pPr>
              <w:pStyle w:val="Normal"/>
              <w:widowControl w:val="false"/>
              <w:jc w:val="center"/>
              <w:rPr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  <w:lang w:eastAsia="x-none"/>
              </w:rPr>
              <w:t xml:space="preserve">Московское представительство Центрального филиала </w:t>
            </w:r>
          </w:p>
          <w:p>
            <w:pPr>
              <w:pStyle w:val="Normal"/>
              <w:widowControl w:val="false"/>
              <w:jc w:val="center"/>
              <w:rPr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  <w:lang w:eastAsia="x-none"/>
              </w:rPr>
              <w:t>АО «ТК РусГидро»</w:t>
            </w:r>
          </w:p>
          <w:p>
            <w:pPr>
              <w:pStyle w:val="Normal"/>
              <w:widowControl w:val="false"/>
              <w:jc w:val="center"/>
              <w:rPr>
                <w:rFonts w:eastAsia="Calibri"/>
                <w:lang w:eastAsia="x-none"/>
              </w:rPr>
            </w:pPr>
            <w:r>
              <w:rPr>
                <w:rFonts w:eastAsia="Calibri"/>
                <w:lang w:eastAsia="x-none"/>
              </w:rPr>
            </w:r>
          </w:p>
        </w:tc>
        <w:tc>
          <w:tcPr>
            <w:tcW w:w="3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</w:r>
          </w:p>
          <w:p>
            <w:pPr>
              <w:pStyle w:val="Normal"/>
              <w:widowControl w:val="false"/>
              <w:jc w:val="center"/>
              <w:rPr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г. Москва, </w:t>
            </w:r>
            <w:r>
              <w:rPr>
                <w:color w:val="000000"/>
                <w:sz w:val="28"/>
                <w:szCs w:val="28"/>
              </w:rPr>
              <w:t>Волоколамское шоссе, дом 2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Normal"/>
              <w:widowControl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</w:tbl>
    <w:p>
      <w:pPr>
        <w:pStyle w:val="Heading1"/>
        <w:keepLines/>
        <w:numPr>
          <w:ilvl w:val="0"/>
          <w:numId w:val="0"/>
        </w:numPr>
        <w:ind w:left="357" w:hanging="357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numPr>
          <w:ilvl w:val="0"/>
          <w:numId w:val="0"/>
        </w:numPr>
        <w:ind w:left="357" w:hanging="357"/>
        <w:jc w:val="center"/>
        <w:rPr>
          <w:iCs/>
          <w:sz w:val="24"/>
          <w:szCs w:val="24"/>
        </w:rPr>
      </w:pPr>
      <w:r>
        <w:rPr>
          <w:iCs/>
          <w:sz w:val="24"/>
          <w:szCs w:val="24"/>
        </w:rPr>
      </w:r>
    </w:p>
    <w:p>
      <w:pPr>
        <w:pStyle w:val="Heading1"/>
        <w:numPr>
          <w:ilvl w:val="0"/>
          <w:numId w:val="3"/>
        </w:numPr>
        <w:ind w:left="357" w:hanging="357"/>
        <w:jc w:val="center"/>
        <w:rPr>
          <w:iCs/>
          <w:sz w:val="24"/>
          <w:szCs w:val="24"/>
        </w:rPr>
      </w:pPr>
      <w:bookmarkStart w:id="10" w:name="_Toc54643702"/>
      <w:bookmarkStart w:id="11" w:name="_Toc51339693"/>
      <w:r>
        <w:rPr>
          <w:iCs/>
          <w:sz w:val="24"/>
          <w:szCs w:val="24"/>
          <w:lang w:val="ru-RU"/>
        </w:rPr>
        <w:t>Требования</w:t>
      </w:r>
      <w:r>
        <w:rPr>
          <w:iCs/>
          <w:sz w:val="24"/>
          <w:szCs w:val="24"/>
        </w:rPr>
        <w:t xml:space="preserve"> к </w:t>
      </w:r>
      <w:bookmarkEnd w:id="10"/>
      <w:bookmarkEnd w:id="11"/>
      <w:r>
        <w:rPr>
          <w:iCs/>
          <w:sz w:val="24"/>
          <w:szCs w:val="24"/>
        </w:rPr>
        <w:t>услуге</w:t>
      </w:r>
    </w:p>
    <w:p>
      <w:pPr>
        <w:pStyle w:val="Heading4"/>
        <w:numPr>
          <w:ilvl w:val="1"/>
          <w:numId w:val="3"/>
        </w:numPr>
        <w:rPr>
          <w:lang w:val="ru-RU"/>
        </w:rPr>
      </w:pPr>
      <w:bookmarkStart w:id="12" w:name="_Toc54643703"/>
      <w:r>
        <w:rPr/>
        <w:t xml:space="preserve">Требования к объемам и срокам </w:t>
      </w:r>
      <w:r>
        <w:rPr>
          <w:lang w:val="ru-RU"/>
        </w:rPr>
        <w:t>оказания услуг</w:t>
      </w:r>
      <w:bookmarkEnd w:id="12"/>
    </w:p>
    <w:p>
      <w:pPr>
        <w:pStyle w:val="Normal"/>
        <w:spacing w:before="0" w:after="0"/>
        <w:ind w:left="360" w:right="0" w:hanging="360"/>
        <w:contextualSpacing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2.1.1 Требования к перечню</w:t>
      </w:r>
      <w:r>
        <w:rPr>
          <w:rFonts w:eastAsia="Calibri"/>
          <w:b/>
          <w:sz w:val="24"/>
          <w:szCs w:val="24"/>
        </w:rPr>
        <w:t xml:space="preserve"> и объему услуг</w:t>
      </w:r>
    </w:p>
    <w:p>
      <w:pPr>
        <w:pStyle w:val="Normal"/>
        <w:keepNext w:val="true"/>
        <w:keepLines/>
        <w:numPr>
          <w:ilvl w:val="0"/>
          <w:numId w:val="0"/>
        </w:numPr>
        <w:spacing w:before="240" w:after="60"/>
        <w:ind w:left="0" w:right="0" w:hanging="0"/>
        <w:outlineLvl w:val="0"/>
        <w:rPr>
          <w:b/>
          <w:bCs/>
          <w:sz w:val="24"/>
          <w:szCs w:val="24"/>
        </w:rPr>
      </w:pPr>
      <w:r>
        <w:rPr>
          <w:rFonts w:eastAsia="Calibri"/>
          <w:b/>
          <w:sz w:val="24"/>
          <w:szCs w:val="24"/>
          <w:lang w:val="ru-RU"/>
        </w:rPr>
        <w:t xml:space="preserve">Таблица </w:t>
      </w:r>
      <w:r>
        <w:rPr>
          <w:rFonts w:eastAsia="Calibri"/>
          <w:b/>
          <w:sz w:val="24"/>
          <w:szCs w:val="24"/>
        </w:rPr>
        <w:t>2.</w:t>
      </w:r>
      <w:r>
        <w:rPr>
          <w:rFonts w:eastAsia="Calibri"/>
          <w:b/>
          <w:sz w:val="24"/>
          <w:szCs w:val="24"/>
          <w:lang w:val="ru-RU"/>
        </w:rPr>
        <w:t xml:space="preserve"> </w:t>
      </w:r>
      <w:r>
        <w:rPr>
          <w:rFonts w:eastAsia="Calibri"/>
          <w:b/>
          <w:sz w:val="24"/>
          <w:szCs w:val="24"/>
        </w:rPr>
        <w:t>Перечень и объем оказываемых услуг</w:t>
      </w:r>
    </w:p>
    <w:tbl>
      <w:tblPr>
        <w:tblW w:w="10033" w:type="dxa"/>
        <w:jc w:val="left"/>
        <w:tblInd w:w="-5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9"/>
        <w:gridCol w:w="5668"/>
        <w:gridCol w:w="1766"/>
        <w:gridCol w:w="1750"/>
      </w:tblGrid>
      <w:tr>
        <w:trPr/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suppressAutoHyphens w:val="tru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  <w:p>
            <w:pPr>
              <w:pStyle w:val="Normal"/>
              <w:keepNext w:val="true"/>
              <w:widowControl w:val="false"/>
              <w:suppressAutoHyphens w:val="tru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п/п</w:t>
            </w:r>
          </w:p>
        </w:tc>
        <w:tc>
          <w:tcPr>
            <w:tcW w:w="5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suppressAutoHyphens w:val="tru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услуг / этапа услуг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suppressAutoHyphens w:val="tru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Единица измерения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suppressAutoHyphens w:val="tru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Количество</w:t>
            </w:r>
          </w:p>
        </w:tc>
      </w:tr>
      <w:tr>
        <w:trPr/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5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</w:tr>
      <w:tr>
        <w:trPr/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true"/>
              <w:snapToGrid w:val="false"/>
              <w:spacing w:before="0" w:after="0"/>
              <w:ind w:left="5038" w:hanging="0"/>
              <w:contextualSpacing/>
              <w:rPr>
                <w:rFonts w:eastAsia="Calibri"/>
                <w:b/>
                <w:sz w:val="24"/>
                <w:szCs w:val="24"/>
              </w:rPr>
            </w:pPr>
            <w:r>
              <w:rPr>
                <w:rFonts w:eastAsia="Calibri"/>
                <w:b/>
                <w:sz w:val="24"/>
                <w:szCs w:val="24"/>
              </w:rPr>
            </w:r>
          </w:p>
        </w:tc>
        <w:tc>
          <w:tcPr>
            <w:tcW w:w="5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hanging="0"/>
              <w:jc w:val="both"/>
              <w:rPr>
                <w:rFonts w:ascii="Times New Roman" w:hAnsi="Times New Roman"/>
                <w:sz w:val="28"/>
                <w:szCs w:val="24"/>
              </w:rPr>
            </w:pPr>
            <w:r>
              <w:rPr>
                <w:rFonts w:eastAsia="Calibri" w:ascii="Times New Roman" w:hAnsi="Times New Roman"/>
                <w:b w:val="false"/>
                <w:bCs w:val="false"/>
                <w:iCs/>
                <w:sz w:val="24"/>
                <w:szCs w:val="24"/>
              </w:rPr>
              <w:t>ОКПД2 86.10.15.000 Услуги по проведению предсменных, предрейсовых и послесменных, послерейсовых медицинских осмотров для нужд Московского представительства Центрального филиала АО «ТК РусГидро» в г. Москва.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осмотр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40" w:after="40"/>
              <w:jc w:val="center"/>
              <w:rPr>
                <w:rFonts w:ascii="Times New Roman" w:hAnsi="Times New Roman" w:eastAsia="Times New Roman" w:cs="Times New Roman"/>
                <w:color w:val="auto"/>
                <w:kern w:val="0"/>
                <w:sz w:val="24"/>
                <w:szCs w:val="24"/>
                <w:lang w:val="ru-RU" w:eastAsia="zh-CN" w:bidi="ar-SA"/>
              </w:rPr>
            </w:pPr>
            <w:r>
              <w:rPr>
                <w:rFonts w:eastAsia="Times New Roman" w:cs="Times New Roman"/>
                <w:color w:val="auto"/>
                <w:kern w:val="0"/>
                <w:sz w:val="24"/>
                <w:szCs w:val="24"/>
                <w:lang w:val="ru-RU" w:eastAsia="zh-CN" w:bidi="ar-SA"/>
              </w:rPr>
              <w:t>14 146</w:t>
            </w:r>
          </w:p>
        </w:tc>
      </w:tr>
    </w:tbl>
    <w:p>
      <w:pPr>
        <w:pStyle w:val="Normal"/>
        <w:jc w:val="both"/>
        <w:rPr>
          <w:rFonts w:eastAsia="Calibri"/>
          <w:sz w:val="24"/>
          <w:szCs w:val="24"/>
          <w:lang w:eastAsia="x-none"/>
        </w:rPr>
      </w:pPr>
      <w:r>
        <w:rPr>
          <w:rFonts w:eastAsia="Calibri"/>
          <w:sz w:val="24"/>
          <w:szCs w:val="24"/>
          <w:lang w:eastAsia="x-none"/>
        </w:rPr>
      </w:r>
    </w:p>
    <w:p>
      <w:pPr>
        <w:pStyle w:val="Normal"/>
        <w:jc w:val="both"/>
        <w:rPr>
          <w:rFonts w:eastAsia="Calibri"/>
          <w:sz w:val="24"/>
          <w:szCs w:val="24"/>
          <w:lang w:eastAsia="x-none"/>
        </w:rPr>
      </w:pPr>
      <w:bookmarkStart w:id="13" w:name="sub_203"/>
      <w:r>
        <w:rPr>
          <w:rFonts w:eastAsia="Calibri"/>
          <w:sz w:val="24"/>
          <w:szCs w:val="24"/>
          <w:lang w:eastAsia="x-none"/>
        </w:rPr>
        <w:t>2.1.2. Медицинские осмотры проводятся медицинским</w:t>
      </w:r>
      <w:bookmarkEnd w:id="13"/>
      <w:r>
        <w:rPr>
          <w:rFonts w:eastAsia="Calibri"/>
          <w:sz w:val="24"/>
          <w:szCs w:val="24"/>
          <w:lang w:eastAsia="x-none"/>
        </w:rPr>
        <w:t xml:space="preserve"> работником на территории Исполнителя.</w:t>
      </w:r>
    </w:p>
    <w:p>
      <w:pPr>
        <w:pStyle w:val="Normal"/>
        <w:ind w:firstLine="708"/>
        <w:rPr>
          <w:rFonts w:eastAsia="Calibri"/>
          <w:sz w:val="24"/>
          <w:szCs w:val="24"/>
          <w:lang w:eastAsia="x-none"/>
        </w:rPr>
      </w:pPr>
      <w:r>
        <w:rPr>
          <w:rFonts w:eastAsia="Calibri"/>
          <w:sz w:val="24"/>
          <w:szCs w:val="24"/>
          <w:lang w:eastAsia="x-none"/>
        </w:rPr>
      </w:r>
    </w:p>
    <w:p>
      <w:pPr>
        <w:pStyle w:val="Normal"/>
        <w:jc w:val="both"/>
        <w:rPr>
          <w:rFonts w:eastAsia="Calibri"/>
          <w:sz w:val="24"/>
          <w:szCs w:val="24"/>
          <w:lang w:eastAsia="x-none"/>
        </w:rPr>
      </w:pPr>
      <w:bookmarkStart w:id="14" w:name="sub_204"/>
      <w:r>
        <w:rPr>
          <w:rFonts w:eastAsia="Calibri"/>
          <w:sz w:val="24"/>
          <w:szCs w:val="24"/>
          <w:lang w:eastAsia="x-none"/>
        </w:rPr>
        <w:t>2.1.3. Медицинские осмотры включает проведение медицинским</w:t>
      </w:r>
      <w:bookmarkEnd w:id="14"/>
      <w:r>
        <w:rPr>
          <w:rFonts w:eastAsia="Calibri"/>
          <w:sz w:val="24"/>
          <w:szCs w:val="24"/>
          <w:lang w:eastAsia="x-none"/>
        </w:rPr>
        <w:t xml:space="preserve"> персоналом Исполнителя следующих мероприятий:</w:t>
      </w:r>
    </w:p>
    <w:p>
      <w:pPr>
        <w:pStyle w:val="Normal"/>
        <w:rPr>
          <w:rFonts w:eastAsia="Calibri"/>
          <w:sz w:val="24"/>
          <w:szCs w:val="24"/>
          <w:lang w:eastAsia="x-none"/>
        </w:rPr>
      </w:pPr>
      <w:r>
        <w:rPr>
          <w:rFonts w:eastAsia="Calibri"/>
          <w:sz w:val="24"/>
          <w:szCs w:val="24"/>
          <w:lang w:eastAsia="x-none"/>
        </w:rPr>
        <w:t xml:space="preserve">     </w:t>
      </w:r>
      <w:r>
        <w:rPr>
          <w:rFonts w:eastAsia="Calibri"/>
          <w:sz w:val="24"/>
          <w:szCs w:val="24"/>
          <w:lang w:eastAsia="x-none"/>
        </w:rPr>
        <w:t>- сбор анамнеза;</w:t>
      </w:r>
    </w:p>
    <w:p>
      <w:pPr>
        <w:pStyle w:val="Normal"/>
        <w:jc w:val="both"/>
        <w:rPr>
          <w:rFonts w:eastAsia="Calibri"/>
          <w:sz w:val="24"/>
          <w:szCs w:val="24"/>
          <w:lang w:eastAsia="x-none"/>
        </w:rPr>
      </w:pPr>
      <w:r>
        <w:rPr>
          <w:rFonts w:eastAsia="Calibri"/>
          <w:sz w:val="24"/>
          <w:szCs w:val="24"/>
          <w:lang w:eastAsia="x-none"/>
        </w:rPr>
        <w:t xml:space="preserve">     </w:t>
      </w:r>
      <w:r>
        <w:rPr>
          <w:rFonts w:eastAsia="Calibri"/>
          <w:sz w:val="24"/>
          <w:szCs w:val="24"/>
          <w:lang w:eastAsia="x-none"/>
        </w:rPr>
        <w:t>- определение артериального давления и пульса у водителей;</w:t>
      </w:r>
    </w:p>
    <w:p>
      <w:pPr>
        <w:pStyle w:val="Normal"/>
        <w:rPr>
          <w:rFonts w:eastAsia="Calibri"/>
          <w:sz w:val="24"/>
          <w:szCs w:val="24"/>
          <w:lang w:eastAsia="x-none"/>
        </w:rPr>
      </w:pPr>
      <w:r>
        <w:rPr>
          <w:rFonts w:eastAsia="Calibri"/>
          <w:sz w:val="24"/>
          <w:szCs w:val="24"/>
          <w:lang w:eastAsia="x-none"/>
        </w:rPr>
        <w:t xml:space="preserve">     </w:t>
      </w:r>
      <w:r>
        <w:rPr>
          <w:rFonts w:eastAsia="Calibri"/>
          <w:sz w:val="24"/>
          <w:szCs w:val="24"/>
          <w:lang w:eastAsia="x-none"/>
        </w:rPr>
        <w:t>- определение наличия алкоголя и других психотропных веществ в выдыхаемом воздухе или биологических субстратах одним из официально признанных методов;</w:t>
      </w:r>
    </w:p>
    <w:p>
      <w:pPr>
        <w:pStyle w:val="Normal"/>
        <w:jc w:val="both"/>
        <w:rPr>
          <w:rFonts w:eastAsia="Calibri"/>
          <w:sz w:val="24"/>
          <w:szCs w:val="24"/>
          <w:lang w:eastAsia="x-none"/>
        </w:rPr>
      </w:pPr>
      <w:r>
        <w:rPr>
          <w:rFonts w:eastAsia="Calibri"/>
          <w:sz w:val="24"/>
          <w:szCs w:val="24"/>
          <w:lang w:eastAsia="x-none"/>
        </w:rPr>
        <w:t xml:space="preserve">     </w:t>
      </w:r>
      <w:r>
        <w:rPr>
          <w:rFonts w:eastAsia="Calibri"/>
          <w:sz w:val="24"/>
          <w:szCs w:val="24"/>
          <w:lang w:eastAsia="x-none"/>
        </w:rPr>
        <w:t>- при наличии показаний проведение любые других разрешенных медицинских исследований, необходимых для решения вопроса о допуске к работе водителя.</w:t>
      </w:r>
    </w:p>
    <w:p>
      <w:pPr>
        <w:pStyle w:val="Normal"/>
        <w:ind w:firstLine="708"/>
        <w:rPr>
          <w:rFonts w:eastAsia="Calibri"/>
          <w:sz w:val="24"/>
          <w:szCs w:val="24"/>
          <w:lang w:eastAsia="x-none"/>
        </w:rPr>
      </w:pPr>
      <w:r>
        <w:rPr>
          <w:rFonts w:eastAsia="Calibri"/>
          <w:sz w:val="24"/>
          <w:szCs w:val="24"/>
          <w:lang w:eastAsia="x-none"/>
        </w:rPr>
      </w:r>
    </w:p>
    <w:p>
      <w:pPr>
        <w:pStyle w:val="Normal"/>
        <w:jc w:val="both"/>
        <w:rPr>
          <w:rFonts w:eastAsia="Calibri"/>
          <w:sz w:val="24"/>
          <w:szCs w:val="24"/>
          <w:lang w:eastAsia="x-none"/>
        </w:rPr>
      </w:pPr>
      <w:bookmarkStart w:id="15" w:name="sub_206"/>
      <w:r>
        <w:rPr>
          <w:rFonts w:eastAsia="Calibri"/>
          <w:sz w:val="24"/>
          <w:szCs w:val="24"/>
          <w:lang w:eastAsia="x-none"/>
        </w:rPr>
        <w:t>2.1.4. При решении вопроса о возможности допуска водителя к управлению</w:t>
      </w:r>
      <w:bookmarkEnd w:id="15"/>
      <w:r>
        <w:rPr>
          <w:rFonts w:eastAsia="Calibri"/>
          <w:sz w:val="24"/>
          <w:szCs w:val="24"/>
          <w:lang w:eastAsia="x-none"/>
        </w:rPr>
        <w:t xml:space="preserve"> автомобилем медицинский работник Исполнителя, проводящий медицинские осмотры, учитывает принадлежность водителя к одной из групп риска, возраст, стаж работы в профессии, условия работы и характер производственных факторов.</w:t>
      </w:r>
    </w:p>
    <w:p>
      <w:pPr>
        <w:pStyle w:val="Normal"/>
        <w:ind w:firstLine="708"/>
        <w:rPr>
          <w:rFonts w:eastAsia="Calibri"/>
          <w:sz w:val="24"/>
          <w:szCs w:val="24"/>
          <w:lang w:eastAsia="x-none"/>
        </w:rPr>
      </w:pPr>
      <w:r>
        <w:rPr>
          <w:rFonts w:eastAsia="Calibri"/>
          <w:sz w:val="24"/>
          <w:szCs w:val="24"/>
          <w:lang w:eastAsia="x-none"/>
        </w:rPr>
      </w:r>
    </w:p>
    <w:p>
      <w:pPr>
        <w:pStyle w:val="Normal"/>
        <w:rPr>
          <w:rFonts w:eastAsia="Calibri"/>
          <w:sz w:val="24"/>
          <w:szCs w:val="24"/>
          <w:lang w:eastAsia="x-none"/>
        </w:rPr>
      </w:pPr>
      <w:bookmarkStart w:id="16" w:name="sub_207"/>
      <w:r>
        <w:rPr>
          <w:rFonts w:eastAsia="Calibri"/>
          <w:sz w:val="24"/>
          <w:szCs w:val="24"/>
          <w:lang w:eastAsia="x-none"/>
        </w:rPr>
        <w:t>2.1.5. Водители не допускаются к управлению автомобилем в следующих</w:t>
      </w:r>
      <w:bookmarkEnd w:id="16"/>
      <w:r>
        <w:rPr>
          <w:rFonts w:eastAsia="Calibri"/>
          <w:sz w:val="24"/>
          <w:szCs w:val="24"/>
          <w:lang w:eastAsia="x-none"/>
        </w:rPr>
        <w:t xml:space="preserve"> случаях:</w:t>
      </w:r>
    </w:p>
    <w:p>
      <w:pPr>
        <w:pStyle w:val="Normal"/>
        <w:rPr>
          <w:rFonts w:eastAsia="Calibri"/>
          <w:sz w:val="24"/>
          <w:szCs w:val="24"/>
          <w:lang w:eastAsia="x-none"/>
        </w:rPr>
      </w:pPr>
      <w:r>
        <w:rPr>
          <w:rFonts w:eastAsia="Calibri"/>
          <w:sz w:val="24"/>
          <w:szCs w:val="24"/>
          <w:lang w:eastAsia="x-none"/>
        </w:rPr>
        <w:t xml:space="preserve">     </w:t>
      </w:r>
      <w:r>
        <w:rPr>
          <w:rFonts w:eastAsia="Calibri"/>
          <w:sz w:val="24"/>
          <w:szCs w:val="24"/>
          <w:lang w:eastAsia="x-none"/>
        </w:rPr>
        <w:t>- при выявлении признаков временной нетрудоспособности;</w:t>
      </w:r>
    </w:p>
    <w:p>
      <w:pPr>
        <w:pStyle w:val="Normal"/>
        <w:jc w:val="both"/>
        <w:rPr>
          <w:rFonts w:eastAsia="Calibri"/>
          <w:sz w:val="24"/>
          <w:szCs w:val="24"/>
          <w:lang w:eastAsia="x-none"/>
        </w:rPr>
      </w:pPr>
      <w:r>
        <w:rPr>
          <w:rFonts w:eastAsia="Calibri"/>
          <w:sz w:val="24"/>
          <w:szCs w:val="24"/>
          <w:lang w:eastAsia="x-none"/>
        </w:rPr>
        <w:t xml:space="preserve">     </w:t>
      </w:r>
      <w:r>
        <w:rPr>
          <w:rFonts w:eastAsia="Calibri"/>
          <w:sz w:val="24"/>
          <w:szCs w:val="24"/>
          <w:lang w:eastAsia="x-none"/>
        </w:rPr>
        <w:t>- при положительной пробе на алкоголь, на другие психотропные вещества и наркотики в выдыхаемом воздухе или биологических субстратах;</w:t>
      </w:r>
    </w:p>
    <w:p>
      <w:pPr>
        <w:pStyle w:val="Normal"/>
        <w:rPr>
          <w:rFonts w:eastAsia="Calibri"/>
          <w:sz w:val="24"/>
          <w:szCs w:val="24"/>
          <w:lang w:eastAsia="x-none"/>
        </w:rPr>
      </w:pPr>
      <w:r>
        <w:rPr>
          <w:rFonts w:eastAsia="Calibri"/>
          <w:sz w:val="24"/>
          <w:szCs w:val="24"/>
          <w:lang w:eastAsia="x-none"/>
        </w:rPr>
        <w:t xml:space="preserve">     </w:t>
      </w:r>
      <w:r>
        <w:rPr>
          <w:rFonts w:eastAsia="Calibri"/>
          <w:sz w:val="24"/>
          <w:szCs w:val="24"/>
          <w:lang w:eastAsia="x-none"/>
        </w:rPr>
        <w:t>- при выявлении признаков воздействия наркотических веществ;</w:t>
      </w:r>
    </w:p>
    <w:p>
      <w:pPr>
        <w:pStyle w:val="Normal"/>
        <w:jc w:val="both"/>
        <w:rPr>
          <w:rFonts w:eastAsia="Calibri"/>
          <w:sz w:val="24"/>
          <w:szCs w:val="24"/>
          <w:lang w:eastAsia="x-none"/>
        </w:rPr>
      </w:pPr>
      <w:r>
        <w:rPr>
          <w:rFonts w:eastAsia="Calibri"/>
          <w:sz w:val="24"/>
          <w:szCs w:val="24"/>
          <w:lang w:eastAsia="x-none"/>
        </w:rPr>
        <w:t xml:space="preserve">   </w:t>
      </w:r>
      <w:r>
        <w:rPr>
          <w:rFonts w:eastAsia="Calibri"/>
          <w:sz w:val="24"/>
          <w:szCs w:val="24"/>
          <w:lang w:eastAsia="x-none"/>
        </w:rPr>
        <w:t>- при выявлении признаков воздействия лекарственных или иных веществ, отрицательно влияющих на работоспособность водителя.</w:t>
      </w:r>
    </w:p>
    <w:p>
      <w:pPr>
        <w:pStyle w:val="Normal"/>
        <w:rPr>
          <w:rFonts w:eastAsia="Calibri"/>
          <w:sz w:val="24"/>
          <w:szCs w:val="24"/>
          <w:lang w:eastAsia="x-none"/>
        </w:rPr>
      </w:pPr>
      <w:r>
        <w:rPr>
          <w:rFonts w:eastAsia="Calibri"/>
          <w:sz w:val="24"/>
          <w:szCs w:val="24"/>
          <w:lang w:eastAsia="x-none"/>
        </w:rPr>
      </w:r>
    </w:p>
    <w:p>
      <w:pPr>
        <w:pStyle w:val="Normal"/>
        <w:jc w:val="both"/>
        <w:rPr>
          <w:rFonts w:eastAsia="Calibri"/>
          <w:sz w:val="24"/>
          <w:szCs w:val="24"/>
          <w:lang w:eastAsia="x-none"/>
        </w:rPr>
      </w:pPr>
      <w:r>
        <w:rPr>
          <w:rFonts w:eastAsia="Calibri"/>
          <w:sz w:val="24"/>
          <w:szCs w:val="24"/>
          <w:lang w:eastAsia="x-none"/>
        </w:rPr>
        <w:t xml:space="preserve">2.1.6. По результатам предсменного, предрейсового и послесменного, послерейсового медицинских осмотров на путевом листе ставятся штампы "прошел предсменый медицинский осмотр, к исполнению трудовых обязанностей допущен», «прошел послерейсовый медицинский осмотр» и ставится дата и подпись медицинского работника, проводившего медицинский осмотр. </w:t>
      </w:r>
    </w:p>
    <w:p>
      <w:pPr>
        <w:pStyle w:val="Normal"/>
        <w:ind w:firstLine="432"/>
        <w:rPr>
          <w:rFonts w:eastAsia="Calibri"/>
          <w:sz w:val="24"/>
          <w:szCs w:val="24"/>
          <w:lang w:eastAsia="x-none"/>
        </w:rPr>
      </w:pPr>
      <w:r>
        <w:rPr>
          <w:rFonts w:eastAsia="Calibri"/>
          <w:sz w:val="24"/>
          <w:szCs w:val="24"/>
          <w:lang w:eastAsia="x-none"/>
        </w:rPr>
      </w:r>
    </w:p>
    <w:p>
      <w:pPr>
        <w:pStyle w:val="Normal"/>
        <w:jc w:val="both"/>
        <w:rPr>
          <w:b w:val="false"/>
          <w:bCs w:val="false"/>
        </w:rPr>
      </w:pPr>
      <w:bookmarkStart w:id="17" w:name="sub_209"/>
      <w:r>
        <w:rPr>
          <w:rFonts w:eastAsia="Calibri"/>
          <w:b w:val="false"/>
          <w:bCs w:val="false"/>
          <w:sz w:val="24"/>
          <w:szCs w:val="24"/>
          <w:lang w:eastAsia="x-none"/>
        </w:rPr>
        <w:t>2.1.7. По результатам медицинских ос</w:t>
      </w:r>
      <w:bookmarkEnd w:id="17"/>
      <w:r>
        <w:rPr>
          <w:rFonts w:eastAsia="Calibri"/>
          <w:b w:val="false"/>
          <w:bCs w:val="false"/>
          <w:sz w:val="24"/>
          <w:szCs w:val="24"/>
          <w:lang w:eastAsia="x-none"/>
        </w:rPr>
        <w:t>мотров ведется полицевой учет отстраненных от работы водителей, для чего используются бланки карт амбулаторного больного. В карту заносятся результаты освидетельствования (анамнез, объективные данные осмотра, причина отстранения).</w:t>
      </w:r>
    </w:p>
    <w:p>
      <w:pPr>
        <w:pStyle w:val="Normal"/>
        <w:jc w:val="both"/>
        <w:rPr>
          <w:b w:val="false"/>
          <w:bCs w:val="false"/>
        </w:rPr>
      </w:pPr>
      <w:r>
        <w:rPr>
          <w:b w:val="false"/>
          <w:bCs w:val="false"/>
        </w:rPr>
      </w:r>
    </w:p>
    <w:p>
      <w:pPr>
        <w:pStyle w:val="Normal"/>
        <w:numPr>
          <w:ilvl w:val="0"/>
          <w:numId w:val="0"/>
        </w:numPr>
        <w:spacing w:before="120" w:after="60"/>
        <w:ind w:left="0" w:right="0" w:hanging="0"/>
        <w:outlineLvl w:val="2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</w:r>
    </w:p>
    <w:p>
      <w:pPr>
        <w:pStyle w:val="Normal"/>
        <w:keepNext w:val="true"/>
        <w:numPr>
          <w:ilvl w:val="0"/>
          <w:numId w:val="0"/>
        </w:numPr>
        <w:spacing w:before="120" w:after="60"/>
        <w:ind w:left="0" w:right="0" w:hanging="0"/>
        <w:outlineLvl w:val="2"/>
        <w:rPr>
          <w:b/>
          <w:bCs/>
          <w:sz w:val="24"/>
          <w:szCs w:val="24"/>
        </w:rPr>
      </w:pPr>
      <w:r>
        <w:rPr>
          <w:rFonts w:eastAsia="Calibri"/>
          <w:b/>
          <w:sz w:val="24"/>
          <w:szCs w:val="24"/>
        </w:rPr>
        <w:t>2.2. Требования к срокам оказания услуг</w:t>
      </w:r>
    </w:p>
    <w:p>
      <w:pPr>
        <w:pStyle w:val="Normal"/>
        <w:keepNext w:val="true"/>
        <w:keepLines/>
        <w:numPr>
          <w:ilvl w:val="0"/>
          <w:numId w:val="0"/>
        </w:numPr>
        <w:spacing w:before="240" w:after="60"/>
        <w:ind w:left="0" w:right="0" w:hanging="0"/>
        <w:outlineLvl w:val="0"/>
        <w:rPr/>
      </w:pPr>
      <w:r>
        <w:rPr>
          <w:rFonts w:eastAsia="Calibri"/>
          <w:b/>
          <w:bCs/>
          <w:i w:val="false"/>
          <w:iCs w:val="false"/>
          <w:sz w:val="24"/>
          <w:szCs w:val="24"/>
          <w:shd w:fill="auto" w:val="clear"/>
          <w:lang w:val="ru-RU"/>
        </w:rPr>
        <w:t xml:space="preserve">Таблица </w:t>
      </w:r>
      <w:r>
        <w:rPr>
          <w:rFonts w:eastAsia="Calibri"/>
          <w:b/>
          <w:bCs/>
          <w:i w:val="false"/>
          <w:iCs w:val="false"/>
          <w:sz w:val="24"/>
          <w:szCs w:val="24"/>
          <w:shd w:fill="auto" w:val="clear"/>
        </w:rPr>
        <w:t>3</w:t>
      </w:r>
      <w:r>
        <w:rPr>
          <w:rFonts w:eastAsia="Calibri"/>
          <w:b/>
          <w:bCs/>
          <w:i w:val="false"/>
          <w:iCs w:val="false"/>
          <w:sz w:val="24"/>
          <w:szCs w:val="24"/>
          <w:shd w:fill="auto" w:val="clear"/>
          <w:lang w:val="ru-RU"/>
        </w:rPr>
        <w:t xml:space="preserve">. </w:t>
      </w:r>
      <w:bookmarkStart w:id="18" w:name="_Hlk50465284"/>
      <w:r>
        <w:rPr>
          <w:rFonts w:eastAsia="Calibri"/>
          <w:b/>
          <w:bCs/>
          <w:i w:val="false"/>
          <w:iCs w:val="false"/>
          <w:sz w:val="24"/>
          <w:szCs w:val="24"/>
          <w:shd w:fill="auto" w:val="clear"/>
          <w:lang w:val="ru-RU"/>
        </w:rPr>
        <w:t xml:space="preserve">Требования </w:t>
      </w:r>
      <w:r>
        <w:rPr>
          <w:rFonts w:eastAsia="Calibri"/>
          <w:b/>
          <w:bCs/>
          <w:i w:val="false"/>
          <w:iCs w:val="false"/>
          <w:sz w:val="24"/>
          <w:szCs w:val="24"/>
          <w:shd w:fill="auto" w:val="clear"/>
        </w:rPr>
        <w:t>к</w:t>
      </w:r>
      <w:r>
        <w:rPr>
          <w:rFonts w:eastAsia="Calibri"/>
          <w:b/>
          <w:bCs/>
          <w:i w:val="false"/>
          <w:iCs w:val="false"/>
          <w:sz w:val="24"/>
          <w:szCs w:val="24"/>
          <w:shd w:fill="auto" w:val="clear"/>
          <w:lang w:val="ru-RU"/>
        </w:rPr>
        <w:t xml:space="preserve"> срокам </w:t>
      </w:r>
      <w:bookmarkEnd w:id="18"/>
      <w:r>
        <w:rPr>
          <w:rFonts w:eastAsia="Calibri"/>
          <w:b/>
          <w:bCs/>
          <w:i w:val="false"/>
          <w:iCs w:val="false"/>
          <w:sz w:val="24"/>
          <w:szCs w:val="24"/>
          <w:shd w:fill="auto" w:val="clear"/>
        </w:rPr>
        <w:t>оказания услуг</w:t>
      </w:r>
    </w:p>
    <w:tbl>
      <w:tblPr>
        <w:tblW w:w="10063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noVBand="1" w:val="04a0" w:noHBand="0" w:lastColumn="0" w:firstColumn="1" w:lastRow="0" w:firstRow="1"/>
      </w:tblPr>
      <w:tblGrid>
        <w:gridCol w:w="704"/>
        <w:gridCol w:w="4395"/>
        <w:gridCol w:w="2614"/>
        <w:gridCol w:w="2349"/>
      </w:tblGrid>
      <w:tr>
        <w:trPr/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п/п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ind w:firstLine="4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услуг/ этапа услуг</w:t>
            </w:r>
          </w:p>
        </w:tc>
        <w:tc>
          <w:tcPr>
            <w:tcW w:w="2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Требования к началу срока оказания услуг/ этапа услуг</w:t>
            </w:r>
          </w:p>
        </w:tc>
        <w:tc>
          <w:tcPr>
            <w:tcW w:w="2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Требования к окончанию срока оказания услуг / этапа услуг</w:t>
            </w:r>
          </w:p>
        </w:tc>
      </w:tr>
      <w:tr>
        <w:trPr/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ind w:firstLine="432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2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2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</w:tr>
      <w:tr>
        <w:trPr/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ind w:hanging="0"/>
              <w:jc w:val="center"/>
              <w:rPr>
                <w:b w:val="false"/>
                <w:bCs w:val="false"/>
              </w:rPr>
            </w:pPr>
            <w:r>
              <w:rPr>
                <w:rFonts w:eastAsia="Calibri"/>
                <w:b w:val="false"/>
                <w:bCs w:val="false"/>
                <w:sz w:val="24"/>
                <w:szCs w:val="24"/>
              </w:rPr>
              <w:t>ОКПД2 86.10.15.000 Услуги по проведению предсменных, предрейсовых и послесменных, послерейсовых медицинских осмотров для нужд Московского представительства Центрального филиала АО «ТК РусГидро» в г. Москва</w:t>
            </w:r>
          </w:p>
        </w:tc>
        <w:tc>
          <w:tcPr>
            <w:tcW w:w="2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01.01.2027</w:t>
            </w:r>
          </w:p>
        </w:tc>
        <w:tc>
          <w:tcPr>
            <w:tcW w:w="2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hanging="0"/>
              <w:jc w:val="center"/>
              <w:rPr/>
            </w:pPr>
            <w:r>
              <w:rPr>
                <w:sz w:val="24"/>
                <w:szCs w:val="24"/>
              </w:rPr>
              <w:t>до 31.1</w:t>
            </w:r>
            <w:r>
              <w:rPr>
                <w:sz w:val="24"/>
                <w:szCs w:val="24"/>
                <w:lang w:val="en-US"/>
              </w:rPr>
              <w:t>2</w:t>
            </w:r>
            <w:r>
              <w:rPr>
                <w:sz w:val="24"/>
                <w:szCs w:val="24"/>
              </w:rPr>
              <w:t>.202</w:t>
            </w:r>
            <w:r>
              <w:rPr>
                <w:sz w:val="24"/>
                <w:szCs w:val="24"/>
                <w:lang w:val="en-US"/>
              </w:rPr>
              <w:t>7</w:t>
            </w:r>
          </w:p>
        </w:tc>
      </w:tr>
    </w:tbl>
    <w:p>
      <w:pPr>
        <w:pStyle w:val="Heading3"/>
        <w:keepLines/>
        <w:numPr>
          <w:ilvl w:val="0"/>
          <w:numId w:val="0"/>
        </w:numPr>
        <w:spacing w:before="240" w:after="60"/>
        <w:ind w:left="0" w:hanging="0"/>
        <w:rPr>
          <w:lang w:val="ru-RU"/>
        </w:rPr>
      </w:pPr>
      <w:r>
        <w:rPr>
          <w:lang w:val="ru-RU"/>
        </w:rPr>
      </w:r>
    </w:p>
    <w:p>
      <w:pPr>
        <w:sectPr>
          <w:headerReference w:type="even" r:id="rId3"/>
          <w:headerReference w:type="default" r:id="rId4"/>
          <w:headerReference w:type="first" r:id="rId5"/>
          <w:type w:val="nextPage"/>
          <w:pgSz w:w="11906" w:h="16838"/>
          <w:pgMar w:left="1134" w:right="617" w:gutter="0" w:header="680" w:top="1134" w:footer="0" w:bottom="1134"/>
          <w:pgNumType w:fmt="decimal"/>
          <w:formProt w:val="false"/>
          <w:textDirection w:val="lrTb"/>
          <w:docGrid w:type="default" w:linePitch="360" w:charSpace="0"/>
        </w:sectPr>
        <w:pStyle w:val="Normal"/>
        <w:rPr>
          <w:rFonts w:eastAsia="Calibri"/>
          <w:sz w:val="24"/>
          <w:szCs w:val="24"/>
          <w:lang w:eastAsia="x-none"/>
        </w:rPr>
      </w:pPr>
      <w:r>
        <w:rPr>
          <w:rFonts w:eastAsia="Calibri"/>
          <w:sz w:val="24"/>
          <w:szCs w:val="24"/>
          <w:lang w:eastAsia="x-none"/>
        </w:rPr>
      </w:r>
      <w:bookmarkStart w:id="19" w:name="sub_206_Копия_1"/>
      <w:bookmarkStart w:id="20" w:name="sub_206_Копия_1"/>
      <w:bookmarkEnd w:id="20"/>
    </w:p>
    <w:p>
      <w:pPr>
        <w:pStyle w:val="Heading4"/>
        <w:numPr>
          <w:ilvl w:val="1"/>
          <w:numId w:val="9"/>
        </w:numPr>
        <w:rPr/>
      </w:pPr>
      <w:bookmarkStart w:id="21" w:name="sub_206_Копия_1"/>
      <w:bookmarkStart w:id="22" w:name="_Toc54643709"/>
      <w:bookmarkStart w:id="23" w:name="_Toc51339698"/>
      <w:bookmarkStart w:id="24" w:name="_Toc54643708"/>
      <w:bookmarkStart w:id="25" w:name="_Toc46743511"/>
      <w:bookmarkStart w:id="26" w:name="sub_206_Копия_1_Копия_1"/>
      <w:bookmarkStart w:id="27" w:name="sub_206_Копия_1_Копия_1"/>
      <w:bookmarkEnd w:id="21"/>
      <w:bookmarkEnd w:id="26"/>
      <w:bookmarkEnd w:id="27"/>
      <w:r>
        <w:rPr/>
        <w:t xml:space="preserve">Требования к </w:t>
      </w:r>
      <w:bookmarkEnd w:id="25"/>
      <w:r>
        <w:rPr>
          <w:lang w:val="ru-RU"/>
        </w:rPr>
        <w:t>качеству услуг</w:t>
      </w:r>
      <w:bookmarkEnd w:id="24"/>
    </w:p>
    <w:p>
      <w:pPr>
        <w:pStyle w:val="Heading1"/>
        <w:keepLines/>
        <w:numPr>
          <w:ilvl w:val="0"/>
          <w:numId w:val="0"/>
        </w:numPr>
        <w:spacing w:before="240" w:after="60"/>
        <w:ind w:left="0" w:hanging="0"/>
        <w:rPr>
          <w:rStyle w:val="Style8"/>
          <w:b/>
          <w:i w:val="false"/>
          <w:i w:val="false"/>
          <w:sz w:val="24"/>
          <w:szCs w:val="24"/>
          <w:shd w:fill="auto" w:val="clear"/>
        </w:rPr>
      </w:pPr>
      <w:r>
        <w:rPr>
          <w:sz w:val="24"/>
          <w:szCs w:val="24"/>
        </w:rPr>
        <w:t>Таблица </w:t>
      </w:r>
      <w:r>
        <w:rPr>
          <w:sz w:val="24"/>
          <w:szCs w:val="24"/>
          <w:lang w:val="ru-RU"/>
        </w:rPr>
        <w:t>4</w:t>
      </w:r>
      <w:r>
        <w:rPr>
          <w:sz w:val="24"/>
          <w:szCs w:val="24"/>
        </w:rPr>
        <w:t xml:space="preserve">. Требования к </w:t>
      </w:r>
      <w:bookmarkEnd w:id="23"/>
      <w:r>
        <w:rPr>
          <w:sz w:val="24"/>
          <w:szCs w:val="24"/>
          <w:lang w:val="ru-RU"/>
        </w:rPr>
        <w:t>качеству услуг</w:t>
      </w:r>
      <w:bookmarkEnd w:id="22"/>
      <w:r>
        <w:rPr>
          <w:sz w:val="24"/>
          <w:szCs w:val="24"/>
        </w:rPr>
        <w:t xml:space="preserve"> </w:t>
      </w:r>
    </w:p>
    <w:p>
      <w:pPr>
        <w:pStyle w:val="Normal"/>
        <w:jc w:val="both"/>
        <w:rPr>
          <w:rFonts w:eastAsia="Calibri"/>
          <w:sz w:val="24"/>
          <w:szCs w:val="24"/>
          <w:lang w:eastAsia="x-none"/>
        </w:rPr>
      </w:pPr>
      <w:r>
        <w:rPr>
          <w:b/>
          <w:bCs/>
          <w:sz w:val="24"/>
          <w:szCs w:val="24"/>
        </w:rPr>
        <w:t xml:space="preserve">Наименование услуг: </w:t>
      </w:r>
      <w:r>
        <w:rPr>
          <w:rFonts w:eastAsia="Calibri"/>
          <w:b w:val="false"/>
          <w:bCs w:val="false"/>
          <w:sz w:val="24"/>
          <w:szCs w:val="24"/>
          <w:lang w:eastAsia="x-none"/>
        </w:rPr>
        <w:t>ОКПД2 86.10.15.000 Услуги по проведению предсменных, предрейсовых и послесменных, послерейсовых медицинских осмотров для нужд Московского представительства Центрального филиала АО «ТК РусГидро» в г. Москва.</w:t>
      </w:r>
    </w:p>
    <w:p>
      <w:pPr>
        <w:pStyle w:val="Normal"/>
        <w:rPr>
          <w:iCs/>
          <w:sz w:val="24"/>
          <w:szCs w:val="24"/>
          <w:shd w:fill="FFFF99" w:val="clear"/>
        </w:rPr>
      </w:pPr>
      <w:r>
        <w:rPr>
          <w:iCs/>
          <w:sz w:val="24"/>
          <w:szCs w:val="24"/>
          <w:shd w:fill="FFFF99" w:val="clear"/>
        </w:rPr>
      </w:r>
    </w:p>
    <w:tbl>
      <w:tblPr>
        <w:tblStyle w:val="af"/>
        <w:tblW w:w="15135" w:type="dxa"/>
        <w:jc w:val="left"/>
        <w:tblInd w:w="-5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noVBand="1" w:val="04a0" w:noHBand="0" w:lastColumn="0" w:firstColumn="1" w:lastRow="0" w:firstRow="1"/>
      </w:tblPr>
      <w:tblGrid>
        <w:gridCol w:w="876"/>
        <w:gridCol w:w="8649"/>
        <w:gridCol w:w="3000"/>
        <w:gridCol w:w="2609"/>
      </w:tblGrid>
      <w:tr>
        <w:trPr/>
        <w:tc>
          <w:tcPr>
            <w:tcW w:w="876" w:type="dxa"/>
            <w:vMerge w:val="restart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 xml:space="preserve">№ </w:t>
            </w: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п/п</w:t>
            </w:r>
          </w:p>
        </w:tc>
        <w:tc>
          <w:tcPr>
            <w:tcW w:w="8649" w:type="dxa"/>
            <w:vMerge w:val="restart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Требование заказчика</w:t>
            </w:r>
          </w:p>
        </w:tc>
        <w:tc>
          <w:tcPr>
            <w:tcW w:w="5609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Способ подтверждения участником соответствия требованиям</w:t>
            </w:r>
          </w:p>
        </w:tc>
      </w:tr>
      <w:tr>
        <w:trPr/>
        <w:tc>
          <w:tcPr>
            <w:tcW w:w="876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W w:w="8649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W w:w="3000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Согласие с требованием/ указание характеристик</w:t>
            </w:r>
          </w:p>
        </w:tc>
        <w:tc>
          <w:tcPr>
            <w:tcW w:w="2609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Предоставление подтверждающего документа или иной способ подтверждения</w:t>
            </w:r>
          </w:p>
        </w:tc>
      </w:tr>
      <w:tr>
        <w:trPr/>
        <w:tc>
          <w:tcPr>
            <w:tcW w:w="876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4"/>
                <w:szCs w:val="24"/>
              </w:rPr>
            </w:pPr>
            <w:bookmarkStart w:id="28" w:name="_Toc53499667"/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1</w:t>
            </w:r>
            <w:bookmarkEnd w:id="28"/>
          </w:p>
        </w:tc>
        <w:tc>
          <w:tcPr>
            <w:tcW w:w="8649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2</w:t>
            </w:r>
          </w:p>
        </w:tc>
        <w:tc>
          <w:tcPr>
            <w:tcW w:w="3000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3</w:t>
            </w:r>
          </w:p>
        </w:tc>
        <w:tc>
          <w:tcPr>
            <w:tcW w:w="2609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4</w:t>
            </w:r>
          </w:p>
        </w:tc>
      </w:tr>
      <w:tr>
        <w:trPr/>
        <w:tc>
          <w:tcPr>
            <w:tcW w:w="876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6"/>
              </w:numPr>
              <w:suppressAutoHyphens w:val="true"/>
              <w:spacing w:before="60" w:after="60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8649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 xml:space="preserve">Требования к оказанию услуг </w:t>
            </w:r>
          </w:p>
        </w:tc>
        <w:tc>
          <w:tcPr>
            <w:tcW w:w="3000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  <w:tc>
          <w:tcPr>
            <w:tcW w:w="2609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</w:tr>
      <w:tr>
        <w:trPr/>
        <w:tc>
          <w:tcPr>
            <w:tcW w:w="876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6"/>
              </w:numPr>
              <w:suppressAutoHyphens w:val="true"/>
              <w:spacing w:before="60" w:after="60"/>
              <w:ind w:left="-117" w:firstLine="142"/>
              <w:contextualSpacing/>
              <w:jc w:val="center"/>
              <w:rPr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8649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60"/>
              <w:jc w:val="left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 xml:space="preserve">Общие требования к оказанию услуг </w:t>
            </w:r>
          </w:p>
        </w:tc>
        <w:tc>
          <w:tcPr>
            <w:tcW w:w="3000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  <w:tc>
          <w:tcPr>
            <w:tcW w:w="2609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</w:tr>
      <w:tr>
        <w:trPr/>
        <w:tc>
          <w:tcPr>
            <w:tcW w:w="876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2"/>
                <w:numId w:val="6"/>
              </w:numPr>
              <w:suppressAutoHyphens w:val="true"/>
              <w:spacing w:before="60" w:after="60"/>
              <w:ind w:left="1072" w:hanging="1199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8649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 xml:space="preserve">Исполнитель должен оказывать медицинские услуги в соответствии с </w:t>
            </w:r>
            <w:r>
              <w:rPr>
                <w:rFonts w:eastAsia="Times New Roman" w:cs="Times New Roman"/>
                <w:b w:val="false"/>
                <w:kern w:val="0"/>
                <w:sz w:val="24"/>
                <w:szCs w:val="24"/>
                <w:lang w:val="ru-RU" w:eastAsia="ru-RU" w:bidi="ar-SA"/>
              </w:rPr>
              <w:t xml:space="preserve">Приказом Минздрава России от 30.05.2023 №266н "Об утверждении Порядка и периодичности проведения предсменных, предрейсовых, послесменных, послерейсовых медицинских осмотров, медицинских осмотров в течение рабочего дня (смены) и перечня включаемых в них исследований" </w:t>
            </w:r>
          </w:p>
        </w:tc>
        <w:tc>
          <w:tcPr>
            <w:tcW w:w="3000" w:type="dxa"/>
            <w:vMerge w:val="restart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i/>
                <w:i/>
                <w:sz w:val="24"/>
                <w:szCs w:val="24"/>
              </w:rPr>
            </w:pPr>
            <w:r>
              <w:rPr>
                <w:rFonts w:eastAsia="Times New Roman" w:cs="Times New Roman"/>
                <w:i/>
                <w:kern w:val="0"/>
                <w:sz w:val="24"/>
                <w:szCs w:val="24"/>
                <w:lang w:val="ru-RU" w:eastAsia="ru-RU" w:bidi="ar-SA"/>
              </w:rPr>
              <w:t>Участник должен предоставить в заявке согласие оказать услуги полностью соответствующие настоящим техническим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i/>
                <w:i/>
                <w:sz w:val="24"/>
                <w:szCs w:val="24"/>
              </w:rPr>
            </w:pPr>
            <w:r>
              <w:rPr>
                <w:rFonts w:eastAsia="Times New Roman" w:cs="Times New Roman"/>
                <w:i/>
                <w:kern w:val="0"/>
                <w:sz w:val="24"/>
                <w:szCs w:val="24"/>
                <w:lang w:val="ru-RU" w:eastAsia="ru-RU" w:bidi="ar-SA"/>
              </w:rPr>
              <w:t>требованиям, по форме Технического предложения, установленной в Документации о закупке</w:t>
            </w:r>
          </w:p>
        </w:tc>
        <w:tc>
          <w:tcPr>
            <w:tcW w:w="2609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lang w:val="ru-RU" w:eastAsia="ru-RU" w:bidi="ar-SA"/>
              </w:rPr>
            </w:r>
          </w:p>
        </w:tc>
      </w:tr>
      <w:tr>
        <w:trPr/>
        <w:tc>
          <w:tcPr>
            <w:tcW w:w="876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2"/>
                <w:numId w:val="6"/>
              </w:numPr>
              <w:suppressAutoHyphens w:val="true"/>
              <w:spacing w:before="60" w:after="60"/>
              <w:ind w:left="1072" w:hanging="1199"/>
              <w:contextualSpacing/>
              <w:jc w:val="left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8649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b w:val="false"/>
                <w:bCs w:val="false"/>
              </w:rPr>
            </w:pPr>
            <w:r>
              <w:rPr>
                <w:rFonts w:eastAsia="Calibri" w:cs="Times New Roman"/>
                <w:b w:val="false"/>
                <w:bCs w:val="false"/>
                <w:kern w:val="0"/>
                <w:sz w:val="24"/>
                <w:szCs w:val="24"/>
                <w:lang w:val="ru-RU" w:eastAsia="en-US" w:bidi="ar-SA"/>
              </w:rPr>
              <w:t>Исполнитель оказывает услуги по проведению предсменного, предрейсового и послесменного, послерейсового медицинского осмотра водителей круглосуточно. Время оказания услуг с 7:00 до 10:00 и с 18:00 до 21:00 является стандартным рабочим временем медицинского персонала. Вне указанного временного окна Исполнитель обязуется обеспечить прохождение медицинского осмотра водителей в течение 1 (одного) часа с момента их обращения.</w:t>
            </w:r>
          </w:p>
        </w:tc>
        <w:tc>
          <w:tcPr>
            <w:tcW w:w="3000" w:type="dxa"/>
            <w:vMerge w:val="continue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</w:r>
          </w:p>
        </w:tc>
        <w:tc>
          <w:tcPr>
            <w:tcW w:w="2609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876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2"/>
                <w:numId w:val="6"/>
              </w:numPr>
              <w:suppressAutoHyphens w:val="true"/>
              <w:spacing w:before="60" w:after="60"/>
              <w:ind w:left="1072" w:hanging="1199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8649" w:type="dxa"/>
            <w:tcBorders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993" w:leader="none"/>
              </w:tabs>
              <w:suppressAutoHyphens w:val="true"/>
              <w:spacing w:before="0" w:after="0"/>
              <w:contextualSpacing/>
              <w:jc w:val="both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Услуги по проведению предсменных, предрейсовых и послесменных, послерейсовых медицинских осмотров водителей должны проводиться на расстоянии </w:t>
            </w:r>
            <w:r>
              <w:rPr>
                <w:color w:val="000000"/>
                <w:sz w:val="24"/>
                <w:szCs w:val="24"/>
              </w:rPr>
              <w:t xml:space="preserve">не далее 5 км по дорогам общего пользования от фактического местонахождения водительского состава по адресу: </w:t>
            </w:r>
          </w:p>
          <w:p>
            <w:pPr>
              <w:pStyle w:val="15"/>
              <w:keepNext w:val="true"/>
              <w:widowControl w:val="false"/>
              <w:shd w:val="clear" w:color="auto" w:fill="FFFFFF" w:themeFill="background1"/>
              <w:suppressAutoHyphens w:val="true"/>
              <w:spacing w:beforeAutospacing="0" w:before="0" w:afterAutospacing="0" w:after="0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г. Москва, Волоколамское шоссе, дом 2.</w:t>
            </w:r>
          </w:p>
        </w:tc>
        <w:tc>
          <w:tcPr>
            <w:tcW w:w="3000" w:type="dxa"/>
            <w:vMerge w:val="continue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  <w:tc>
          <w:tcPr>
            <w:tcW w:w="2609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876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2"/>
                <w:numId w:val="6"/>
              </w:numPr>
              <w:suppressAutoHyphens w:val="true"/>
              <w:spacing w:before="60" w:after="60"/>
              <w:ind w:left="1072" w:hanging="1199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8649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 w:cs="Times New Roman"/>
                <w:kern w:val="0"/>
                <w:sz w:val="24"/>
                <w:szCs w:val="24"/>
                <w:lang w:val="ru-RU" w:eastAsia="en-US" w:bidi="ar-SA"/>
              </w:rPr>
              <w:t>Наличие стационарного кабинета, оборудованного согласно требований к кабинетам для проведения предсменных, предрейсовых и послесменных, послерейсовых медицинских осмотров.</w:t>
            </w:r>
          </w:p>
        </w:tc>
        <w:tc>
          <w:tcPr>
            <w:tcW w:w="3000" w:type="dxa"/>
            <w:vMerge w:val="continue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bCs/>
                <w:i/>
                <w:i/>
                <w:sz w:val="24"/>
                <w:szCs w:val="24"/>
              </w:rPr>
            </w:pPr>
            <w:r>
              <w:rPr>
                <w:bCs/>
                <w:i/>
                <w:sz w:val="24"/>
                <w:szCs w:val="24"/>
              </w:rPr>
            </w:r>
          </w:p>
        </w:tc>
        <w:tc>
          <w:tcPr>
            <w:tcW w:w="2609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ind w:firstLine="708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876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6"/>
              </w:numPr>
              <w:suppressAutoHyphens w:val="true"/>
              <w:spacing w:before="60" w:after="60"/>
              <w:ind w:left="-117" w:firstLine="142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8649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Требования к процедурам оказания услуг</w:t>
            </w:r>
          </w:p>
        </w:tc>
        <w:tc>
          <w:tcPr>
            <w:tcW w:w="3000" w:type="dxa"/>
            <w:vMerge w:val="continue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  <w:tc>
          <w:tcPr>
            <w:tcW w:w="2609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</w:tr>
      <w:tr>
        <w:trPr/>
        <w:tc>
          <w:tcPr>
            <w:tcW w:w="876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6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1.2.1</w:t>
            </w:r>
          </w:p>
        </w:tc>
        <w:tc>
          <w:tcPr>
            <w:tcW w:w="8649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0" w:after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Исполнитель обязан ежедневно вести журнал «Предсменного, предрейсового и послесменного, послерейсового медицинского осмотра водителей», а также ставить отметку в путевом листе осматриваемого водителя.</w:t>
            </w:r>
          </w:p>
        </w:tc>
        <w:tc>
          <w:tcPr>
            <w:tcW w:w="3000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  <w:tc>
          <w:tcPr>
            <w:tcW w:w="2609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ind w:firstLine="708"/>
              <w:jc w:val="left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lang w:val="ru-RU" w:eastAsia="ru-RU" w:bidi="ar-SA"/>
              </w:rPr>
            </w:r>
          </w:p>
        </w:tc>
      </w:tr>
      <w:tr>
        <w:trPr/>
        <w:tc>
          <w:tcPr>
            <w:tcW w:w="876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6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1.2.3</w:t>
            </w:r>
          </w:p>
        </w:tc>
        <w:tc>
          <w:tcPr>
            <w:tcW w:w="8649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lineRule="auto" w:line="240" w:before="60" w:after="0"/>
              <w:jc w:val="both"/>
              <w:rPr/>
            </w:pPr>
            <w:r>
              <w:rPr>
                <w:rFonts w:eastAsia="Calibri" w:cs="Times New Roman"/>
                <w:kern w:val="0"/>
                <w:sz w:val="24"/>
                <w:szCs w:val="24"/>
                <w:lang w:val="ru-RU" w:eastAsia="en-US" w:bidi="ar-SA"/>
              </w:rPr>
              <w:t>Журнал ведется на бумажном носителе (страницы которого должны быть прошнурованы, пронумерованы, скреплены печатью Исполнителя), или на электронном носителе с учетом требований законодательства о персональных данных и обязательной возможностью распечатки страницы. В случае ведения Журнала в электронном виде внесенные в него сведения заверяются усиленной квалифицированной электронной подписью, оформленной в соответствии с Федеральным законом от 06.04.2011 № 63-ФЗ «Об электронной подписи».</w:t>
            </w:r>
          </w:p>
        </w:tc>
        <w:tc>
          <w:tcPr>
            <w:tcW w:w="3000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Cs/>
                <w:i/>
                <w:i/>
                <w:sz w:val="24"/>
                <w:szCs w:val="24"/>
              </w:rPr>
            </w:pPr>
            <w:r>
              <w:rPr>
                <w:bCs/>
                <w:i/>
                <w:sz w:val="24"/>
                <w:szCs w:val="24"/>
              </w:rPr>
            </w:r>
          </w:p>
        </w:tc>
        <w:tc>
          <w:tcPr>
            <w:tcW w:w="2609" w:type="dxa"/>
            <w:tcBorders/>
          </w:tcPr>
          <w:p>
            <w:pPr>
              <w:pStyle w:val="Style27"/>
              <w:keepNext w:val="false"/>
              <w:widowControl w:val="false"/>
              <w:numPr>
                <w:ilvl w:val="0"/>
                <w:numId w:val="0"/>
              </w:numPr>
              <w:suppressAutoHyphens w:val="true"/>
              <w:spacing w:before="0" w:after="60"/>
              <w:ind w:left="0" w:hanging="0"/>
              <w:jc w:val="left"/>
              <w:outlineLvl w:val="2"/>
              <w:rPr>
                <w:rFonts w:eastAsia="Times New Roman"/>
                <w:b w:val="false"/>
                <w:lang w:val="ru-RU" w:eastAsia="ru-RU"/>
              </w:rPr>
            </w:pPr>
            <w:r>
              <w:rPr>
                <w:rFonts w:eastAsia="Times New Roman" w:cs="Times New Roman"/>
                <w:b w:val="false"/>
                <w:kern w:val="0"/>
                <w:sz w:val="20"/>
                <w:szCs w:val="20"/>
                <w:lang w:val="ru-RU" w:eastAsia="ru-RU" w:bidi="ar-SA"/>
              </w:rPr>
            </w:r>
          </w:p>
        </w:tc>
      </w:tr>
      <w:tr>
        <w:trPr/>
        <w:tc>
          <w:tcPr>
            <w:tcW w:w="876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6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1.2.3.</w:t>
            </w:r>
          </w:p>
        </w:tc>
        <w:tc>
          <w:tcPr>
            <w:tcW w:w="8649" w:type="dxa"/>
            <w:tcBorders/>
          </w:tcPr>
          <w:p>
            <w:pPr>
              <w:pStyle w:val="ListParagraph"/>
              <w:widowControl w:val="false"/>
              <w:suppressAutoHyphens w:val="true"/>
              <w:spacing w:lineRule="auto" w:line="240" w:before="0" w:after="0"/>
              <w:ind w:left="0" w:hanging="0"/>
              <w:contextualSpacing/>
              <w:jc w:val="both"/>
              <w:rPr/>
            </w:pPr>
            <w:r>
              <w:rPr>
                <w:rFonts w:cs="Times New Roman"/>
                <w:kern w:val="0"/>
                <w:lang w:val="ru-RU" w:eastAsia="ru-RU" w:bidi="ar-SA"/>
              </w:rPr>
              <w:t>При наличии оснований для отстранения от работы по состоянию здоровья: наличие симптомов острого заболевания или обострения хронического заболевания (повышение температуры тела свыше 37°С, жалобы на плохое самочувствие, общую слабость, головную боль и зубную боль, острые заболевания глаз, боли в области уха, грудной или брюшной полости и т.п.), водитель ТС Заказчика направляется в медицинскую организацию или иную организацию, осуществляющую медицинскую деятельность для решения вопроса о наличии у него признаков временной нетрудоспособности  и (или) оказания первичной медико-санитарной помощи.</w:t>
            </w:r>
          </w:p>
        </w:tc>
        <w:tc>
          <w:tcPr>
            <w:tcW w:w="3000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609" w:type="dxa"/>
            <w:tcBorders/>
          </w:tcPr>
          <w:p>
            <w:pPr>
              <w:pStyle w:val="Style27"/>
              <w:keepNext w:val="false"/>
              <w:widowControl w:val="false"/>
              <w:numPr>
                <w:ilvl w:val="0"/>
                <w:numId w:val="0"/>
              </w:numPr>
              <w:suppressAutoHyphens w:val="true"/>
              <w:spacing w:before="0" w:after="60"/>
              <w:ind w:left="0" w:hanging="0"/>
              <w:jc w:val="left"/>
              <w:outlineLvl w:val="2"/>
              <w:rPr>
                <w:rFonts w:eastAsia="Times New Roman"/>
                <w:b w:val="false"/>
                <w:lang w:val="ru-RU" w:eastAsia="ru-RU"/>
              </w:rPr>
            </w:pPr>
            <w:r>
              <w:rPr>
                <w:rFonts w:eastAsia="Times New Roman" w:cs="Times New Roman"/>
                <w:b w:val="false"/>
                <w:kern w:val="0"/>
                <w:sz w:val="20"/>
                <w:szCs w:val="20"/>
                <w:lang w:val="ru-RU" w:eastAsia="ru-RU" w:bidi="ar-SA"/>
              </w:rPr>
            </w:r>
          </w:p>
        </w:tc>
      </w:tr>
      <w:tr>
        <w:trPr/>
        <w:tc>
          <w:tcPr>
            <w:tcW w:w="876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6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1.2.4.</w:t>
            </w:r>
          </w:p>
        </w:tc>
        <w:tc>
          <w:tcPr>
            <w:tcW w:w="8649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709" w:leader="none"/>
              </w:tabs>
              <w:suppressAutoHyphens w:val="true"/>
              <w:spacing w:lineRule="auto" w:line="240" w:before="0" w:after="0"/>
              <w:jc w:val="both"/>
              <w:rPr/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Если во время проведения предсменного, предрейсового и послесменного, послерейсового медицинского осмотра у водителя ТС Заказчика выявляются признаки состояния, препятствующего выполнению трудовых обязанностей, в том числе алкогольного, наркотического или иного токсического опьянения и (или) остаточных явлений такого опьянения: отклонения в работе сердечно-сосудистой системы (артериальное давление и иные), характерные изменения окраски кожных покровов, слизистых глаз, склер, узкие или широкие зрачки (неадекватные освещению), слабая или отсутствующая реакция зрачков на свет, а также отклонения в поведении, нарушение походки и речи, тремор пальцев рук, век, запах алкоголя изо рта, а также в случае отказа водителя ТС Заказчика от прохождения предсменного, предрейсового и послесменного, послерейсового медицинского осмотра, медицинский работник Исполнителя обязан не допустить водителя ТС Заказчика к исполнению трудовых обязанностей и осуществить необходимые действия в соответствии с Порядком и Методическими рекомендациями.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709" w:leader="none"/>
              </w:tabs>
              <w:suppressAutoHyphens w:val="true"/>
              <w:spacing w:lineRule="auto" w:line="240" w:before="0" w:after="0"/>
              <w:jc w:val="both"/>
              <w:rPr/>
            </w:pPr>
            <w:r>
              <w:rPr>
                <w:rFonts w:eastAsia="Times New Roman" w:cs="Times New Roman"/>
                <w:bCs/>
                <w:kern w:val="0"/>
                <w:sz w:val="24"/>
                <w:szCs w:val="24"/>
                <w:lang w:val="ru-RU" w:eastAsia="ru-RU" w:bidi="ar-SA"/>
              </w:rPr>
              <w:t xml:space="preserve">Медицинский работник Исполнителя </w:t>
            </w: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обязан незамедлительно посредством телефонной связи, а также в письменном виде уведомить должностное лицо Заказчика, если при проведении предсменного, предрейсового и послесменного, послерейсового медицинского осмотра у водителя ТС Заказчика были выявлены отклонения в состоянии здоровья, препятствующие управлению транспортным средством или, существуют медицинские причины отстранения водителя Заказчика от управления транспортным средством.</w:t>
            </w:r>
          </w:p>
        </w:tc>
        <w:tc>
          <w:tcPr>
            <w:tcW w:w="3000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Cs/>
                <w:i/>
                <w:i/>
                <w:sz w:val="24"/>
                <w:szCs w:val="24"/>
              </w:rPr>
            </w:pPr>
            <w:r>
              <w:rPr>
                <w:bCs/>
                <w:i/>
                <w:sz w:val="24"/>
                <w:szCs w:val="24"/>
              </w:rPr>
            </w:r>
          </w:p>
        </w:tc>
        <w:tc>
          <w:tcPr>
            <w:tcW w:w="2609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b/>
              </w:rPr>
            </w:pPr>
            <w:r>
              <w:rPr>
                <w:b/>
              </w:rPr>
            </w:r>
          </w:p>
        </w:tc>
      </w:tr>
      <w:tr>
        <w:trPr/>
        <w:tc>
          <w:tcPr>
            <w:tcW w:w="876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6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1.2.5</w:t>
            </w:r>
          </w:p>
        </w:tc>
        <w:tc>
          <w:tcPr>
            <w:tcW w:w="8649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709" w:leader="none"/>
              </w:tabs>
              <w:suppressAutoHyphens w:val="true"/>
              <w:spacing w:lineRule="auto" w:line="259" w:before="0" w:after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Медицинский работник Исполнителя несет дисциплинарную, а в случаях, предусмотренных законодательством, и иную ответственность за качество проведенного предрейсового, предсменного / послерейсового, послесменного медицинского осмотра и выдачу заключения о допуске водителей ТС Заказчика к управлению транспортными средствами.</w:t>
            </w:r>
          </w:p>
        </w:tc>
        <w:tc>
          <w:tcPr>
            <w:tcW w:w="3000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Cs/>
                <w:i/>
                <w:i/>
                <w:sz w:val="24"/>
                <w:szCs w:val="24"/>
              </w:rPr>
            </w:pPr>
            <w:r>
              <w:rPr>
                <w:bCs/>
                <w:i/>
                <w:sz w:val="24"/>
                <w:szCs w:val="24"/>
              </w:rPr>
            </w:r>
          </w:p>
        </w:tc>
        <w:tc>
          <w:tcPr>
            <w:tcW w:w="2609" w:type="dxa"/>
            <w:tcBorders/>
          </w:tcPr>
          <w:p>
            <w:pPr>
              <w:pStyle w:val="Style27"/>
              <w:keepNext w:val="false"/>
              <w:widowControl w:val="false"/>
              <w:numPr>
                <w:ilvl w:val="0"/>
                <w:numId w:val="0"/>
              </w:numPr>
              <w:suppressAutoHyphens w:val="true"/>
              <w:spacing w:before="0" w:after="60"/>
              <w:ind w:left="0" w:hanging="0"/>
              <w:jc w:val="left"/>
              <w:outlineLvl w:val="2"/>
              <w:rPr>
                <w:rFonts w:eastAsia="Times New Roman"/>
                <w:b w:val="false"/>
                <w:lang w:val="ru-RU" w:eastAsia="ru-RU"/>
              </w:rPr>
            </w:pPr>
            <w:r>
              <w:rPr>
                <w:rFonts w:eastAsia="Times New Roman" w:cs="Times New Roman"/>
                <w:b w:val="false"/>
                <w:kern w:val="0"/>
                <w:sz w:val="20"/>
                <w:szCs w:val="20"/>
                <w:lang w:val="ru-RU" w:eastAsia="ru-RU" w:bidi="ar-SA"/>
              </w:rPr>
            </w:r>
          </w:p>
        </w:tc>
      </w:tr>
      <w:tr>
        <w:trPr/>
        <w:tc>
          <w:tcPr>
            <w:tcW w:w="876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6"/>
              </w:numPr>
              <w:suppressAutoHyphens w:val="true"/>
              <w:spacing w:before="60" w:after="60"/>
              <w:ind w:left="-117" w:firstLine="142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8649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0"/>
              <w:jc w:val="left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Требования к применяемым при оказании услуг оборудованию и материалам</w:t>
            </w:r>
          </w:p>
        </w:tc>
        <w:tc>
          <w:tcPr>
            <w:tcW w:w="3000" w:type="dxa"/>
            <w:vMerge w:val="continue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  <w:tc>
          <w:tcPr>
            <w:tcW w:w="2609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</w:tr>
      <w:tr>
        <w:trPr/>
        <w:tc>
          <w:tcPr>
            <w:tcW w:w="876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6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1.3.1</w:t>
            </w:r>
          </w:p>
        </w:tc>
        <w:tc>
          <w:tcPr>
            <w:tcW w:w="8649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 w:cs="Times New Roman"/>
                <w:bCs/>
                <w:kern w:val="0"/>
                <w:sz w:val="24"/>
                <w:szCs w:val="24"/>
                <w:lang w:val="ru-RU" w:eastAsia="en-US" w:bidi="ar-SA"/>
              </w:rPr>
              <w:t>Для оказания услуг Исполнитель использует своё медицинское оборудование, инструментарий для проведения обследований и процедур, штамп.</w:t>
            </w:r>
            <w:r>
              <w:rPr>
                <w:rFonts w:eastAsia="Calibri" w:cs="Times New Roman"/>
                <w:kern w:val="0"/>
                <w:sz w:val="24"/>
                <w:szCs w:val="24"/>
                <w:lang w:val="ru-RU" w:eastAsia="en-US" w:bidi="ar-SA"/>
              </w:rPr>
              <w:t xml:space="preserve"> Услуги должны быть оказаны своевременно, надлежащего качества, в полном объеме, соответствовать стандартам, которые устанавливают обязательные требования к качеству данного вида услуг.</w:t>
            </w:r>
          </w:p>
        </w:tc>
        <w:tc>
          <w:tcPr>
            <w:tcW w:w="3000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  <w:tc>
          <w:tcPr>
            <w:tcW w:w="2609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6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876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6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1.3.2.</w:t>
            </w:r>
          </w:p>
        </w:tc>
        <w:tc>
          <w:tcPr>
            <w:tcW w:w="8649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 w:cs="Times New Roman"/>
                <w:kern w:val="0"/>
                <w:sz w:val="24"/>
                <w:szCs w:val="24"/>
                <w:lang w:val="ru-RU" w:eastAsia="en-US" w:bidi="ar-SA"/>
              </w:rPr>
              <w:t>Услуги должны оказываться способом, не причиняющим вреда здоровью, при оказании услуг должен использоваться  не просроченный расходный материал.</w:t>
            </w:r>
          </w:p>
        </w:tc>
        <w:tc>
          <w:tcPr>
            <w:tcW w:w="3000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609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</w:tbl>
    <w:p>
      <w:pPr>
        <w:sectPr>
          <w:headerReference w:type="default" r:id="rId6"/>
          <w:headerReference w:type="first" r:id="rId7"/>
          <w:type w:val="nextPage"/>
          <w:pgSz w:orient="landscape" w:w="16838" w:h="11906"/>
          <w:pgMar w:left="992" w:right="567" w:gutter="0" w:header="680" w:top="851" w:footer="0" w:bottom="851"/>
          <w:pgNumType w:fmt="decimal"/>
          <w:formProt w:val="false"/>
          <w:titlePg/>
          <w:textDirection w:val="lrTb"/>
          <w:docGrid w:type="default" w:linePitch="381" w:charSpace="0"/>
        </w:sectPr>
      </w:pPr>
    </w:p>
    <w:p>
      <w:pPr>
        <w:pStyle w:val="Heading1"/>
        <w:keepLines/>
        <w:numPr>
          <w:ilvl w:val="0"/>
          <w:numId w:val="3"/>
        </w:numPr>
        <w:ind w:left="357" w:hanging="357"/>
        <w:jc w:val="center"/>
        <w:rPr>
          <w:sz w:val="24"/>
          <w:szCs w:val="24"/>
          <w:lang w:val="ru-RU"/>
        </w:rPr>
      </w:pPr>
      <w:bookmarkStart w:id="29" w:name="_Toc54643710"/>
      <w:bookmarkStart w:id="30" w:name="_Toc53393312"/>
      <w:bookmarkStart w:id="31" w:name="_Toc53395937"/>
      <w:r>
        <w:rPr>
          <w:sz w:val="24"/>
          <w:szCs w:val="24"/>
          <w:lang w:val="ru-RU"/>
        </w:rPr>
        <w:t>Требования к документации по ценообразованию</w:t>
      </w:r>
      <w:bookmarkEnd w:id="30"/>
      <w:bookmarkEnd w:id="31"/>
      <w:r>
        <w:rPr>
          <w:sz w:val="24"/>
          <w:szCs w:val="24"/>
          <w:lang w:val="ru-RU"/>
        </w:rPr>
        <w:t xml:space="preserve"> на этапе закупки</w:t>
      </w:r>
      <w:bookmarkEnd w:id="29"/>
    </w:p>
    <w:p>
      <w:pPr>
        <w:pStyle w:val="Heading4"/>
        <w:numPr>
          <w:ilvl w:val="1"/>
          <w:numId w:val="3"/>
        </w:numPr>
        <w:jc w:val="both"/>
        <w:rPr>
          <w:b w:val="false"/>
        </w:rPr>
      </w:pPr>
      <w:r>
        <w:rPr>
          <w:b w:val="false"/>
        </w:rPr>
        <w:t xml:space="preserve">В стоимость услуг входят затраты Исполнителя, связанные с оказанием Услуг, в том числе налоги, сборы, пошлины и другие обязательные платежи, расходы на содержание, эксплуатацию, и прочие расходы, которые Исполнитель оплачивает в соответствии с условиями Договора или на иных основаниях. Цены остаются фиксированными и не подлежат изменению с момента заключения Договора. </w:t>
      </w:r>
    </w:p>
    <w:p>
      <w:pPr>
        <w:pStyle w:val="Heading4"/>
        <w:numPr>
          <w:ilvl w:val="1"/>
          <w:numId w:val="3"/>
        </w:numPr>
        <w:jc w:val="both"/>
        <w:rPr>
          <w:b w:val="false"/>
        </w:rPr>
      </w:pPr>
      <w:r>
        <w:rPr>
          <w:b w:val="false"/>
        </w:rPr>
        <w:t>Расчет стоимости услуг должен быть представлен по форме Приложения № 1 к настоящим техническим требованиям.</w:t>
      </w:r>
    </w:p>
    <w:p>
      <w:pPr>
        <w:pStyle w:val="Normal"/>
        <w:jc w:val="both"/>
        <w:rPr>
          <w:b w:val="false"/>
        </w:rPr>
      </w:pPr>
      <w:r>
        <w:rPr>
          <w:b w:val="false"/>
        </w:rPr>
      </w:r>
    </w:p>
    <w:p>
      <w:pPr>
        <w:pStyle w:val="Heading1"/>
        <w:numPr>
          <w:ilvl w:val="0"/>
          <w:numId w:val="3"/>
        </w:numPr>
        <w:rPr>
          <w:lang w:val="ru-RU"/>
        </w:rPr>
      </w:pPr>
      <w:r>
        <w:rPr>
          <w:lang w:val="ru-RU"/>
        </w:rPr>
        <w:t>Приложения</w:t>
      </w:r>
    </w:p>
    <w:p>
      <w:pPr>
        <w:pStyle w:val="Normal"/>
        <w:jc w:val="both"/>
        <w:rPr>
          <w:b w:val="false"/>
          <w:bCs w:val="false"/>
          <w:i w:val="false"/>
          <w:i w:val="false"/>
          <w:iCs w:val="false"/>
        </w:rPr>
      </w:pPr>
      <w:bookmarkStart w:id="32" w:name="_Toc46743519"/>
      <w:bookmarkStart w:id="33" w:name="_Toc51339699"/>
      <w:r>
        <w:rPr>
          <w:b w:val="false"/>
          <w:bCs w:val="false"/>
          <w:i w:val="false"/>
          <w:iCs w:val="false"/>
          <w:sz w:val="24"/>
          <w:lang w:eastAsia="x-none"/>
        </w:rPr>
        <w:t xml:space="preserve">Приложение №1: </w:t>
      </w:r>
      <w:bookmarkEnd w:id="32"/>
      <w:bookmarkEnd w:id="33"/>
      <w:r>
        <w:rPr>
          <w:b w:val="false"/>
          <w:bCs w:val="false"/>
          <w:i w:val="false"/>
          <w:iCs w:val="false"/>
          <w:sz w:val="24"/>
          <w:szCs w:val="24"/>
          <w:lang w:eastAsia="x-none"/>
        </w:rPr>
        <w:t>Сводная таблица стоимости расценок</w:t>
      </w:r>
    </w:p>
    <w:p>
      <w:pPr>
        <w:pStyle w:val="Normal"/>
        <w:spacing w:before="240" w:after="0"/>
        <w:rPr>
          <w:sz w:val="24"/>
          <w:szCs w:val="24"/>
          <w:lang w:eastAsia="x-none"/>
        </w:rPr>
      </w:pPr>
      <w:r>
        <w:rPr>
          <w:sz w:val="24"/>
          <w:szCs w:val="24"/>
          <w:lang w:eastAsia="x-none"/>
        </w:rPr>
      </w:r>
    </w:p>
    <w:p>
      <w:pPr>
        <w:pStyle w:val="Normal"/>
        <w:spacing w:before="240" w:after="0"/>
        <w:rPr>
          <w:sz w:val="24"/>
          <w:szCs w:val="24"/>
          <w:lang w:eastAsia="x-none"/>
        </w:rPr>
      </w:pPr>
      <w:r>
        <w:rPr>
          <w:sz w:val="24"/>
          <w:szCs w:val="24"/>
          <w:lang w:eastAsia="x-none"/>
        </w:rPr>
      </w:r>
    </w:p>
    <w:p>
      <w:pPr>
        <w:pStyle w:val="Normal"/>
        <w:spacing w:before="240" w:after="0"/>
        <w:rPr>
          <w:sz w:val="24"/>
          <w:szCs w:val="24"/>
          <w:lang w:eastAsia="x-none"/>
        </w:rPr>
      </w:pPr>
      <w:r>
        <w:rPr>
          <w:sz w:val="24"/>
          <w:szCs w:val="24"/>
          <w:lang w:eastAsia="x-none"/>
        </w:rPr>
        <w:t>Руководитель</w:t>
      </w:r>
    </w:p>
    <w:p>
      <w:pPr>
        <w:pStyle w:val="Normal"/>
        <w:rPr>
          <w:sz w:val="24"/>
          <w:szCs w:val="24"/>
          <w:lang w:eastAsia="x-none"/>
        </w:rPr>
      </w:pPr>
      <w:r>
        <w:rPr>
          <w:sz w:val="24"/>
          <w:szCs w:val="24"/>
          <w:lang w:eastAsia="x-none"/>
        </w:rPr>
        <w:t>Московского представительства</w:t>
      </w:r>
    </w:p>
    <w:p>
      <w:pPr>
        <w:pStyle w:val="Normal"/>
        <w:rPr>
          <w:sz w:val="24"/>
          <w:szCs w:val="24"/>
          <w:lang w:eastAsia="x-none"/>
        </w:rPr>
      </w:pPr>
      <w:r>
        <w:rPr>
          <w:sz w:val="24"/>
          <w:szCs w:val="24"/>
          <w:lang w:eastAsia="x-none"/>
        </w:rPr>
        <w:t xml:space="preserve">Центрального филиала АО «ТК РусГидро» </w:t>
        <w:tab/>
        <w:tab/>
        <w:tab/>
        <w:tab/>
        <w:tab/>
        <w:t>И.Е. Емельянов</w:t>
      </w:r>
    </w:p>
    <w:p>
      <w:pPr>
        <w:pStyle w:val="Normal"/>
        <w:rPr>
          <w:sz w:val="24"/>
          <w:szCs w:val="24"/>
          <w:lang w:eastAsia="x-none"/>
        </w:rPr>
      </w:pPr>
      <w:r>
        <w:rPr>
          <w:sz w:val="24"/>
          <w:szCs w:val="24"/>
          <w:lang w:eastAsia="x-none"/>
        </w:rPr>
      </w:r>
    </w:p>
    <w:p>
      <w:pPr>
        <w:pStyle w:val="Normal"/>
        <w:rPr>
          <w:sz w:val="24"/>
          <w:szCs w:val="24"/>
          <w:lang w:eastAsia="x-none"/>
        </w:rPr>
      </w:pPr>
      <w:r>
        <w:rPr>
          <w:sz w:val="24"/>
          <w:szCs w:val="24"/>
          <w:lang w:eastAsia="x-none"/>
        </w:rPr>
      </w:r>
    </w:p>
    <w:p>
      <w:pPr>
        <w:pStyle w:val="Normal"/>
        <w:rPr>
          <w:sz w:val="24"/>
          <w:szCs w:val="24"/>
          <w:lang w:eastAsia="x-none"/>
        </w:rPr>
      </w:pPr>
      <w:r>
        <w:rPr>
          <w:sz w:val="24"/>
          <w:szCs w:val="24"/>
          <w:lang w:eastAsia="x-none"/>
        </w:rPr>
        <w:t xml:space="preserve">Руководитель Группы охраны труда </w:t>
      </w:r>
    </w:p>
    <w:p>
      <w:pPr>
        <w:sectPr>
          <w:headerReference w:type="default" r:id="rId8"/>
          <w:headerReference w:type="first" r:id="rId9"/>
          <w:type w:val="nextPage"/>
          <w:pgSz w:w="11906" w:h="16838"/>
          <w:pgMar w:left="1134" w:right="566" w:gutter="0" w:header="680" w:top="1134" w:footer="0" w:bottom="992"/>
          <w:pgNumType w:fmt="decimal"/>
          <w:formProt w:val="false"/>
          <w:textDirection w:val="lrTb"/>
          <w:docGrid w:type="default" w:linePitch="381" w:charSpace="0"/>
        </w:sectPr>
        <w:pStyle w:val="Normal"/>
        <w:rPr>
          <w:sz w:val="24"/>
          <w:szCs w:val="24"/>
          <w:lang w:eastAsia="x-none"/>
        </w:rPr>
      </w:pPr>
      <w:r>
        <w:rPr>
          <w:sz w:val="24"/>
          <w:szCs w:val="24"/>
          <w:lang w:eastAsia="x-none"/>
        </w:rPr>
        <w:t xml:space="preserve">и техники безопасности </w:t>
        <w:br/>
        <w:t>Центрального филиала АО «ТК РусГидро»</w:t>
        <w:tab/>
        <w:tab/>
        <w:tab/>
        <w:tab/>
        <w:tab/>
        <w:t>А.А. Дворецкова</w:t>
      </w:r>
    </w:p>
    <w:p>
      <w:pPr>
        <w:pStyle w:val="Normal"/>
        <w:jc w:val="right"/>
        <w:rPr>
          <w:b/>
          <w:bCs/>
          <w:sz w:val="24"/>
          <w:szCs w:val="24"/>
          <w:lang w:eastAsia="x-none"/>
        </w:rPr>
      </w:pPr>
      <w:r>
        <w:rPr>
          <w:b/>
          <w:bCs/>
          <w:sz w:val="24"/>
          <w:szCs w:val="24"/>
          <w:lang w:eastAsia="x-none"/>
        </w:rPr>
        <w:t>Приложение № 1 к Техническим Требованиям</w:t>
      </w:r>
    </w:p>
    <w:p>
      <w:pPr>
        <w:pStyle w:val="Normal"/>
        <w:rPr>
          <w:b/>
          <w:sz w:val="24"/>
          <w:szCs w:val="24"/>
          <w:lang w:eastAsia="x-none"/>
        </w:rPr>
      </w:pPr>
      <w:r>
        <w:rPr>
          <w:b/>
          <w:sz w:val="24"/>
          <w:szCs w:val="24"/>
          <w:lang w:eastAsia="x-none"/>
        </w:rPr>
      </w:r>
    </w:p>
    <w:p>
      <w:pPr>
        <w:pStyle w:val="Normal"/>
        <w:jc w:val="center"/>
        <w:rPr>
          <w:b/>
          <w:sz w:val="24"/>
          <w:szCs w:val="24"/>
          <w:lang w:eastAsia="x-none"/>
        </w:rPr>
      </w:pPr>
      <w:r>
        <w:rPr>
          <w:b/>
          <w:sz w:val="24"/>
          <w:szCs w:val="24"/>
          <w:lang w:eastAsia="x-none"/>
        </w:rPr>
        <w:t>Сводная таблица стоимости расценок</w:t>
      </w:r>
    </w:p>
    <w:p>
      <w:pPr>
        <w:pStyle w:val="Normal"/>
        <w:rPr>
          <w:sz w:val="24"/>
          <w:szCs w:val="24"/>
          <w:lang w:eastAsia="x-none"/>
        </w:rPr>
      </w:pPr>
      <w:r>
        <w:rPr>
          <w:sz w:val="24"/>
          <w:szCs w:val="24"/>
          <w:lang w:eastAsia="x-none"/>
        </w:rPr>
      </w:r>
    </w:p>
    <w:tbl>
      <w:tblPr>
        <w:tblW w:w="14973" w:type="dxa"/>
        <w:jc w:val="left"/>
        <w:tblInd w:w="-289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noVBand="1" w:val="04a0" w:noHBand="0" w:lastColumn="0" w:firstColumn="1" w:lastRow="0" w:firstRow="1"/>
      </w:tblPr>
      <w:tblGrid>
        <w:gridCol w:w="805"/>
        <w:gridCol w:w="3896"/>
        <w:gridCol w:w="1069"/>
        <w:gridCol w:w="2138"/>
        <w:gridCol w:w="1283"/>
        <w:gridCol w:w="2380"/>
        <w:gridCol w:w="1506"/>
        <w:gridCol w:w="1894"/>
      </w:tblGrid>
      <w:tr>
        <w:trPr>
          <w:trHeight w:val="1169" w:hRule="atLeast"/>
        </w:trPr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  <w:lang w:eastAsia="x-none"/>
              </w:rPr>
            </w:pPr>
            <w:r>
              <w:rPr>
                <w:sz w:val="24"/>
                <w:szCs w:val="24"/>
                <w:lang w:eastAsia="x-none"/>
              </w:rPr>
              <w:t>п/п</w:t>
            </w:r>
          </w:p>
        </w:tc>
        <w:tc>
          <w:tcPr>
            <w:tcW w:w="3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  <w:lang w:eastAsia="x-none"/>
              </w:rPr>
            </w:pPr>
            <w:r>
              <w:rPr>
                <w:sz w:val="24"/>
                <w:szCs w:val="24"/>
                <w:lang w:eastAsia="x-none"/>
              </w:rPr>
              <w:t>Вид работ</w:t>
            </w:r>
          </w:p>
        </w:tc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  <w:lang w:eastAsia="x-none"/>
              </w:rPr>
            </w:pPr>
            <w:r>
              <w:rPr>
                <w:sz w:val="24"/>
                <w:szCs w:val="24"/>
                <w:lang w:eastAsia="x-none"/>
              </w:rPr>
              <w:t>Ед. изм.</w:t>
            </w:r>
          </w:p>
        </w:tc>
        <w:tc>
          <w:tcPr>
            <w:tcW w:w="2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i/>
                <w:i/>
                <w:sz w:val="24"/>
                <w:szCs w:val="24"/>
                <w:lang w:eastAsia="x-none"/>
              </w:rPr>
            </w:pPr>
            <w:r>
              <w:rPr>
                <w:sz w:val="24"/>
                <w:szCs w:val="24"/>
                <w:lang w:eastAsia="x-none"/>
              </w:rPr>
              <w:t>Стоимость единицы услуги, руб. без НДС</w:t>
            </w: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  <w:lang w:eastAsia="x-none"/>
              </w:rPr>
            </w:pPr>
            <w:r>
              <w:rPr>
                <w:sz w:val="24"/>
                <w:szCs w:val="24"/>
                <w:lang w:eastAsia="x-none"/>
              </w:rPr>
              <w:t>НДС, %</w:t>
            </w: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  <w:lang w:eastAsia="x-none"/>
              </w:rPr>
            </w:pPr>
            <w:r>
              <w:rPr>
                <w:sz w:val="24"/>
                <w:szCs w:val="24"/>
                <w:lang w:eastAsia="x-none"/>
              </w:rPr>
              <w:t>Стоимость единицы услуги, руб. с НДС</w:t>
            </w: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  <w:lang w:eastAsia="x-none"/>
              </w:rPr>
            </w:pPr>
            <w:r>
              <w:rPr>
                <w:sz w:val="24"/>
                <w:szCs w:val="24"/>
                <w:lang w:eastAsia="x-none"/>
              </w:rPr>
              <w:t>Кол-во</w:t>
            </w:r>
          </w:p>
        </w:tc>
        <w:tc>
          <w:tcPr>
            <w:tcW w:w="1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  <w:lang w:eastAsia="x-none"/>
              </w:rPr>
            </w:pPr>
            <w:r>
              <w:rPr>
                <w:sz w:val="24"/>
                <w:szCs w:val="24"/>
                <w:lang w:eastAsia="x-none"/>
              </w:rPr>
              <w:t>Итоговая стоимость руб. с НДС</w:t>
            </w:r>
          </w:p>
        </w:tc>
      </w:tr>
      <w:tr>
        <w:trPr>
          <w:trHeight w:val="224" w:hRule="atLeast"/>
        </w:trPr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  <w:lang w:eastAsia="x-none"/>
              </w:rPr>
            </w:pPr>
            <w:r>
              <w:rPr>
                <w:sz w:val="24"/>
                <w:szCs w:val="24"/>
                <w:lang w:eastAsia="x-none"/>
              </w:rPr>
              <w:t>1.</w:t>
            </w:r>
          </w:p>
        </w:tc>
        <w:tc>
          <w:tcPr>
            <w:tcW w:w="3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  <w:lang w:eastAsia="x-none"/>
              </w:rPr>
            </w:pPr>
            <w:r>
              <w:rPr>
                <w:sz w:val="24"/>
                <w:szCs w:val="24"/>
                <w:lang w:eastAsia="x-none"/>
              </w:rPr>
              <w:t>2</w:t>
            </w:r>
          </w:p>
        </w:tc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  <w:lang w:eastAsia="x-none"/>
              </w:rPr>
            </w:pPr>
            <w:r>
              <w:rPr>
                <w:sz w:val="24"/>
                <w:szCs w:val="24"/>
                <w:lang w:eastAsia="x-none"/>
              </w:rPr>
              <w:t>3</w:t>
            </w:r>
          </w:p>
        </w:tc>
        <w:tc>
          <w:tcPr>
            <w:tcW w:w="2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  <w:lang w:eastAsia="x-none"/>
              </w:rPr>
            </w:pPr>
            <w:r>
              <w:rPr>
                <w:sz w:val="24"/>
                <w:szCs w:val="24"/>
                <w:lang w:eastAsia="x-none"/>
              </w:rPr>
              <w:t>4</w:t>
            </w: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  <w:lang w:eastAsia="x-none"/>
              </w:rPr>
            </w:pPr>
            <w:r>
              <w:rPr>
                <w:sz w:val="24"/>
                <w:szCs w:val="24"/>
                <w:lang w:eastAsia="x-none"/>
              </w:rPr>
              <w:t>5</w:t>
            </w: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  <w:lang w:eastAsia="x-none"/>
              </w:rPr>
            </w:pPr>
            <w:r>
              <w:rPr>
                <w:sz w:val="24"/>
                <w:szCs w:val="24"/>
                <w:lang w:eastAsia="x-none"/>
              </w:rPr>
              <w:t>6</w:t>
            </w: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  <w:lang w:eastAsia="x-none"/>
              </w:rPr>
            </w:pPr>
            <w:r>
              <w:rPr>
                <w:sz w:val="24"/>
                <w:szCs w:val="24"/>
                <w:lang w:eastAsia="x-none"/>
              </w:rPr>
              <w:t>7</w:t>
            </w:r>
          </w:p>
        </w:tc>
        <w:tc>
          <w:tcPr>
            <w:tcW w:w="1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  <w:lang w:eastAsia="x-none"/>
              </w:rPr>
            </w:pPr>
            <w:r>
              <w:rPr>
                <w:sz w:val="24"/>
                <w:szCs w:val="24"/>
                <w:lang w:eastAsia="x-none"/>
              </w:rPr>
              <w:t>8</w:t>
            </w:r>
          </w:p>
        </w:tc>
      </w:tr>
      <w:tr>
        <w:trPr>
          <w:trHeight w:val="936" w:hRule="atLeast"/>
        </w:trPr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  <w:lang w:eastAsia="x-none"/>
              </w:rPr>
            </w:pPr>
            <w:r>
              <w:rPr>
                <w:sz w:val="24"/>
                <w:szCs w:val="24"/>
                <w:lang w:eastAsia="x-none"/>
              </w:rPr>
              <w:t>1.</w:t>
            </w:r>
          </w:p>
        </w:tc>
        <w:tc>
          <w:tcPr>
            <w:tcW w:w="3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  <w:lang w:eastAsia="x-none"/>
              </w:rPr>
            </w:pPr>
            <w:r>
              <w:rPr>
                <w:sz w:val="24"/>
                <w:szCs w:val="24"/>
                <w:lang w:eastAsia="x-none"/>
              </w:rPr>
              <w:t>Предсменный, предрейсовый медицинский осмотр водителей</w:t>
            </w:r>
          </w:p>
        </w:tc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  <w:lang w:eastAsia="x-none"/>
              </w:rPr>
            </w:pPr>
            <w:r>
              <w:rPr>
                <w:sz w:val="24"/>
                <w:szCs w:val="24"/>
                <w:lang w:eastAsia="x-none"/>
              </w:rPr>
              <w:t>осмотр</w:t>
            </w:r>
          </w:p>
        </w:tc>
        <w:tc>
          <w:tcPr>
            <w:tcW w:w="2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  <w:lang w:eastAsia="x-none"/>
              </w:rPr>
            </w:pPr>
            <w:r>
              <w:rPr>
                <w:sz w:val="24"/>
                <w:szCs w:val="24"/>
                <w:lang w:eastAsia="x-none"/>
              </w:rPr>
            </w:r>
          </w:p>
          <w:p>
            <w:pPr>
              <w:pStyle w:val="Normal"/>
              <w:widowControl w:val="false"/>
              <w:jc w:val="center"/>
              <w:rPr>
                <w:sz w:val="24"/>
                <w:szCs w:val="24"/>
                <w:lang w:eastAsia="x-none"/>
              </w:rPr>
            </w:pPr>
            <w:r>
              <w:rPr>
                <w:sz w:val="24"/>
                <w:szCs w:val="24"/>
                <w:lang w:eastAsia="x-none"/>
              </w:rPr>
            </w: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  <w:lang w:eastAsia="x-none"/>
              </w:rPr>
            </w:pPr>
            <w:r>
              <w:rPr>
                <w:sz w:val="24"/>
                <w:szCs w:val="24"/>
                <w:lang w:eastAsia="x-none"/>
              </w:rPr>
              <w:t>22</w:t>
            </w: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  <w:lang w:eastAsia="x-none"/>
              </w:rPr>
            </w:pPr>
            <w:r>
              <w:rPr>
                <w:sz w:val="24"/>
                <w:szCs w:val="24"/>
                <w:lang w:eastAsia="x-none"/>
              </w:rPr>
            </w:r>
          </w:p>
          <w:p>
            <w:pPr>
              <w:pStyle w:val="Normal"/>
              <w:widowControl w:val="false"/>
              <w:jc w:val="center"/>
              <w:rPr>
                <w:sz w:val="24"/>
                <w:szCs w:val="24"/>
                <w:lang w:eastAsia="x-none"/>
              </w:rPr>
            </w:pPr>
            <w:r>
              <w:rPr>
                <w:sz w:val="24"/>
                <w:szCs w:val="24"/>
                <w:lang w:eastAsia="x-none"/>
              </w:rPr>
            </w: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highlight w:val="none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  <w:lang w:eastAsia="x-none"/>
              </w:rPr>
              <w:t>7 073</w:t>
            </w:r>
          </w:p>
        </w:tc>
        <w:tc>
          <w:tcPr>
            <w:tcW w:w="1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  <w:lang w:eastAsia="x-none"/>
              </w:rPr>
            </w:pPr>
            <w:r>
              <w:rPr>
                <w:sz w:val="24"/>
                <w:szCs w:val="24"/>
                <w:lang w:eastAsia="x-none"/>
              </w:rPr>
            </w:r>
          </w:p>
          <w:p>
            <w:pPr>
              <w:pStyle w:val="Normal"/>
              <w:widowControl w:val="false"/>
              <w:rPr>
                <w:sz w:val="24"/>
                <w:szCs w:val="24"/>
                <w:lang w:eastAsia="x-none"/>
              </w:rPr>
            </w:pPr>
            <w:r>
              <w:rPr>
                <w:sz w:val="24"/>
                <w:szCs w:val="24"/>
                <w:lang w:eastAsia="x-none"/>
              </w:rPr>
            </w:r>
          </w:p>
        </w:tc>
      </w:tr>
      <w:tr>
        <w:trPr>
          <w:trHeight w:val="936" w:hRule="atLeast"/>
        </w:trPr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  <w:lang w:eastAsia="x-none"/>
              </w:rPr>
            </w:pPr>
            <w:r>
              <w:rPr>
                <w:sz w:val="24"/>
                <w:szCs w:val="24"/>
                <w:lang w:eastAsia="x-none"/>
              </w:rPr>
              <w:t>2.</w:t>
            </w:r>
          </w:p>
        </w:tc>
        <w:tc>
          <w:tcPr>
            <w:tcW w:w="3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  <w:lang w:eastAsia="x-none"/>
              </w:rPr>
            </w:pPr>
            <w:r>
              <w:rPr>
                <w:sz w:val="24"/>
                <w:szCs w:val="24"/>
                <w:lang w:eastAsia="x-none"/>
              </w:rPr>
              <w:t>Послесменный, послерейсовый медицинский осмотр водителей</w:t>
            </w:r>
          </w:p>
        </w:tc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  <w:lang w:eastAsia="x-none"/>
              </w:rPr>
            </w:pPr>
            <w:r>
              <w:rPr>
                <w:sz w:val="24"/>
                <w:szCs w:val="24"/>
                <w:lang w:eastAsia="x-none"/>
              </w:rPr>
              <w:t>осмотр</w:t>
            </w:r>
          </w:p>
        </w:tc>
        <w:tc>
          <w:tcPr>
            <w:tcW w:w="2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  <w:lang w:eastAsia="x-none"/>
              </w:rPr>
            </w:pPr>
            <w:r>
              <w:rPr>
                <w:sz w:val="24"/>
                <w:szCs w:val="24"/>
                <w:lang w:eastAsia="x-none"/>
              </w:rPr>
            </w: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  <w:lang w:eastAsia="x-none"/>
              </w:rPr>
            </w:pPr>
            <w:r>
              <w:rPr>
                <w:sz w:val="24"/>
                <w:szCs w:val="24"/>
                <w:lang w:eastAsia="x-none"/>
              </w:rPr>
              <w:t>22</w:t>
            </w: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  <w:lang w:eastAsia="x-none"/>
              </w:rPr>
            </w:pPr>
            <w:r>
              <w:rPr>
                <w:sz w:val="24"/>
                <w:szCs w:val="24"/>
                <w:lang w:eastAsia="x-none"/>
              </w:rPr>
            </w: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highlight w:val="none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  <w:lang w:eastAsia="x-none"/>
              </w:rPr>
              <w:t>7 073</w:t>
            </w:r>
          </w:p>
        </w:tc>
        <w:tc>
          <w:tcPr>
            <w:tcW w:w="1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  <w:lang w:eastAsia="x-none"/>
              </w:rPr>
            </w:pPr>
            <w:r>
              <w:rPr>
                <w:sz w:val="24"/>
                <w:szCs w:val="24"/>
                <w:lang w:eastAsia="x-none"/>
              </w:rPr>
            </w:r>
          </w:p>
        </w:tc>
      </w:tr>
      <w:tr>
        <w:trPr>
          <w:trHeight w:val="468" w:hRule="atLeast"/>
        </w:trPr>
        <w:tc>
          <w:tcPr>
            <w:tcW w:w="1307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  <w:lang w:eastAsia="x-none"/>
              </w:rPr>
            </w:pPr>
            <w:r>
              <w:rPr>
                <w:sz w:val="24"/>
                <w:szCs w:val="24"/>
                <w:lang w:eastAsia="x-none"/>
              </w:rPr>
              <w:t>Итого с НДС (22 %)</w:t>
            </w:r>
          </w:p>
        </w:tc>
        <w:tc>
          <w:tcPr>
            <w:tcW w:w="1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  <w:lang w:eastAsia="x-none"/>
              </w:rPr>
            </w:pPr>
            <w:r>
              <w:rPr>
                <w:sz w:val="24"/>
                <w:szCs w:val="24"/>
                <w:lang w:eastAsia="x-none"/>
              </w:rPr>
            </w:r>
          </w:p>
          <w:p>
            <w:pPr>
              <w:pStyle w:val="Normal"/>
              <w:widowControl w:val="false"/>
              <w:rPr>
                <w:sz w:val="24"/>
                <w:szCs w:val="24"/>
                <w:lang w:eastAsia="x-none"/>
              </w:rPr>
            </w:pPr>
            <w:r>
              <w:rPr>
                <w:sz w:val="24"/>
                <w:szCs w:val="24"/>
                <w:lang w:eastAsia="x-none"/>
              </w:rPr>
            </w:r>
          </w:p>
        </w:tc>
      </w:tr>
      <w:tr>
        <w:trPr>
          <w:trHeight w:val="457" w:hRule="atLeast"/>
        </w:trPr>
        <w:tc>
          <w:tcPr>
            <w:tcW w:w="1307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  <w:lang w:eastAsia="x-none"/>
              </w:rPr>
            </w:pPr>
            <w:r>
              <w:rPr>
                <w:sz w:val="24"/>
                <w:szCs w:val="24"/>
                <w:lang w:eastAsia="x-none"/>
              </w:rPr>
              <w:t>В том числе НДС (22 %)</w:t>
            </w:r>
          </w:p>
        </w:tc>
        <w:tc>
          <w:tcPr>
            <w:tcW w:w="1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  <w:lang w:eastAsia="x-none"/>
              </w:rPr>
            </w:pPr>
            <w:r>
              <w:rPr>
                <w:sz w:val="24"/>
                <w:szCs w:val="24"/>
                <w:lang w:eastAsia="x-none"/>
              </w:rPr>
            </w:r>
          </w:p>
          <w:p>
            <w:pPr>
              <w:pStyle w:val="Normal"/>
              <w:widowControl w:val="false"/>
              <w:rPr>
                <w:sz w:val="24"/>
                <w:szCs w:val="24"/>
                <w:lang w:eastAsia="x-none"/>
              </w:rPr>
            </w:pPr>
            <w:r>
              <w:rPr>
                <w:sz w:val="24"/>
                <w:szCs w:val="24"/>
                <w:lang w:eastAsia="x-none"/>
              </w:rPr>
            </w:r>
          </w:p>
        </w:tc>
      </w:tr>
    </w:tbl>
    <w:p>
      <w:pPr>
        <w:pStyle w:val="Normal"/>
        <w:rPr>
          <w:sz w:val="24"/>
          <w:szCs w:val="24"/>
          <w:lang w:eastAsia="x-none"/>
        </w:rPr>
      </w:pPr>
      <w:r>
        <w:rPr/>
      </w:r>
    </w:p>
    <w:sectPr>
      <w:headerReference w:type="default" r:id="rId10"/>
      <w:headerReference w:type="first" r:id="rId11"/>
      <w:type w:val="nextPage"/>
      <w:pgSz w:orient="landscape" w:w="16838" w:h="11906"/>
      <w:pgMar w:left="992" w:right="1134" w:gutter="0" w:header="680" w:top="1134" w:footer="0" w:bottom="851"/>
      <w:pgNumType w:fmt="decimal"/>
      <w:formProt w:val="false"/>
      <w:titlePg/>
      <w:textDirection w:val="lrTb"/>
      <w:docGrid w:type="default" w:linePitch="381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mbria">
    <w:charset w:val="01"/>
    <w:family w:val="roman"/>
    <w:pitch w:val="variable"/>
  </w:font>
  <w:font w:name="Arial">
    <w:charset w:val="01"/>
    <w:family w:val="roman"/>
    <w:pitch w:val="variable"/>
  </w:font>
  <w:font w:name="Calibr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Tahoma">
    <w:charset w:val="01"/>
    <w:family w:val="roman"/>
    <w:pitch w:val="variable"/>
  </w:font>
  <w:font w:name="Arial Unicode MS">
    <w:charset w:val="01"/>
    <w:family w:val="roman"/>
    <w:pitch w:val="variable"/>
  </w:font>
  <w:font w:name="Verdana">
    <w:charset w:val="01"/>
    <w:family w:val="roman"/>
    <w:pitch w:val="variable"/>
  </w:font>
  <w:font w:name="Garamond">
    <w:charset w:val="01"/>
    <w:family w:val="roman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default"/>
  </w:font>
  <w:font w:name="Symbol">
    <w:charset w:val="02"/>
    <w:family w:val="auto"/>
    <w:pitch w:val="default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</w:r>
  </w:p>
</w:hdr>
</file>

<file path=word/header10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0" allowOverlap="1" relativeHeight="2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1" name="Врезка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760" cy="147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Header"/>
                            <w:rPr>
                              <w:rStyle w:val="Pagenumber"/>
                            </w:rPr>
                          </w:pPr>
                          <w:r>
                            <w:rPr>
                              <w:rStyle w:val="Pagenumber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t>0</w: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Врезка1" path="m0,0l-2147483645,0l-2147483645,-2147483646l0,-2147483646xe" stroked="f" o:allowincell="f" style="position:absolute;margin-left:0pt;margin-top:0.05pt;width:1.1pt;height:1.1pt;mso-wrap-style:square;v-text-anchor:top;mso-position-horizontal:center;mso-position-horizontal-relative:margin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Header"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  <w:color w:val="000000"/>
                      </w:rPr>
                      <w:fldChar w:fldCharType="begin"/>
                    </w:r>
                    <w:r>
                      <w:rPr>
                        <w:rStyle w:val="Pagenumber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Pagenumber"/>
                        <w:color w:val="000000"/>
                      </w:rPr>
                      <w:fldChar w:fldCharType="separate"/>
                    </w:r>
                    <w:r>
                      <w:rPr>
                        <w:rStyle w:val="Pagenumber"/>
                        <w:color w:val="000000"/>
                      </w:rPr>
                      <w:t>0</w:t>
                    </w:r>
                    <w:r>
                      <w:rPr>
                        <w:rStyle w:val="Pagenumber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5</w:t>
    </w:r>
    <w:r>
      <w:rPr/>
      <w:fldChar w:fldCharType="end"/>
    </w:r>
  </w:p>
</w:hdr>
</file>

<file path=word/header4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5</w:t>
    </w:r>
    <w:r>
      <w:rPr/>
      <w:fldChar w:fldCharType="end"/>
    </w:r>
  </w:p>
</w:hdr>
</file>

<file path=word/header5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8</w:t>
    </w:r>
    <w:r>
      <w:rPr/>
      <w:fldChar w:fldCharType="end"/>
    </w:r>
  </w:p>
</w:hdr>
</file>

<file path=word/header6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</w:r>
  </w:p>
</w:hdr>
</file>

<file path=word/header7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</w:r>
  </w:p>
</w:hdr>
</file>

<file path=word/header8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hdr>
</file>

<file path=word/header9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0</w:t>
    </w:r>
    <w:r>
      <w:rPr/>
      <w:fldChar w:fldCharType="end"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/>
    </w:lvl>
    <w:lvl w:ilvl="1">
      <w:start w:val="1"/>
      <w:numFmt w:val="decimal"/>
      <w:lvlText w:val="%1.%2."/>
      <w:lvlJc w:val="left"/>
      <w:pPr>
        <w:tabs>
          <w:tab w:val="num" w:pos="357"/>
        </w:tabs>
        <w:ind w:left="0" w:hanging="0"/>
      </w:pPr>
      <w:rPr/>
    </w:lvl>
    <w:lvl w:ilvl="2">
      <w:start w:val="1"/>
      <w:numFmt w:val="decimal"/>
      <w:lvlText w:val="%1.%2.%3."/>
      <w:lvlJc w:val="left"/>
      <w:pPr>
        <w:tabs>
          <w:tab w:val="num" w:pos="357"/>
        </w:tabs>
        <w:ind w:left="0" w:hanging="0"/>
      </w:pPr>
      <w:rPr/>
    </w:lvl>
    <w:lvl w:ilvl="3">
      <w:start w:val="1"/>
      <w:numFmt w:val="decimal"/>
      <w:lvlText w:val="%1.%2.%3.%4."/>
      <w:lvlJc w:val="left"/>
      <w:pPr>
        <w:tabs>
          <w:tab w:val="num" w:pos="357"/>
        </w:tabs>
        <w:ind w:left="0" w:hanging="0"/>
      </w:pPr>
      <w:rPr/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0" w:hanging="0"/>
      </w:pPr>
      <w:rPr/>
    </w:lvl>
    <w:lvl w:ilvl="5">
      <w:start w:val="1"/>
      <w:numFmt w:val="decimal"/>
      <w:lvlText w:val="%1.%2.%3.%4.%5.%6."/>
      <w:lvlJc w:val="left"/>
      <w:pPr>
        <w:tabs>
          <w:tab w:val="num" w:pos="357"/>
        </w:tabs>
        <w:ind w:left="0" w:hanging="0"/>
      </w:pPr>
      <w:rPr/>
    </w:lvl>
    <w:lvl w:ilvl="6">
      <w:start w:val="1"/>
      <w:numFmt w:val="decimal"/>
      <w:lvlText w:val="%1.%2.%3.%4.%5.%6.%7."/>
      <w:lvlJc w:val="left"/>
      <w:pPr>
        <w:tabs>
          <w:tab w:val="num" w:pos="357"/>
        </w:tabs>
        <w:ind w:left="0" w:hanging="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357"/>
        </w:tabs>
        <w:ind w:left="0" w:hanging="0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357"/>
        </w:tabs>
        <w:ind w:left="0" w:hanging="0"/>
      </w:pPr>
      <w:rPr/>
    </w:lvl>
  </w:abstractNum>
  <w:abstractNum w:abstractNumId="2">
    <w:lvl w:ilvl="0">
      <w:start w:val="4"/>
      <w:numFmt w:val="bullet"/>
      <w:lvlText w:val="-"/>
      <w:lvlJc w:val="left"/>
      <w:pPr>
        <w:tabs>
          <w:tab w:val="num" w:pos="0"/>
        </w:tabs>
        <w:ind w:left="-207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513"/>
        </w:tabs>
        <w:ind w:left="513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233"/>
        </w:tabs>
        <w:ind w:left="1233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1953"/>
        </w:tabs>
        <w:ind w:left="1953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2673"/>
        </w:tabs>
        <w:ind w:left="2673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393"/>
        </w:tabs>
        <w:ind w:left="3393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4113"/>
        </w:tabs>
        <w:ind w:left="4113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4833"/>
        </w:tabs>
        <w:ind w:left="4833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5553"/>
        </w:tabs>
        <w:ind w:left="5553" w:hanging="360"/>
      </w:pPr>
      <w:rPr>
        <w:rFonts w:ascii="Wingdings" w:hAnsi="Wingdings" w:cs="Wingdings" w:hint="default"/>
      </w:rPr>
    </w:lvl>
  </w:abstractNum>
  <w:abstractNum w:abstractNumId="3">
    <w:lvl w:ilvl="0">
      <w:start w:val="1"/>
      <w:numFmt w:val="decimal"/>
      <w:lvlText w:val="%1."/>
      <w:lvlJc w:val="left"/>
      <w:pPr>
        <w:tabs>
          <w:tab w:val="num" w:pos="0"/>
        </w:tabs>
        <w:ind w:left="5038" w:hanging="360"/>
      </w:pPr>
      <w:rPr>
        <w:smallCaps w:val="false"/>
        <w:caps w:val="false"/>
        <w:dstrike w:val="false"/>
        <w:strike w:val="false"/>
        <w:vertAlign w:val="baseline"/>
        <w:position w:val="0"/>
        <w:sz w:val="28"/>
        <w:sz w:val="28"/>
        <w:spacing w:val="0"/>
        <w:i w:val="false"/>
        <w:u w:val="none"/>
        <w:b/>
        <w:kern w:val="0"/>
        <w:effect w:val="none"/>
        <w:szCs w:val="28"/>
        <w:iCs w:val="false"/>
        <w:bCs w:val="false"/>
        <w:em w:val="none"/>
        <w:vanish w:val="false"/>
        <w:rFonts w:ascii="Times New Roman" w:hAnsi="Times New Roman" w:cs="Times New Roman"/>
        <w:color w:val="00000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432" w:hanging="432"/>
      </w:pPr>
      <w:rPr>
        <w:sz w:val="24"/>
        <w:i w:val="false"/>
        <w:b/>
        <w:szCs w:val="24"/>
        <w:iCs/>
        <w:bCs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/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4">
    <w:lvl w:ilvl="0">
      <w:start w:val="1"/>
      <w:numFmt w:val="decimal"/>
      <w:lvlText w:val="%1."/>
      <w:lvlJc w:val="left"/>
      <w:pPr>
        <w:tabs>
          <w:tab w:val="num" w:pos="0"/>
        </w:tabs>
        <w:ind w:left="1134" w:hanging="1134"/>
      </w:pPr>
      <w:rPr/>
    </w:lvl>
    <w:lvl w:ilvl="1">
      <w:start w:val="1"/>
      <w:numFmt w:val="decimal"/>
      <w:lvlText w:val="%1.%2."/>
      <w:lvlJc w:val="left"/>
      <w:pPr>
        <w:tabs>
          <w:tab w:val="num" w:pos="0"/>
        </w:tabs>
        <w:ind w:left="1134" w:hanging="1134"/>
      </w:pPr>
      <w:rPr/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134" w:hanging="1134"/>
      </w:pPr>
      <w:rPr/>
    </w:lvl>
    <w:lvl w:ilvl="3">
      <w:start w:val="1"/>
      <w:numFmt w:val="russianLower"/>
      <w:lvlText w:val="(%4)"/>
      <w:lvlJc w:val="left"/>
      <w:pPr>
        <w:tabs>
          <w:tab w:val="num" w:pos="0"/>
        </w:tabs>
        <w:ind w:left="1985" w:hanging="567"/>
      </w:pPr>
      <w:rPr/>
    </w:lvl>
    <w:lvl w:ilvl="4">
      <w:start w:val="1"/>
      <w:numFmt w:val="bullet"/>
      <w:lvlText w:val="–"/>
      <w:lvlJc w:val="left"/>
      <w:pPr>
        <w:tabs>
          <w:tab w:val="num" w:pos="0"/>
        </w:tabs>
        <w:ind w:left="2268" w:hanging="567"/>
      </w:pPr>
      <w:rPr>
        <w:rFonts w:ascii="Times New Roman" w:hAnsi="Times New Roman" w:cs="Times New Roman" w:hint="default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34" w:hanging="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701" w:hanging="0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134" w:hanging="0"/>
      </w:pPr>
      <w:rPr/>
    </w:lvl>
  </w:abstractNum>
  <w:abstractNum w:abstractNumId="5">
    <w:lvl w:ilvl="0">
      <w:start w:val="1"/>
      <w:numFmt w:val="decimal"/>
      <w:lvlText w:val="1.%1"/>
      <w:lvlJc w:val="left"/>
      <w:pPr>
        <w:tabs>
          <w:tab w:val="num" w:pos="0"/>
        </w:tabs>
        <w:ind w:left="1429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2149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869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3589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4309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5029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749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6469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7189" w:hanging="180"/>
      </w:pPr>
      <w:rPr/>
    </w:lvl>
  </w:abstractNum>
  <w:abstractNum w:abstractNumId="6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sz w:val="24"/>
        <w:b/>
        <w:szCs w:val="24"/>
        <w:bCs w:val="false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sz w:val="24"/>
        <w:b w:val="false"/>
        <w:szCs w:val="24"/>
        <w:bCs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72" w:hanging="504"/>
      </w:pPr>
      <w:rPr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7">
    <w:lvl w:ilvl="0">
      <w:start w:val="1"/>
      <w:numFmt w:val="decimal"/>
      <w:lvlText w:val="%1."/>
      <w:lvlJc w:val="left"/>
      <w:pPr>
        <w:tabs>
          <w:tab w:val="num" w:pos="0"/>
        </w:tabs>
        <w:ind w:left="5038" w:hanging="360"/>
      </w:pPr>
      <w:rPr>
        <w:smallCaps w:val="false"/>
        <w:caps w:val="false"/>
        <w:dstrike w:val="false"/>
        <w:strike w:val="false"/>
        <w:vertAlign w:val="baseline"/>
        <w:position w:val="0"/>
        <w:sz w:val="28"/>
        <w:sz w:val="28"/>
        <w:spacing w:val="0"/>
        <w:i w:val="false"/>
        <w:u w:val="none"/>
        <w:b/>
        <w:kern w:val="0"/>
        <w:effect w:val="none"/>
        <w:szCs w:val="28"/>
        <w:iCs w:val="false"/>
        <w:bCs w:val="false"/>
        <w:em w:val="none"/>
        <w:vanish w:val="false"/>
        <w:rFonts w:ascii="Times New Roman" w:hAnsi="Times New Roman" w:cs="Times New Roman"/>
        <w:color w:val="00000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432" w:hanging="432"/>
      </w:pPr>
      <w:rPr>
        <w:sz w:val="24"/>
        <w:i w:val="false"/>
        <w:b/>
        <w:szCs w:val="24"/>
        <w:iCs/>
        <w:bCs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/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8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3"/>
    <w:lvlOverride w:ilvl="0">
      <w:startOverride w:val="1"/>
    </w:lvlOverride>
    <w:lvlOverride w:ilvl="1">
      <w:startOverride w:val="3"/>
    </w:lvlOverride>
  </w:num>
</w:numbering>
</file>

<file path=word/settings.xml><?xml version="1.0" encoding="utf-8"?>
<w:settings xmlns:w="http://schemas.openxmlformats.org/wordprocessingml/2006/main">
  <w:zoom w:percent="9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ru-RU" w:eastAsia="zh-TW" w:bidi="ar-SA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99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table of authorities" w:semiHidden="1" w:unhideWhenUsed="1"/>
    <w:lsdException w:name="macro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99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uiPriority="99" w:semiHidden="1" w:unhideWhenUsed="1"/>
    <w:lsdException w:name="HTML Top of Form" w:semiHidden="1" w:unhideWhenUsed="1"/>
    <w:lsdException w:name="HTML Bottom of Form" w:semiHidden="1" w:unhideWhenUsed="1"/>
    <w:lsdException w:name="Normal (Web)" w:uiPriority="99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uiPriority="99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a2166f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8"/>
      <w:szCs w:val="28"/>
      <w:lang w:val="ru-RU" w:eastAsia="ru-RU" w:bidi="ar-SA"/>
    </w:rPr>
  </w:style>
  <w:style w:type="paragraph" w:styleId="Heading1">
    <w:name w:val="Heading 1"/>
    <w:basedOn w:val="Heading3"/>
    <w:next w:val="Normal"/>
    <w:link w:val="1"/>
    <w:qFormat/>
    <w:rsid w:val="00353a27"/>
    <w:pPr>
      <w:numPr>
        <w:ilvl w:val="0"/>
      </w:numPr>
      <w:outlineLvl w:val="0"/>
    </w:pPr>
    <w:rPr>
      <w:sz w:val="28"/>
      <w:szCs w:val="28"/>
    </w:rPr>
  </w:style>
  <w:style w:type="paragraph" w:styleId="Heading2">
    <w:name w:val="Heading 2"/>
    <w:basedOn w:val="Heading4"/>
    <w:next w:val="Normal"/>
    <w:link w:val="2"/>
    <w:qFormat/>
    <w:rsid w:val="00ea61a8"/>
    <w:pPr>
      <w:outlineLvl w:val="1"/>
    </w:pPr>
    <w:rPr/>
  </w:style>
  <w:style w:type="paragraph" w:styleId="Heading3">
    <w:name w:val="Heading 3"/>
    <w:basedOn w:val="Normal"/>
    <w:next w:val="Normal"/>
    <w:link w:val="3"/>
    <w:autoRedefine/>
    <w:qFormat/>
    <w:rsid w:val="00035e96"/>
    <w:pPr>
      <w:keepNext w:val="true"/>
      <w:numPr>
        <w:ilvl w:val="2"/>
        <w:numId w:val="3"/>
      </w:numPr>
      <w:spacing w:before="120" w:after="60"/>
      <w:outlineLvl w:val="2"/>
    </w:pPr>
    <w:rPr>
      <w:rFonts w:eastAsia="Calibri"/>
      <w:b/>
      <w:sz w:val="24"/>
      <w:szCs w:val="24"/>
      <w:lang w:val="x-none" w:eastAsia="x-none"/>
    </w:rPr>
  </w:style>
  <w:style w:type="paragraph" w:styleId="Heading4">
    <w:name w:val="Heading 4"/>
    <w:basedOn w:val="Heading3"/>
    <w:next w:val="Normal"/>
    <w:link w:val="4"/>
    <w:qFormat/>
    <w:rsid w:val="006629c9"/>
    <w:pPr>
      <w:numPr>
        <w:ilvl w:val="1"/>
      </w:numPr>
      <w:outlineLvl w:val="3"/>
    </w:pPr>
    <w:rPr>
      <w:bCs/>
    </w:rPr>
  </w:style>
  <w:style w:type="paragraph" w:styleId="Heading5">
    <w:name w:val="Heading 5"/>
    <w:basedOn w:val="Normal"/>
    <w:next w:val="Normal"/>
    <w:link w:val="5"/>
    <w:uiPriority w:val="9"/>
    <w:qFormat/>
    <w:rsid w:val="0076353a"/>
    <w:pPr>
      <w:spacing w:before="240" w:after="60"/>
      <w:outlineLvl w:val="4"/>
    </w:pPr>
    <w:rPr>
      <w:b/>
      <w:bCs/>
      <w:i/>
      <w:iCs/>
      <w:sz w:val="26"/>
      <w:szCs w:val="26"/>
      <w:lang w:val="x-none" w:eastAsia="x-none"/>
    </w:rPr>
  </w:style>
  <w:style w:type="paragraph" w:styleId="Heading6">
    <w:name w:val="Heading 6"/>
    <w:basedOn w:val="Normal"/>
    <w:next w:val="Normal"/>
    <w:link w:val="6"/>
    <w:uiPriority w:val="9"/>
    <w:qFormat/>
    <w:rsid w:val="00d22f6d"/>
    <w:pPr>
      <w:keepNext w:val="true"/>
      <w:keepLines/>
      <w:spacing w:before="200" w:after="0"/>
      <w:outlineLvl w:val="5"/>
    </w:pPr>
    <w:rPr>
      <w:rFonts w:ascii="Cambria" w:hAnsi="Cambria"/>
      <w:i/>
      <w:iCs/>
      <w:color w:val="243F60"/>
      <w:sz w:val="20"/>
      <w:szCs w:val="20"/>
      <w:lang w:val="x-none" w:eastAsia="x-none"/>
    </w:rPr>
  </w:style>
  <w:style w:type="paragraph" w:styleId="Heading7">
    <w:name w:val="Heading 7"/>
    <w:basedOn w:val="Normal"/>
    <w:next w:val="Normal"/>
    <w:link w:val="7"/>
    <w:uiPriority w:val="9"/>
    <w:qFormat/>
    <w:rsid w:val="00d22f6d"/>
    <w:pPr>
      <w:keepNext w:val="true"/>
      <w:keepLines/>
      <w:spacing w:before="200" w:after="0"/>
      <w:outlineLvl w:val="6"/>
    </w:pPr>
    <w:rPr>
      <w:rFonts w:ascii="Cambria" w:hAnsi="Cambria"/>
      <w:i/>
      <w:iCs/>
      <w:color w:val="404040"/>
      <w:sz w:val="20"/>
      <w:szCs w:val="20"/>
      <w:lang w:val="x-none" w:eastAsia="x-none"/>
    </w:rPr>
  </w:style>
  <w:style w:type="paragraph" w:styleId="Heading8">
    <w:name w:val="Heading 8"/>
    <w:basedOn w:val="Normal"/>
    <w:next w:val="Normal"/>
    <w:link w:val="8"/>
    <w:uiPriority w:val="9"/>
    <w:qFormat/>
    <w:rsid w:val="00d22f6d"/>
    <w:pPr>
      <w:keepNext w:val="true"/>
      <w:keepLines/>
      <w:spacing w:before="200" w:after="0"/>
      <w:outlineLvl w:val="7"/>
    </w:pPr>
    <w:rPr>
      <w:rFonts w:ascii="Cambria" w:hAnsi="Cambria"/>
      <w:color w:val="4F81BD"/>
      <w:sz w:val="20"/>
      <w:szCs w:val="20"/>
      <w:lang w:val="x-none" w:eastAsia="x-none"/>
    </w:rPr>
  </w:style>
  <w:style w:type="paragraph" w:styleId="Heading9">
    <w:name w:val="Heading 9"/>
    <w:basedOn w:val="Normal"/>
    <w:next w:val="Normal"/>
    <w:link w:val="9"/>
    <w:uiPriority w:val="9"/>
    <w:qFormat/>
    <w:rsid w:val="0076353a"/>
    <w:pPr>
      <w:spacing w:before="240" w:after="60"/>
      <w:outlineLvl w:val="8"/>
    </w:pPr>
    <w:rPr>
      <w:rFonts w:ascii="Arial" w:hAnsi="Arial"/>
      <w:sz w:val="22"/>
      <w:szCs w:val="22"/>
      <w:lang w:val="x-none" w:eastAsia="x-none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">
    <w:name w:val="Символ сноски"/>
    <w:qFormat/>
    <w:rsid w:val="00d561d9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Pagenumber">
    <w:name w:val="page number"/>
    <w:basedOn w:val="DefaultParagraphFont"/>
    <w:qFormat/>
    <w:rsid w:val="006c2f3f"/>
    <w:rPr/>
  </w:style>
  <w:style w:type="character" w:styleId="Hyperlink">
    <w:name w:val="Hyperlink"/>
    <w:uiPriority w:val="99"/>
    <w:rsid w:val="006c2f3f"/>
    <w:rPr>
      <w:color w:val="0000FF"/>
      <w:u w:val="single"/>
    </w:rPr>
  </w:style>
  <w:style w:type="character" w:styleId="Annotationreference">
    <w:name w:val="annotation reference"/>
    <w:semiHidden/>
    <w:qFormat/>
    <w:rsid w:val="00b714b0"/>
    <w:rPr>
      <w:sz w:val="16"/>
      <w:szCs w:val="16"/>
    </w:rPr>
  </w:style>
  <w:style w:type="character" w:styleId="Strong">
    <w:name w:val="Strong"/>
    <w:uiPriority w:val="22"/>
    <w:qFormat/>
    <w:rsid w:val="00165965"/>
    <w:rPr>
      <w:b/>
      <w:bCs/>
    </w:rPr>
  </w:style>
  <w:style w:type="character" w:styleId="6" w:customStyle="1">
    <w:name w:val="Заголовок 6 Знак"/>
    <w:uiPriority w:val="9"/>
    <w:qFormat/>
    <w:rsid w:val="00d22f6d"/>
    <w:rPr>
      <w:rFonts w:ascii="Cambria" w:hAnsi="Cambria"/>
      <w:i/>
      <w:iCs/>
      <w:color w:val="243F60"/>
      <w:lang w:val="x-none" w:eastAsia="x-none"/>
    </w:rPr>
  </w:style>
  <w:style w:type="character" w:styleId="7" w:customStyle="1">
    <w:name w:val="Заголовок 7 Знак"/>
    <w:uiPriority w:val="9"/>
    <w:qFormat/>
    <w:rsid w:val="00d22f6d"/>
    <w:rPr>
      <w:rFonts w:ascii="Cambria" w:hAnsi="Cambria"/>
      <w:i/>
      <w:iCs/>
      <w:color w:val="404040"/>
      <w:lang w:val="x-none" w:eastAsia="x-none"/>
    </w:rPr>
  </w:style>
  <w:style w:type="character" w:styleId="8" w:customStyle="1">
    <w:name w:val="Заголовок 8 Знак"/>
    <w:uiPriority w:val="9"/>
    <w:qFormat/>
    <w:rsid w:val="00d22f6d"/>
    <w:rPr>
      <w:rFonts w:ascii="Cambria" w:hAnsi="Cambria"/>
      <w:color w:val="4F81BD"/>
      <w:lang w:val="x-none" w:eastAsia="x-none"/>
    </w:rPr>
  </w:style>
  <w:style w:type="character" w:styleId="1" w:customStyle="1">
    <w:name w:val="Заголовок 1 Знак"/>
    <w:qFormat/>
    <w:rsid w:val="00353a27"/>
    <w:rPr>
      <w:rFonts w:eastAsia="Calibri"/>
      <w:b/>
      <w:sz w:val="28"/>
      <w:szCs w:val="28"/>
      <w:lang w:val="x-none" w:eastAsia="x-none"/>
    </w:rPr>
  </w:style>
  <w:style w:type="character" w:styleId="2" w:customStyle="1">
    <w:name w:val="Заголовок 2 Знак"/>
    <w:qFormat/>
    <w:rsid w:val="00ea61a8"/>
    <w:rPr>
      <w:rFonts w:eastAsia="Calibri"/>
      <w:b/>
      <w:bCs/>
      <w:sz w:val="24"/>
      <w:szCs w:val="24"/>
      <w:lang w:val="x-none" w:eastAsia="x-none"/>
    </w:rPr>
  </w:style>
  <w:style w:type="character" w:styleId="3" w:customStyle="1">
    <w:name w:val="Заголовок 3 Знак"/>
    <w:qFormat/>
    <w:rsid w:val="00035e96"/>
    <w:rPr>
      <w:rFonts w:eastAsia="Calibri"/>
      <w:b/>
      <w:sz w:val="24"/>
      <w:szCs w:val="24"/>
      <w:lang w:val="x-none" w:eastAsia="x-none"/>
    </w:rPr>
  </w:style>
  <w:style w:type="character" w:styleId="4" w:customStyle="1">
    <w:name w:val="Заголовок 4 Знак"/>
    <w:qFormat/>
    <w:rsid w:val="006629c9"/>
    <w:rPr>
      <w:rFonts w:eastAsia="Calibri"/>
      <w:b/>
      <w:bCs/>
      <w:sz w:val="24"/>
      <w:szCs w:val="24"/>
      <w:lang w:val="x-none" w:eastAsia="x-none"/>
    </w:rPr>
  </w:style>
  <w:style w:type="character" w:styleId="5" w:customStyle="1">
    <w:name w:val="Заголовок 5 Знак"/>
    <w:uiPriority w:val="9"/>
    <w:qFormat/>
    <w:rsid w:val="00d22f6d"/>
    <w:rPr>
      <w:b/>
      <w:bCs/>
      <w:i/>
      <w:iCs/>
      <w:sz w:val="26"/>
      <w:szCs w:val="26"/>
    </w:rPr>
  </w:style>
  <w:style w:type="character" w:styleId="9" w:customStyle="1">
    <w:name w:val="Заголовок 9 Знак"/>
    <w:uiPriority w:val="9"/>
    <w:qFormat/>
    <w:rsid w:val="00d22f6d"/>
    <w:rPr>
      <w:rFonts w:ascii="Arial" w:hAnsi="Arial" w:cs="Arial"/>
      <w:sz w:val="22"/>
      <w:szCs w:val="22"/>
    </w:rPr>
  </w:style>
  <w:style w:type="character" w:styleId="Style1" w:customStyle="1">
    <w:name w:val="Название Знак"/>
    <w:link w:val="14"/>
    <w:uiPriority w:val="10"/>
    <w:qFormat/>
    <w:rsid w:val="00d22f6d"/>
    <w:rPr>
      <w:sz w:val="28"/>
    </w:rPr>
  </w:style>
  <w:style w:type="character" w:styleId="Style2" w:customStyle="1">
    <w:name w:val="Подзаголовок Знак"/>
    <w:uiPriority w:val="11"/>
    <w:qFormat/>
    <w:rsid w:val="00d22f6d"/>
    <w:rPr>
      <w:rFonts w:ascii="Cambria" w:hAnsi="Cambria"/>
      <w:i/>
      <w:iCs/>
      <w:color w:val="4F81BD"/>
      <w:spacing w:val="15"/>
      <w:sz w:val="24"/>
      <w:szCs w:val="24"/>
      <w:lang w:val="x-none" w:eastAsia="x-none"/>
    </w:rPr>
  </w:style>
  <w:style w:type="character" w:styleId="Emphasis">
    <w:name w:val="Emphasis"/>
    <w:uiPriority w:val="20"/>
    <w:qFormat/>
    <w:rsid w:val="00d22f6d"/>
    <w:rPr>
      <w:i/>
      <w:iCs/>
    </w:rPr>
  </w:style>
  <w:style w:type="character" w:styleId="21" w:customStyle="1">
    <w:name w:val="Цитата 2 Знак"/>
    <w:link w:val="Quote"/>
    <w:uiPriority w:val="29"/>
    <w:qFormat/>
    <w:rsid w:val="00d22f6d"/>
    <w:rPr>
      <w:rFonts w:ascii="Calibri" w:hAnsi="Calibri" w:eastAsia="Calibri"/>
      <w:i/>
      <w:iCs/>
      <w:color w:val="000000"/>
      <w:lang w:val="x-none" w:eastAsia="x-none"/>
    </w:rPr>
  </w:style>
  <w:style w:type="character" w:styleId="Style3" w:customStyle="1">
    <w:name w:val="Выделенная цитата Знак"/>
    <w:link w:val="IntenseQuote"/>
    <w:uiPriority w:val="30"/>
    <w:qFormat/>
    <w:rsid w:val="00d22f6d"/>
    <w:rPr>
      <w:rFonts w:ascii="Calibri" w:hAnsi="Calibri" w:eastAsia="Calibri"/>
      <w:b/>
      <w:bCs/>
      <w:i/>
      <w:iCs/>
      <w:color w:val="4F81BD"/>
      <w:lang w:val="x-none" w:eastAsia="x-none"/>
    </w:rPr>
  </w:style>
  <w:style w:type="character" w:styleId="SubtleEmphasis">
    <w:name w:val="Subtle Emphasis"/>
    <w:uiPriority w:val="19"/>
    <w:qFormat/>
    <w:rsid w:val="00d22f6d"/>
    <w:rPr>
      <w:i/>
      <w:iCs/>
      <w:color w:val="808080"/>
    </w:rPr>
  </w:style>
  <w:style w:type="character" w:styleId="IntenseEmphasis">
    <w:name w:val="Intense Emphasis"/>
    <w:uiPriority w:val="21"/>
    <w:qFormat/>
    <w:rsid w:val="00d22f6d"/>
    <w:rPr>
      <w:b/>
      <w:bCs/>
      <w:i/>
      <w:iCs/>
      <w:color w:val="4F81BD"/>
    </w:rPr>
  </w:style>
  <w:style w:type="character" w:styleId="SubtleReference">
    <w:name w:val="Subtle Reference"/>
    <w:uiPriority w:val="31"/>
    <w:qFormat/>
    <w:rsid w:val="00d22f6d"/>
    <w:rPr>
      <w:smallCaps/>
      <w:color w:val="C0504D"/>
      <w:u w:val="single"/>
    </w:rPr>
  </w:style>
  <w:style w:type="character" w:styleId="IntenseReference">
    <w:name w:val="Intense Reference"/>
    <w:uiPriority w:val="32"/>
    <w:qFormat/>
    <w:rsid w:val="00d22f6d"/>
    <w:rPr>
      <w:b/>
      <w:bCs/>
      <w:smallCaps/>
      <w:color w:val="C0504D"/>
      <w:spacing w:val="5"/>
      <w:u w:val="single"/>
    </w:rPr>
  </w:style>
  <w:style w:type="character" w:styleId="BookTitle">
    <w:name w:val="Book Title"/>
    <w:uiPriority w:val="33"/>
    <w:qFormat/>
    <w:rsid w:val="00d22f6d"/>
    <w:rPr>
      <w:b/>
      <w:bCs/>
      <w:smallCaps/>
      <w:spacing w:val="5"/>
    </w:rPr>
  </w:style>
  <w:style w:type="character" w:styleId="Style4" w:customStyle="1">
    <w:name w:val="Электронная подпись Знак"/>
    <w:link w:val="E-mailSignature"/>
    <w:uiPriority w:val="99"/>
    <w:qFormat/>
    <w:rsid w:val="00d22f6d"/>
    <w:rPr>
      <w:rFonts w:eastAsia="Calibri"/>
      <w:sz w:val="24"/>
      <w:szCs w:val="24"/>
    </w:rPr>
  </w:style>
  <w:style w:type="character" w:styleId="11" w:customStyle="1">
    <w:name w:val="Подпункт Знак1"/>
    <w:link w:val="Style21"/>
    <w:qFormat/>
    <w:locked/>
    <w:rsid w:val="00d22f6d"/>
    <w:rPr>
      <w:sz w:val="28"/>
    </w:rPr>
  </w:style>
  <w:style w:type="character" w:styleId="Style5" w:customStyle="1">
    <w:name w:val="Текст сноски Знак"/>
    <w:qFormat/>
    <w:rsid w:val="00d22f6d"/>
    <w:rPr/>
  </w:style>
  <w:style w:type="character" w:styleId="Style6" w:customStyle="1">
    <w:name w:val="Основной текст Знак"/>
    <w:qFormat/>
    <w:rsid w:val="004459a5"/>
    <w:rPr>
      <w:sz w:val="28"/>
      <w:szCs w:val="28"/>
    </w:rPr>
  </w:style>
  <w:style w:type="character" w:styleId="Blk" w:customStyle="1">
    <w:name w:val="blk"/>
    <w:qFormat/>
    <w:rsid w:val="00431ace"/>
    <w:rPr/>
  </w:style>
  <w:style w:type="character" w:styleId="Style7" w:customStyle="1">
    <w:name w:val="Абзац списка Знак"/>
    <w:link w:val="ListParagraph"/>
    <w:uiPriority w:val="34"/>
    <w:qFormat/>
    <w:locked/>
    <w:rsid w:val="00310eb4"/>
    <w:rPr>
      <w:rFonts w:eastAsia="Calibri"/>
      <w:sz w:val="24"/>
      <w:szCs w:val="24"/>
    </w:rPr>
  </w:style>
  <w:style w:type="character" w:styleId="Style8" w:customStyle="1">
    <w:name w:val="комментарий"/>
    <w:qFormat/>
    <w:rsid w:val="0025139e"/>
    <w:rPr>
      <w:b/>
      <w:i/>
      <w:shd w:fill="FFFF99" w:val="clear"/>
    </w:rPr>
  </w:style>
  <w:style w:type="character" w:styleId="Style9" w:customStyle="1">
    <w:name w:val="Подподпункт Знак"/>
    <w:link w:val="Style29"/>
    <w:qFormat/>
    <w:locked/>
    <w:rsid w:val="0025139e"/>
    <w:rPr>
      <w:sz w:val="26"/>
      <w:szCs w:val="26"/>
    </w:rPr>
  </w:style>
  <w:style w:type="character" w:styleId="31" w:customStyle="1">
    <w:name w:val="УРОВЕНЬ_Абзац_тип3 Знак"/>
    <w:link w:val="35"/>
    <w:qFormat/>
    <w:rsid w:val="00b56f46"/>
    <w:rPr>
      <w:rFonts w:eastAsia="Calibri"/>
      <w:sz w:val="26"/>
      <w:szCs w:val="28"/>
      <w:lang w:eastAsia="en-US"/>
    </w:rPr>
  </w:style>
  <w:style w:type="character" w:styleId="Style10" w:customStyle="1">
    <w:name w:val="Верхний колонтитул Знак"/>
    <w:uiPriority w:val="99"/>
    <w:qFormat/>
    <w:rsid w:val="002f31af"/>
    <w:rPr>
      <w:sz w:val="24"/>
      <w:szCs w:val="24"/>
    </w:rPr>
  </w:style>
  <w:style w:type="character" w:styleId="Style11" w:customStyle="1">
    <w:name w:val="Текст примечания Знак"/>
    <w:link w:val="Annotationtext"/>
    <w:semiHidden/>
    <w:qFormat/>
    <w:rsid w:val="00dc0f7d"/>
    <w:rPr/>
  </w:style>
  <w:style w:type="character" w:styleId="Style12" w:customStyle="1">
    <w:name w:val="Текст концевой сноски Знак"/>
    <w:basedOn w:val="DefaultParagraphFont"/>
    <w:qFormat/>
    <w:rsid w:val="003879d4"/>
    <w:rPr/>
  </w:style>
  <w:style w:type="character" w:styleId="Style13">
    <w:name w:val="Символ концевой сноски"/>
    <w:qFormat/>
    <w:rsid w:val="003879d4"/>
    <w:rPr>
      <w:vertAlign w:val="superscript"/>
    </w:rPr>
  </w:style>
  <w:style w:type="character" w:styleId="EndnoteReference">
    <w:name w:val="Endnote Reference"/>
    <w:rPr>
      <w:vertAlign w:val="superscript"/>
    </w:rPr>
  </w:style>
  <w:style w:type="character" w:styleId="22" w:customStyle="1">
    <w:name w:val="Пункт2 Знак"/>
    <w:link w:val="24"/>
    <w:qFormat/>
    <w:rsid w:val="00de52bc"/>
    <w:rPr>
      <w:b/>
      <w:sz w:val="28"/>
    </w:rPr>
  </w:style>
  <w:style w:type="character" w:styleId="12" w:customStyle="1">
    <w:name w:val="УРОВЕНЬ_1. Знак"/>
    <w:link w:val="18"/>
    <w:qFormat/>
    <w:rsid w:val="004a17ae"/>
    <w:rPr>
      <w:rFonts w:eastAsia="Calibri"/>
      <w:caps/>
      <w:sz w:val="28"/>
      <w:szCs w:val="28"/>
      <w:lang w:eastAsia="en-US"/>
    </w:rPr>
  </w:style>
  <w:style w:type="character" w:styleId="Style14">
    <w:name w:val="Ссылка указателя"/>
    <w:qFormat/>
    <w:rPr/>
  </w:style>
  <w:style w:type="paragraph" w:styleId="Style15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Arial Unicode MS" w:cs="Arial Unicode MS"/>
      <w:sz w:val="28"/>
      <w:szCs w:val="28"/>
    </w:rPr>
  </w:style>
  <w:style w:type="paragraph" w:styleId="BodyText">
    <w:name w:val="Body Text"/>
    <w:basedOn w:val="Normal"/>
    <w:link w:val="Style6"/>
    <w:rsid w:val="0076353a"/>
    <w:pPr>
      <w:spacing w:before="0" w:after="120"/>
    </w:pPr>
    <w:rPr/>
  </w:style>
  <w:style w:type="paragraph" w:styleId="List">
    <w:name w:val="List"/>
    <w:basedOn w:val="BodyText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Style16">
    <w:name w:val="Указатель"/>
    <w:basedOn w:val="Normal"/>
    <w:qFormat/>
    <w:pPr>
      <w:suppressLineNumbers/>
    </w:pPr>
    <w:rPr/>
  </w:style>
  <w:style w:type="paragraph" w:styleId="Style17" w:customStyle="1">
    <w:name w:val="Название раздела инструкции"/>
    <w:basedOn w:val="Normal"/>
    <w:autoRedefine/>
    <w:qFormat/>
    <w:rsid w:val="00275328"/>
    <w:pPr>
      <w:jc w:val="center"/>
    </w:pPr>
    <w:rPr>
      <w:b/>
    </w:rPr>
  </w:style>
  <w:style w:type="paragraph" w:styleId="Style18" w:customStyle="1">
    <w:name w:val="Раздел положения"/>
    <w:basedOn w:val="Normal"/>
    <w:autoRedefine/>
    <w:qFormat/>
    <w:rsid w:val="007475ee"/>
    <w:pPr>
      <w:numPr>
        <w:ilvl w:val="0"/>
        <w:numId w:val="1"/>
      </w:numPr>
      <w:spacing w:before="80" w:after="80"/>
      <w:jc w:val="center"/>
    </w:pPr>
    <w:rPr>
      <w:b/>
      <w:sz w:val="32"/>
      <w:szCs w:val="32"/>
    </w:rPr>
  </w:style>
  <w:style w:type="paragraph" w:styleId="Style19" w:customStyle="1">
    <w:name w:val="Подраздел раздела положения"/>
    <w:basedOn w:val="Normal"/>
    <w:autoRedefine/>
    <w:qFormat/>
    <w:rsid w:val="007475ee"/>
    <w:pPr>
      <w:numPr>
        <w:ilvl w:val="1"/>
        <w:numId w:val="1"/>
      </w:numPr>
      <w:spacing w:before="80" w:after="80"/>
      <w:jc w:val="both"/>
    </w:pPr>
    <w:rPr/>
  </w:style>
  <w:style w:type="paragraph" w:styleId="FootnoteText">
    <w:name w:val="Footnote Text"/>
    <w:basedOn w:val="Normal"/>
    <w:link w:val="Style5"/>
    <w:rsid w:val="00d561d9"/>
    <w:pPr/>
    <w:rPr>
      <w:sz w:val="20"/>
      <w:szCs w:val="20"/>
    </w:rPr>
  </w:style>
  <w:style w:type="paragraph" w:styleId="13" w:customStyle="1">
    <w:name w:val="Шапка 1"/>
    <w:basedOn w:val="Normal"/>
    <w:qFormat/>
    <w:rsid w:val="00d561d9"/>
    <w:pPr>
      <w:pBdr>
        <w:bottom w:val="thickThinSmallGap" w:sz="24" w:space="1" w:color="000000"/>
      </w:pBdr>
      <w:spacing w:before="0" w:after="240"/>
      <w:jc w:val="center"/>
    </w:pPr>
    <w:rPr>
      <w:sz w:val="22"/>
      <w:szCs w:val="22"/>
    </w:rPr>
  </w:style>
  <w:style w:type="paragraph" w:styleId="23" w:customStyle="1">
    <w:name w:val="Шапка 2"/>
    <w:basedOn w:val="Normal"/>
    <w:qFormat/>
    <w:rsid w:val="00d561d9"/>
    <w:pPr>
      <w:pBdr>
        <w:bottom w:val="thickThinSmallGap" w:sz="24" w:space="1" w:color="000000"/>
      </w:pBdr>
      <w:spacing w:before="0" w:after="120"/>
      <w:jc w:val="center"/>
    </w:pPr>
    <w:rPr>
      <w:b/>
      <w:sz w:val="22"/>
      <w:szCs w:val="22"/>
    </w:rPr>
  </w:style>
  <w:style w:type="paragraph" w:styleId="32" w:customStyle="1">
    <w:name w:val="Шапка 3"/>
    <w:basedOn w:val="Normal"/>
    <w:qFormat/>
    <w:rsid w:val="00d561d9"/>
    <w:pPr>
      <w:pBdr>
        <w:bottom w:val="thickThinSmallGap" w:sz="24" w:space="1" w:color="000000"/>
      </w:pBdr>
      <w:spacing w:before="240" w:after="360"/>
      <w:jc w:val="center"/>
    </w:pPr>
    <w:rPr>
      <w:b/>
      <w:sz w:val="24"/>
      <w:szCs w:val="24"/>
    </w:rPr>
  </w:style>
  <w:style w:type="paragraph" w:styleId="14" w:customStyle="1">
    <w:name w:val="Название1"/>
    <w:basedOn w:val="Normal"/>
    <w:link w:val="Style1"/>
    <w:uiPriority w:val="10"/>
    <w:qFormat/>
    <w:rsid w:val="00bd4014"/>
    <w:pPr>
      <w:jc w:val="center"/>
    </w:pPr>
    <w:rPr>
      <w:szCs w:val="20"/>
      <w:lang w:val="x-none" w:eastAsia="x-none"/>
    </w:rPr>
  </w:style>
  <w:style w:type="paragraph" w:styleId="Style20">
    <w:name w:val="Колонтитул"/>
    <w:basedOn w:val="Normal"/>
    <w:qFormat/>
    <w:pPr/>
    <w:rPr/>
  </w:style>
  <w:style w:type="paragraph" w:styleId="Header">
    <w:name w:val="Header"/>
    <w:basedOn w:val="Normal"/>
    <w:link w:val="Style10"/>
    <w:uiPriority w:val="99"/>
    <w:rsid w:val="0076353a"/>
    <w:pPr>
      <w:tabs>
        <w:tab w:val="clear" w:pos="708"/>
        <w:tab w:val="center" w:pos="4677" w:leader="none"/>
        <w:tab w:val="right" w:pos="9355" w:leader="none"/>
      </w:tabs>
    </w:pPr>
    <w:rPr>
      <w:sz w:val="24"/>
      <w:szCs w:val="24"/>
    </w:rPr>
  </w:style>
  <w:style w:type="paragraph" w:styleId="BodyTextIndent">
    <w:name w:val="Body Text Indent"/>
    <w:basedOn w:val="Normal"/>
    <w:rsid w:val="0076353a"/>
    <w:pPr>
      <w:ind w:left="360" w:hanging="0"/>
    </w:pPr>
    <w:rPr>
      <w:sz w:val="24"/>
      <w:szCs w:val="24"/>
    </w:rPr>
  </w:style>
  <w:style w:type="paragraph" w:styleId="Footer">
    <w:name w:val="Footer"/>
    <w:basedOn w:val="Normal"/>
    <w:rsid w:val="0076353a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BodyTextIndent2">
    <w:name w:val="Body Text Indent 2"/>
    <w:basedOn w:val="Normal"/>
    <w:qFormat/>
    <w:rsid w:val="0076353a"/>
    <w:pPr>
      <w:spacing w:lineRule="auto" w:line="480" w:before="0" w:after="120"/>
      <w:ind w:left="283" w:hanging="0"/>
    </w:pPr>
    <w:rPr/>
  </w:style>
  <w:style w:type="paragraph" w:styleId="BodyText3">
    <w:name w:val="Body Text 3"/>
    <w:basedOn w:val="Normal"/>
    <w:qFormat/>
    <w:rsid w:val="0076353a"/>
    <w:pPr>
      <w:spacing w:before="0" w:after="120"/>
    </w:pPr>
    <w:rPr>
      <w:sz w:val="16"/>
      <w:szCs w:val="16"/>
    </w:rPr>
  </w:style>
  <w:style w:type="paragraph" w:styleId="BodyTextIndent3">
    <w:name w:val="Body Text Indent 3"/>
    <w:basedOn w:val="Normal"/>
    <w:qFormat/>
    <w:rsid w:val="0076353a"/>
    <w:pPr>
      <w:spacing w:before="0" w:after="120"/>
      <w:ind w:left="283" w:hanging="0"/>
    </w:pPr>
    <w:rPr>
      <w:sz w:val="16"/>
      <w:szCs w:val="16"/>
    </w:rPr>
  </w:style>
  <w:style w:type="paragraph" w:styleId="BodyText2">
    <w:name w:val="Body Text 2"/>
    <w:basedOn w:val="Normal"/>
    <w:qFormat/>
    <w:rsid w:val="0076353a"/>
    <w:pPr>
      <w:spacing w:lineRule="auto" w:line="480" w:before="0" w:after="120"/>
    </w:pPr>
    <w:rPr/>
  </w:style>
  <w:style w:type="paragraph" w:styleId="BlockText">
    <w:name w:val="Block Text"/>
    <w:basedOn w:val="Normal"/>
    <w:qFormat/>
    <w:rsid w:val="0076353a"/>
    <w:pPr>
      <w:ind w:left="-567" w:right="-766" w:hanging="0"/>
      <w:jc w:val="center"/>
    </w:pPr>
    <w:rPr>
      <w:b/>
      <w:bCs/>
      <w:sz w:val="24"/>
      <w:szCs w:val="20"/>
    </w:rPr>
  </w:style>
  <w:style w:type="paragraph" w:styleId="Style21" w:customStyle="1">
    <w:name w:val="Подпункт"/>
    <w:basedOn w:val="Normal"/>
    <w:link w:val="11"/>
    <w:qFormat/>
    <w:rsid w:val="0076353a"/>
    <w:pPr>
      <w:tabs>
        <w:tab w:val="clear" w:pos="708"/>
        <w:tab w:val="left" w:pos="1134" w:leader="none"/>
      </w:tabs>
      <w:snapToGrid w:val="false"/>
      <w:spacing w:lineRule="auto" w:line="360"/>
      <w:ind w:left="1134" w:hanging="1134"/>
      <w:jc w:val="both"/>
    </w:pPr>
    <w:rPr>
      <w:szCs w:val="20"/>
      <w:lang w:val="x-none" w:eastAsia="x-none"/>
    </w:rPr>
  </w:style>
  <w:style w:type="paragraph" w:styleId="24" w:customStyle="1">
    <w:name w:val="Пункт2"/>
    <w:basedOn w:val="Normal"/>
    <w:link w:val="22"/>
    <w:qFormat/>
    <w:rsid w:val="0076353a"/>
    <w:pPr>
      <w:keepNext w:val="true"/>
      <w:tabs>
        <w:tab w:val="clear" w:pos="708"/>
        <w:tab w:val="left" w:pos="1134" w:leader="none"/>
      </w:tabs>
      <w:suppressAutoHyphens w:val="true"/>
      <w:snapToGrid w:val="false"/>
      <w:spacing w:before="240" w:after="120"/>
      <w:ind w:left="1134" w:hanging="1134"/>
      <w:outlineLvl w:val="2"/>
    </w:pPr>
    <w:rPr>
      <w:b/>
      <w:szCs w:val="20"/>
    </w:rPr>
  </w:style>
  <w:style w:type="paragraph" w:styleId="TOC1">
    <w:name w:val="TOC 1"/>
    <w:basedOn w:val="Normal"/>
    <w:next w:val="Normal"/>
    <w:autoRedefine/>
    <w:uiPriority w:val="39"/>
    <w:rsid w:val="002e318d"/>
    <w:pPr>
      <w:tabs>
        <w:tab w:val="clear" w:pos="708"/>
        <w:tab w:val="left" w:pos="560" w:leader="none"/>
        <w:tab w:val="right" w:pos="9911" w:leader="dot"/>
      </w:tabs>
      <w:spacing w:lineRule="auto" w:line="240" w:before="120" w:after="0"/>
    </w:pPr>
    <w:rPr>
      <w:rFonts w:cs="Calibri Light (Заголовки)"/>
      <w:b/>
      <w:bCs/>
      <w:sz w:val="24"/>
      <w:szCs w:val="24"/>
    </w:rPr>
  </w:style>
  <w:style w:type="paragraph" w:styleId="TOC3">
    <w:name w:val="TOC 3"/>
    <w:basedOn w:val="Normal"/>
    <w:next w:val="Normal"/>
    <w:autoRedefine/>
    <w:uiPriority w:val="39"/>
    <w:rsid w:val="006b6b70"/>
    <w:pPr>
      <w:ind w:left="280" w:hanging="0"/>
    </w:pPr>
    <w:rPr>
      <w:rFonts w:cs="Calibri" w:cstheme="minorHAnsi"/>
      <w:sz w:val="20"/>
      <w:szCs w:val="20"/>
    </w:rPr>
  </w:style>
  <w:style w:type="paragraph" w:styleId="Style22" w:customStyle="1">
    <w:name w:val="Раздел регламента"/>
    <w:basedOn w:val="Normal"/>
    <w:qFormat/>
    <w:rsid w:val="00e228fa"/>
    <w:pPr/>
    <w:rPr/>
  </w:style>
  <w:style w:type="paragraph" w:styleId="Style23" w:customStyle="1">
    <w:name w:val="Приложение к регламенту"/>
    <w:basedOn w:val="Normal"/>
    <w:qFormat/>
    <w:rsid w:val="00e228fa"/>
    <w:pPr>
      <w:jc w:val="right"/>
    </w:pPr>
    <w:rPr/>
  </w:style>
  <w:style w:type="paragraph" w:styleId="TOC2">
    <w:name w:val="TOC 2"/>
    <w:basedOn w:val="Normal"/>
    <w:next w:val="Normal"/>
    <w:autoRedefine/>
    <w:uiPriority w:val="39"/>
    <w:rsid w:val="00693883"/>
    <w:pPr>
      <w:spacing w:before="240" w:after="0"/>
    </w:pPr>
    <w:rPr>
      <w:rFonts w:cs="Calibri" w:cstheme="minorHAnsi"/>
      <w:bCs/>
      <w:sz w:val="20"/>
      <w:szCs w:val="20"/>
    </w:rPr>
  </w:style>
  <w:style w:type="paragraph" w:styleId="BalloonText">
    <w:name w:val="Balloon Text"/>
    <w:basedOn w:val="Normal"/>
    <w:semiHidden/>
    <w:qFormat/>
    <w:rsid w:val="00197c91"/>
    <w:pPr/>
    <w:rPr>
      <w:rFonts w:ascii="Tahoma" w:hAnsi="Tahoma" w:cs="Tahoma"/>
      <w:sz w:val="16"/>
      <w:szCs w:val="16"/>
    </w:rPr>
  </w:style>
  <w:style w:type="paragraph" w:styleId="Annotationtext">
    <w:name w:val="annotation text"/>
    <w:basedOn w:val="Normal"/>
    <w:link w:val="Style11"/>
    <w:semiHidden/>
    <w:qFormat/>
    <w:rsid w:val="00b714b0"/>
    <w:pPr/>
    <w:rPr>
      <w:sz w:val="20"/>
      <w:szCs w:val="20"/>
    </w:rPr>
  </w:style>
  <w:style w:type="paragraph" w:styleId="Annotationsubject">
    <w:name w:val="annotation subject"/>
    <w:basedOn w:val="Annotationtext"/>
    <w:next w:val="Annotationtext"/>
    <w:semiHidden/>
    <w:qFormat/>
    <w:rsid w:val="00b714b0"/>
    <w:pPr/>
    <w:rPr>
      <w:b/>
      <w:bCs/>
    </w:rPr>
  </w:style>
  <w:style w:type="paragraph" w:styleId="15" w:customStyle="1">
    <w:name w:val="Обычный (веб)1"/>
    <w:basedOn w:val="Normal"/>
    <w:uiPriority w:val="99"/>
    <w:qFormat/>
    <w:rsid w:val="002f559a"/>
    <w:pPr>
      <w:spacing w:beforeAutospacing="1" w:afterAutospacing="1"/>
    </w:pPr>
    <w:rPr>
      <w:rFonts w:ascii="Arial Unicode MS" w:hAnsi="Arial Unicode MS" w:eastAsia="Arial Unicode MS" w:cs="Arial Unicode MS"/>
      <w:sz w:val="24"/>
      <w:szCs w:val="24"/>
    </w:rPr>
  </w:style>
  <w:style w:type="paragraph" w:styleId="TOC9">
    <w:name w:val="TOC 9"/>
    <w:basedOn w:val="Normal"/>
    <w:next w:val="Normal"/>
    <w:autoRedefine/>
    <w:semiHidden/>
    <w:rsid w:val="00f57628"/>
    <w:pPr>
      <w:ind w:left="1960" w:hanging="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TOC5">
    <w:name w:val="TOC 5"/>
    <w:basedOn w:val="Normal"/>
    <w:next w:val="Normal"/>
    <w:autoRedefine/>
    <w:semiHidden/>
    <w:rsid w:val="00f57628"/>
    <w:pPr>
      <w:ind w:left="840" w:hanging="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TOC4">
    <w:name w:val="TOC 4"/>
    <w:basedOn w:val="Normal"/>
    <w:next w:val="Normal"/>
    <w:autoRedefine/>
    <w:uiPriority w:val="39"/>
    <w:rsid w:val="006b6b70"/>
    <w:pPr>
      <w:tabs>
        <w:tab w:val="clear" w:pos="708"/>
        <w:tab w:val="left" w:pos="1120" w:leader="none"/>
        <w:tab w:val="right" w:pos="9911" w:leader="none"/>
      </w:tabs>
      <w:ind w:left="560" w:hanging="0"/>
    </w:pPr>
    <w:rPr>
      <w:rFonts w:cs="Calibri" w:cstheme="minorHAnsi"/>
      <w:sz w:val="20"/>
      <w:szCs w:val="20"/>
    </w:rPr>
  </w:style>
  <w:style w:type="paragraph" w:styleId="25" w:customStyle="1">
    <w:name w:val="Раздел положения 2"/>
    <w:basedOn w:val="Normal"/>
    <w:qFormat/>
    <w:rsid w:val="002c1e0e"/>
    <w:pPr>
      <w:pageBreakBefore/>
      <w:jc w:val="both"/>
      <w:outlineLvl w:val="0"/>
    </w:pPr>
    <w:rPr>
      <w:b/>
    </w:rPr>
  </w:style>
  <w:style w:type="paragraph" w:styleId="Style24" w:customStyle="1">
    <w:name w:val="Знак Знак Знак Знак Знак Знак Знак Знак Знак"/>
    <w:basedOn w:val="Normal"/>
    <w:qFormat/>
    <w:rsid w:val="00d22f6d"/>
    <w:pPr>
      <w:spacing w:lineRule="exact" w:line="240" w:before="0" w:after="160"/>
      <w:jc w:val="both"/>
    </w:pPr>
    <w:rPr>
      <w:rFonts w:ascii="Verdana" w:hAnsi="Verdana" w:cs="Verdana"/>
      <w:sz w:val="22"/>
      <w:szCs w:val="22"/>
      <w:lang w:val="en-US" w:eastAsia="en-US"/>
    </w:rPr>
  </w:style>
  <w:style w:type="paragraph" w:styleId="NoSpacing">
    <w:name w:val="No Spacing"/>
    <w:basedOn w:val="Normal"/>
    <w:uiPriority w:val="1"/>
    <w:qFormat/>
    <w:rsid w:val="00d22f6d"/>
    <w:pPr>
      <w:spacing w:lineRule="auto" w:line="360"/>
    </w:pPr>
    <w:rPr>
      <w:rFonts w:eastAsia="Calibri"/>
      <w:sz w:val="24"/>
      <w:szCs w:val="24"/>
    </w:rPr>
  </w:style>
  <w:style w:type="paragraph" w:styleId="Caption1">
    <w:name w:val="caption1"/>
    <w:basedOn w:val="Normal"/>
    <w:next w:val="Normal"/>
    <w:uiPriority w:val="35"/>
    <w:qFormat/>
    <w:rsid w:val="00d22f6d"/>
    <w:pPr/>
    <w:rPr>
      <w:rFonts w:eastAsia="Calibri"/>
      <w:b/>
      <w:bCs/>
      <w:color w:val="4F81BD"/>
      <w:sz w:val="18"/>
      <w:szCs w:val="18"/>
    </w:rPr>
  </w:style>
  <w:style w:type="paragraph" w:styleId="Subtitle">
    <w:name w:val="Subtitle"/>
    <w:basedOn w:val="Normal"/>
    <w:next w:val="Normal"/>
    <w:link w:val="Style2"/>
    <w:uiPriority w:val="11"/>
    <w:qFormat/>
    <w:rsid w:val="00d22f6d"/>
    <w:pPr>
      <w:numPr>
        <w:ilvl w:val="1"/>
      </w:numPr>
      <w:ind w:left="1066" w:firstLine="709"/>
    </w:pPr>
    <w:rPr>
      <w:rFonts w:ascii="Cambria" w:hAnsi="Cambria"/>
      <w:i/>
      <w:iCs/>
      <w:color w:val="4F81BD"/>
      <w:spacing w:val="15"/>
      <w:sz w:val="24"/>
      <w:szCs w:val="24"/>
      <w:lang w:val="x-none" w:eastAsia="x-none"/>
    </w:rPr>
  </w:style>
  <w:style w:type="paragraph" w:styleId="ListParagraph">
    <w:name w:val="List Paragraph"/>
    <w:basedOn w:val="Normal"/>
    <w:link w:val="Style7"/>
    <w:uiPriority w:val="34"/>
    <w:qFormat/>
    <w:rsid w:val="00d22f6d"/>
    <w:pPr>
      <w:spacing w:before="0" w:after="0"/>
      <w:ind w:left="720" w:hanging="0"/>
      <w:contextualSpacing/>
    </w:pPr>
    <w:rPr>
      <w:rFonts w:eastAsia="Calibri"/>
      <w:sz w:val="24"/>
      <w:szCs w:val="24"/>
    </w:rPr>
  </w:style>
  <w:style w:type="paragraph" w:styleId="Quote">
    <w:name w:val="Quote"/>
    <w:basedOn w:val="Normal"/>
    <w:next w:val="Normal"/>
    <w:link w:val="21"/>
    <w:uiPriority w:val="29"/>
    <w:qFormat/>
    <w:rsid w:val="00d22f6d"/>
    <w:pPr/>
    <w:rPr>
      <w:rFonts w:ascii="Calibri" w:hAnsi="Calibri" w:eastAsia="Calibri"/>
      <w:i/>
      <w:iCs/>
      <w:color w:val="000000"/>
      <w:sz w:val="20"/>
      <w:szCs w:val="20"/>
      <w:lang w:val="x-none" w:eastAsia="x-none"/>
    </w:rPr>
  </w:style>
  <w:style w:type="paragraph" w:styleId="IntenseQuote">
    <w:name w:val="Intense Quote"/>
    <w:basedOn w:val="Normal"/>
    <w:next w:val="Normal"/>
    <w:link w:val="Style3"/>
    <w:uiPriority w:val="30"/>
    <w:qFormat/>
    <w:rsid w:val="00d22f6d"/>
    <w:pPr>
      <w:pBdr>
        <w:bottom w:val="single" w:sz="4" w:space="4" w:color="4F81BD"/>
      </w:pBdr>
      <w:spacing w:before="200" w:after="280"/>
      <w:ind w:left="936" w:right="936" w:hanging="0"/>
    </w:pPr>
    <w:rPr>
      <w:rFonts w:ascii="Calibri" w:hAnsi="Calibri" w:eastAsia="Calibri"/>
      <w:b/>
      <w:bCs/>
      <w:i/>
      <w:iCs/>
      <w:color w:val="4F81BD"/>
      <w:sz w:val="20"/>
      <w:szCs w:val="20"/>
      <w:lang w:val="x-none" w:eastAsia="x-none"/>
    </w:rPr>
  </w:style>
  <w:style w:type="paragraph" w:styleId="IndexHeading">
    <w:name w:val="Index Heading"/>
    <w:basedOn w:val="Style15"/>
    <w:pPr/>
    <w:rPr/>
  </w:style>
  <w:style w:type="paragraph" w:styleId="TOCHeading">
    <w:name w:val="TOC Heading"/>
    <w:basedOn w:val="Heading1"/>
    <w:next w:val="Normal"/>
    <w:uiPriority w:val="39"/>
    <w:qFormat/>
    <w:rsid w:val="00d22f6d"/>
    <w:pPr>
      <w:keepLines/>
      <w:spacing w:before="480" w:after="60"/>
      <w:outlineLvl w:val="9"/>
    </w:pPr>
    <w:rPr>
      <w:rFonts w:ascii="Cambria" w:hAnsi="Cambria"/>
      <w:bCs/>
      <w:color w:val="365F91"/>
    </w:rPr>
  </w:style>
  <w:style w:type="paragraph" w:styleId="E-mailSignature">
    <w:name w:val="E-mail Signature"/>
    <w:basedOn w:val="Normal"/>
    <w:link w:val="Style4"/>
    <w:uiPriority w:val="99"/>
    <w:unhideWhenUsed/>
    <w:qFormat/>
    <w:rsid w:val="00d22f6d"/>
    <w:pPr/>
    <w:rPr>
      <w:rFonts w:eastAsia="Calibri"/>
      <w:sz w:val="24"/>
      <w:szCs w:val="24"/>
      <w:lang w:val="x-none" w:eastAsia="x-none"/>
    </w:rPr>
  </w:style>
  <w:style w:type="paragraph" w:styleId="Style25" w:customStyle="1">
    <w:name w:val="Знак"/>
    <w:basedOn w:val="Normal"/>
    <w:qFormat/>
    <w:rsid w:val="00d22f6d"/>
    <w:pPr>
      <w:spacing w:lineRule="exact" w:line="240" w:before="0" w:after="160"/>
    </w:pPr>
    <w:rPr>
      <w:rFonts w:ascii="Verdana" w:hAnsi="Verdana" w:cs="Verdana"/>
      <w:sz w:val="20"/>
      <w:szCs w:val="20"/>
      <w:lang w:val="en-US" w:eastAsia="en-US"/>
    </w:rPr>
  </w:style>
  <w:style w:type="paragraph" w:styleId="33" w:customStyle="1">
    <w:name w:val="Нумерованный список ур3"/>
    <w:basedOn w:val="Normal"/>
    <w:qFormat/>
    <w:rsid w:val="00d22f6d"/>
    <w:pPr>
      <w:numPr>
        <w:ilvl w:val="2"/>
        <w:numId w:val="2"/>
      </w:numPr>
      <w:jc w:val="both"/>
    </w:pPr>
    <w:rPr>
      <w:rFonts w:ascii="Garamond" w:hAnsi="Garamond"/>
      <w:sz w:val="24"/>
      <w:szCs w:val="20"/>
    </w:rPr>
  </w:style>
  <w:style w:type="paragraph" w:styleId="ListBullet4" w:customStyle="1">
    <w:name w:val="List Bullet 4"/>
    <w:basedOn w:val="Normal"/>
    <w:qFormat/>
    <w:rsid w:val="00d22f6d"/>
    <w:pPr>
      <w:numPr>
        <w:ilvl w:val="0"/>
        <w:numId w:val="2"/>
      </w:numPr>
      <w:spacing w:before="120" w:after="0"/>
      <w:jc w:val="both"/>
    </w:pPr>
    <w:rPr>
      <w:rFonts w:ascii="Garamond" w:hAnsi="Garamond"/>
      <w:sz w:val="24"/>
      <w:szCs w:val="20"/>
    </w:rPr>
  </w:style>
  <w:style w:type="paragraph" w:styleId="26" w:customStyle="1">
    <w:name w:val="Нумерованный список ур2"/>
    <w:basedOn w:val="Normal"/>
    <w:qFormat/>
    <w:rsid w:val="00d22f6d"/>
    <w:pPr>
      <w:numPr>
        <w:ilvl w:val="1"/>
        <w:numId w:val="2"/>
      </w:numPr>
      <w:spacing w:before="120" w:after="0"/>
      <w:jc w:val="both"/>
    </w:pPr>
    <w:rPr>
      <w:rFonts w:ascii="Garamond" w:hAnsi="Garamond"/>
      <w:sz w:val="24"/>
      <w:szCs w:val="20"/>
    </w:rPr>
  </w:style>
  <w:style w:type="paragraph" w:styleId="Revision">
    <w:name w:val="Revision"/>
    <w:uiPriority w:val="99"/>
    <w:semiHidden/>
    <w:qFormat/>
    <w:rsid w:val="00d22f6d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Calibri" w:cs="Times New Roman"/>
      <w:color w:val="auto"/>
      <w:kern w:val="0"/>
      <w:sz w:val="24"/>
      <w:szCs w:val="24"/>
      <w:lang w:val="ru-RU" w:eastAsia="ru-RU" w:bidi="ar-SA"/>
    </w:rPr>
  </w:style>
  <w:style w:type="paragraph" w:styleId="ConsPlusNormal" w:customStyle="1">
    <w:name w:val="ConsPlusNormal"/>
    <w:qFormat/>
    <w:rsid w:val="00d22f6d"/>
    <w:pPr>
      <w:widowControl w:val="false"/>
      <w:suppressAutoHyphens w:val="true"/>
      <w:bidi w:val="0"/>
      <w:spacing w:before="0" w:after="0"/>
      <w:ind w:firstLine="720"/>
      <w:jc w:val="left"/>
    </w:pPr>
    <w:rPr>
      <w:rFonts w:ascii="Arial" w:hAnsi="Arial" w:eastAsia="Times New Roman" w:cs="Arial"/>
      <w:color w:val="auto"/>
      <w:kern w:val="0"/>
      <w:sz w:val="20"/>
      <w:szCs w:val="20"/>
      <w:lang w:val="ru-RU" w:eastAsia="ru-RU" w:bidi="ar-SA"/>
    </w:rPr>
  </w:style>
  <w:style w:type="paragraph" w:styleId="34" w:customStyle="1">
    <w:name w:val="Знак Знак3 Знак Знак"/>
    <w:basedOn w:val="Normal"/>
    <w:qFormat/>
    <w:rsid w:val="00d22f6d"/>
    <w:pPr>
      <w:spacing w:lineRule="exact" w:line="240" w:before="0" w:after="160"/>
      <w:jc w:val="both"/>
    </w:pPr>
    <w:rPr>
      <w:rFonts w:ascii="Verdana" w:hAnsi="Verdana" w:cs="Verdana"/>
      <w:sz w:val="22"/>
      <w:szCs w:val="22"/>
      <w:lang w:val="en-US" w:eastAsia="en-US"/>
    </w:rPr>
  </w:style>
  <w:style w:type="paragraph" w:styleId="Style26" w:customStyle="1">
    <w:name w:val="Пункт"/>
    <w:basedOn w:val="Normal"/>
    <w:qFormat/>
    <w:rsid w:val="00d22f6d"/>
    <w:pPr>
      <w:widowControl w:val="false"/>
      <w:tabs>
        <w:tab w:val="clear" w:pos="708"/>
        <w:tab w:val="left" w:pos="1134" w:leader="none"/>
      </w:tabs>
      <w:spacing w:lineRule="auto" w:line="360" w:before="120" w:after="0"/>
      <w:ind w:left="1134" w:right="800" w:hanging="1134"/>
      <w:jc w:val="both"/>
    </w:pPr>
    <w:rPr>
      <w:rFonts w:ascii="Arial" w:hAnsi="Arial"/>
      <w:b/>
      <w:i/>
      <w:szCs w:val="20"/>
    </w:rPr>
  </w:style>
  <w:style w:type="paragraph" w:styleId="16" w:customStyle="1">
    <w:name w:val="Абзац списка1"/>
    <w:basedOn w:val="Normal"/>
    <w:qFormat/>
    <w:rsid w:val="00d22f6d"/>
    <w:pPr>
      <w:spacing w:lineRule="auto" w:line="276" w:before="0" w:after="200"/>
      <w:ind w:left="720" w:hanging="0"/>
      <w:contextualSpacing/>
    </w:pPr>
    <w:rPr>
      <w:rFonts w:ascii="Calibri" w:hAnsi="Calibri"/>
      <w:sz w:val="22"/>
      <w:szCs w:val="22"/>
      <w:lang w:eastAsia="en-US"/>
    </w:rPr>
  </w:style>
  <w:style w:type="paragraph" w:styleId="Style27" w:customStyle="1">
    <w:name w:val="Таблица"/>
    <w:basedOn w:val="Normal"/>
    <w:qFormat/>
    <w:rsid w:val="0041356c"/>
    <w:pPr>
      <w:keepNext w:val="true"/>
      <w:spacing w:before="60" w:after="60"/>
      <w:jc w:val="center"/>
    </w:pPr>
    <w:rPr>
      <w:rFonts w:eastAsia="Calibri"/>
      <w:b/>
      <w:sz w:val="24"/>
      <w:szCs w:val="24"/>
      <w:lang w:val="x-none" w:eastAsia="x-none"/>
    </w:rPr>
  </w:style>
  <w:style w:type="paragraph" w:styleId="Style28" w:customStyle="1">
    <w:name w:val="Таблица шапка"/>
    <w:basedOn w:val="Normal"/>
    <w:qFormat/>
    <w:rsid w:val="00f64089"/>
    <w:pPr>
      <w:keepNext w:val="true"/>
      <w:spacing w:before="40" w:after="40"/>
      <w:ind w:left="57" w:right="57" w:hanging="0"/>
    </w:pPr>
    <w:rPr>
      <w:sz w:val="22"/>
      <w:szCs w:val="26"/>
    </w:rPr>
  </w:style>
  <w:style w:type="paragraph" w:styleId="Style29" w:customStyle="1">
    <w:name w:val="Подподпункт"/>
    <w:basedOn w:val="Style21"/>
    <w:link w:val="Style9"/>
    <w:qFormat/>
    <w:rsid w:val="0025139e"/>
    <w:pPr>
      <w:tabs>
        <w:tab w:val="clear" w:pos="1134"/>
        <w:tab w:val="left" w:pos="5104" w:leader="none"/>
      </w:tabs>
      <w:snapToGrid w:val="true"/>
      <w:spacing w:lineRule="auto" w:line="240" w:before="120" w:after="0"/>
      <w:ind w:left="5104" w:hanging="567"/>
    </w:pPr>
    <w:rPr>
      <w:sz w:val="26"/>
      <w:szCs w:val="26"/>
      <w:lang w:val="ru-RU" w:eastAsia="ru-RU"/>
    </w:rPr>
  </w:style>
  <w:style w:type="paragraph" w:styleId="Style30" w:customStyle="1">
    <w:name w:val="УРОВЕНЬ_(а)"/>
    <w:basedOn w:val="ListParagraph"/>
    <w:qFormat/>
    <w:rsid w:val="00b56f46"/>
    <w:pPr>
      <w:numPr>
        <w:ilvl w:val="3"/>
        <w:numId w:val="4"/>
      </w:numPr>
      <w:spacing w:lineRule="exact" w:line="360" w:before="120" w:after="0"/>
      <w:contextualSpacing w:val="false"/>
      <w:jc w:val="both"/>
      <w:outlineLvl w:val="3"/>
    </w:pPr>
    <w:rPr>
      <w:sz w:val="26"/>
      <w:szCs w:val="28"/>
      <w:lang w:eastAsia="en-US"/>
    </w:rPr>
  </w:style>
  <w:style w:type="paragraph" w:styleId="-" w:customStyle="1">
    <w:name w:val="УРОВЕНЬ_-"/>
    <w:basedOn w:val="ListParagraph"/>
    <w:qFormat/>
    <w:rsid w:val="00b56f46"/>
    <w:pPr>
      <w:numPr>
        <w:ilvl w:val="4"/>
        <w:numId w:val="4"/>
      </w:numPr>
      <w:spacing w:lineRule="exact" w:line="360" w:before="120" w:after="0"/>
      <w:contextualSpacing w:val="false"/>
      <w:jc w:val="both"/>
      <w:outlineLvl w:val="4"/>
    </w:pPr>
    <w:rPr>
      <w:sz w:val="26"/>
      <w:szCs w:val="28"/>
      <w:lang w:eastAsia="en-US"/>
    </w:rPr>
  </w:style>
  <w:style w:type="paragraph" w:styleId="27" w:customStyle="1">
    <w:name w:val="УРОВЕНЬ_Абзац_тип2"/>
    <w:basedOn w:val="ListParagraph"/>
    <w:qFormat/>
    <w:rsid w:val="00b56f46"/>
    <w:pPr>
      <w:numPr>
        <w:ilvl w:val="6"/>
        <w:numId w:val="4"/>
      </w:numPr>
      <w:spacing w:lineRule="exact" w:line="360" w:before="120" w:after="0"/>
      <w:contextualSpacing w:val="false"/>
      <w:jc w:val="both"/>
    </w:pPr>
    <w:rPr>
      <w:sz w:val="26"/>
      <w:szCs w:val="28"/>
      <w:lang w:eastAsia="en-US"/>
    </w:rPr>
  </w:style>
  <w:style w:type="paragraph" w:styleId="35" w:customStyle="1">
    <w:name w:val="УРОВЕНЬ_Абзац_тип3"/>
    <w:basedOn w:val="ListParagraph"/>
    <w:link w:val="31"/>
    <w:qFormat/>
    <w:rsid w:val="00b56f46"/>
    <w:pPr>
      <w:numPr>
        <w:ilvl w:val="7"/>
        <w:numId w:val="4"/>
      </w:numPr>
      <w:spacing w:lineRule="exact" w:line="360" w:before="120" w:after="0"/>
      <w:contextualSpacing w:val="false"/>
      <w:jc w:val="both"/>
    </w:pPr>
    <w:rPr>
      <w:sz w:val="26"/>
      <w:szCs w:val="28"/>
      <w:lang w:eastAsia="en-US"/>
    </w:rPr>
  </w:style>
  <w:style w:type="paragraph" w:styleId="Style31" w:customStyle="1">
    <w:name w:val="УРОВЕНЬ_Подпись"/>
    <w:basedOn w:val="ListParagraph"/>
    <w:qFormat/>
    <w:rsid w:val="00b56f46"/>
    <w:pPr>
      <w:keepNext w:val="true"/>
      <w:numPr>
        <w:ilvl w:val="5"/>
        <w:numId w:val="4"/>
      </w:numPr>
      <w:spacing w:lineRule="exact" w:line="360" w:before="120" w:after="120"/>
      <w:contextualSpacing w:val="false"/>
      <w:jc w:val="right"/>
      <w:outlineLvl w:val="3"/>
    </w:pPr>
    <w:rPr>
      <w:sz w:val="26"/>
      <w:szCs w:val="28"/>
      <w:lang w:eastAsia="en-US"/>
    </w:rPr>
  </w:style>
  <w:style w:type="paragraph" w:styleId="17" w:customStyle="1">
    <w:name w:val="Стиль Заголовок 1 + по ширине"/>
    <w:basedOn w:val="Heading1"/>
    <w:qFormat/>
    <w:rsid w:val="005773b2"/>
    <w:pPr>
      <w:keepLines/>
      <w:numPr>
        <w:ilvl w:val="0"/>
        <w:numId w:val="0"/>
      </w:numPr>
      <w:tabs>
        <w:tab w:val="clear" w:pos="708"/>
        <w:tab w:val="left" w:pos="567" w:leader="none"/>
      </w:tabs>
      <w:suppressAutoHyphens w:val="true"/>
      <w:spacing w:before="480" w:after="240"/>
      <w:ind w:left="567" w:hanging="567"/>
      <w:jc w:val="both"/>
    </w:pPr>
    <w:rPr>
      <w:rFonts w:ascii="Arial" w:hAnsi="Arial" w:eastAsia="Times New Roman"/>
      <w:bCs/>
      <w:kern w:val="2"/>
      <w:sz w:val="40"/>
      <w:szCs w:val="20"/>
      <w:lang w:val="ru-RU" w:eastAsia="ru-RU"/>
    </w:rPr>
  </w:style>
  <w:style w:type="paragraph" w:styleId="EndnoteText">
    <w:name w:val="Endnote Text"/>
    <w:basedOn w:val="Normal"/>
    <w:link w:val="Style12"/>
    <w:rsid w:val="003879d4"/>
    <w:pPr/>
    <w:rPr>
      <w:sz w:val="20"/>
      <w:szCs w:val="20"/>
    </w:rPr>
  </w:style>
  <w:style w:type="paragraph" w:styleId="28" w:customStyle="1">
    <w:name w:val="Заголовок 2 КВВ"/>
    <w:basedOn w:val="Normal"/>
    <w:qFormat/>
    <w:rsid w:val="00cb35e8"/>
    <w:pPr>
      <w:keepNext w:val="true"/>
      <w:numPr>
        <w:ilvl w:val="0"/>
        <w:numId w:val="5"/>
      </w:numPr>
      <w:suppressAutoHyphens w:val="true"/>
      <w:spacing w:before="120" w:after="120"/>
      <w:jc w:val="both"/>
      <w:outlineLvl w:val="0"/>
    </w:pPr>
    <w:rPr>
      <w:b/>
      <w:kern w:val="2"/>
      <w:sz w:val="24"/>
      <w:szCs w:val="20"/>
      <w:lang w:eastAsia="x-none"/>
    </w:rPr>
  </w:style>
  <w:style w:type="paragraph" w:styleId="Style32" w:customStyle="1">
    <w:name w:val="Таблица текст"/>
    <w:basedOn w:val="Normal"/>
    <w:qFormat/>
    <w:rsid w:val="00343e95"/>
    <w:pPr>
      <w:spacing w:before="40" w:after="40"/>
      <w:ind w:left="57" w:right="57" w:hanging="0"/>
    </w:pPr>
    <w:rPr>
      <w:sz w:val="24"/>
      <w:szCs w:val="26"/>
    </w:rPr>
  </w:style>
  <w:style w:type="paragraph" w:styleId="NormalWeb">
    <w:name w:val="Normal (Web)"/>
    <w:basedOn w:val="Normal"/>
    <w:uiPriority w:val="99"/>
    <w:unhideWhenUsed/>
    <w:qFormat/>
    <w:rsid w:val="00265d9f"/>
    <w:pPr>
      <w:spacing w:beforeAutospacing="1" w:afterAutospacing="1"/>
    </w:pPr>
    <w:rPr>
      <w:sz w:val="24"/>
      <w:szCs w:val="24"/>
    </w:rPr>
  </w:style>
  <w:style w:type="paragraph" w:styleId="18" w:customStyle="1">
    <w:name w:val="УРОВЕНЬ_1."/>
    <w:basedOn w:val="ListParagraph"/>
    <w:link w:val="12"/>
    <w:qFormat/>
    <w:rsid w:val="004a17ae"/>
    <w:pPr>
      <w:keepNext w:val="true"/>
      <w:keepLines/>
      <w:spacing w:lineRule="auto" w:line="276" w:before="240" w:after="120"/>
      <w:ind w:left="0" w:hanging="0"/>
      <w:contextualSpacing w:val="false"/>
      <w:jc w:val="both"/>
      <w:outlineLvl w:val="0"/>
    </w:pPr>
    <w:rPr>
      <w:caps/>
      <w:sz w:val="28"/>
      <w:szCs w:val="28"/>
      <w:lang w:eastAsia="en-US"/>
    </w:rPr>
  </w:style>
  <w:style w:type="paragraph" w:styleId="TOC6">
    <w:name w:val="TOC 6"/>
    <w:basedOn w:val="Normal"/>
    <w:next w:val="Normal"/>
    <w:autoRedefine/>
    <w:unhideWhenUsed/>
    <w:rsid w:val="00d849aa"/>
    <w:pPr>
      <w:ind w:left="1120" w:hanging="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TOC7">
    <w:name w:val="TOC 7"/>
    <w:basedOn w:val="Normal"/>
    <w:next w:val="Normal"/>
    <w:autoRedefine/>
    <w:unhideWhenUsed/>
    <w:rsid w:val="00d849aa"/>
    <w:pPr>
      <w:ind w:left="1400" w:hanging="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TOC8">
    <w:name w:val="TOC 8"/>
    <w:basedOn w:val="Normal"/>
    <w:next w:val="Normal"/>
    <w:autoRedefine/>
    <w:unhideWhenUsed/>
    <w:rsid w:val="00d849aa"/>
    <w:pPr>
      <w:ind w:left="1680" w:hanging="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Default" w:customStyle="1">
    <w:name w:val="Default"/>
    <w:qFormat/>
    <w:rsid w:val="002b0911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Calibri" w:cs="Times New Roman" w:eastAsiaTheme="minorHAnsi"/>
      <w:color w:val="000000"/>
      <w:kern w:val="0"/>
      <w:sz w:val="24"/>
      <w:szCs w:val="24"/>
      <w:lang w:val="ru-RU" w:eastAsia="en-US" w:bidi="ar-SA"/>
    </w:rPr>
  </w:style>
  <w:style w:type="paragraph" w:styleId="Style33">
    <w:name w:val="Содержимое врезки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numbering" w:styleId="19" w:customStyle="1">
    <w:name w:val="Стиль1"/>
    <w:uiPriority w:val="99"/>
    <w:qFormat/>
    <w:rsid w:val="00f001e4"/>
  </w:style>
  <w:style w:type="numbering" w:styleId="29" w:customStyle="1">
    <w:name w:val="Стиль2"/>
    <w:uiPriority w:val="99"/>
    <w:qFormat/>
    <w:rsid w:val="006629c9"/>
  </w:style>
  <w:style w:type="table" w:default="1" w:styleId="a5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f">
    <w:name w:val="Table Grid"/>
    <w:basedOn w:val="a5"/>
    <w:uiPriority w:val="39"/>
    <w:rsid w:val="0076353a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c">
    <w:name w:val="Сетка таблицы1"/>
    <w:basedOn w:val="a5"/>
    <w:uiPriority w:val="39"/>
    <w:rsid w:val="00214b9f"/>
    <w:rPr>
      <w:rFonts w:asciiTheme="minorHAnsi" w:hAnsiTheme="minorHAnsi" w:eastAsiaTheme="minorHAnsi" w:cstheme="minorBidi"/>
      <w:lang w:eastAsia="en-US"/>
      <w:sz w:val="24"/>
      <w:szCs w:val="24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header" Target="header4.xml"/><Relationship Id="rId6" Type="http://schemas.openxmlformats.org/officeDocument/2006/relationships/header" Target="header5.xml"/><Relationship Id="rId7" Type="http://schemas.openxmlformats.org/officeDocument/2006/relationships/header" Target="header6.xml"/><Relationship Id="rId8" Type="http://schemas.openxmlformats.org/officeDocument/2006/relationships/header" Target="header7.xml"/><Relationship Id="rId9" Type="http://schemas.openxmlformats.org/officeDocument/2006/relationships/header" Target="header8.xml"/><Relationship Id="rId10" Type="http://schemas.openxmlformats.org/officeDocument/2006/relationships/header" Target="header9.xml"/><Relationship Id="rId11" Type="http://schemas.openxmlformats.org/officeDocument/2006/relationships/header" Target="header10.xml"/><Relationship Id="rId12" Type="http://schemas.openxmlformats.org/officeDocument/2006/relationships/numbering" Target="numbering.xml"/><Relationship Id="rId13" Type="http://schemas.openxmlformats.org/officeDocument/2006/relationships/fontTable" Target="fontTable.xml"/><Relationship Id="rId14" Type="http://schemas.openxmlformats.org/officeDocument/2006/relationships/settings" Target="settings.xml"/><Relationship Id="rId15" Type="http://schemas.openxmlformats.org/officeDocument/2006/relationships/theme" Target="theme/theme1.xml"/><Relationship Id="rId16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B9720A-40E0-43C2-898B-DE767EF712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Application>AlterOffice/3.4.0.9$Linux_X86_64 LibreOffice_project/b8daf9e823b1a5463a2f48435ddc2e8696e7d4fc</Application>
  <AppVersion>15.0000</AppVersion>
  <Pages>10</Pages>
  <Words>1551</Words>
  <Characters>10833</Characters>
  <CharactersWithSpaces>12539</CharactersWithSpaces>
  <Paragraphs>193</Paragraphs>
  <Company>Microsoft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2023-07-07T07:34:00Z</dcterms:created>
  <dc:creator>Быстров Олег Геннадьевич</dc:creator>
  <dc:description/>
  <dc:language>ru-RU</dc:language>
  <cp:lastModifiedBy>dvoreckovaaa@corp.gidroogk.com</cp:lastModifiedBy>
  <cp:lastPrinted>2024-11-07T09:02:52Z</cp:lastPrinted>
  <dcterms:modified xsi:type="dcterms:W3CDTF">2026-05-27T11:57:21Z</dcterms:modified>
  <cp:revision>35</cp:revision>
  <dc:subject/>
  <dc:title>Российское открытое акционерное общество энергетики и электрификации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