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9D5A81"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вн. тер. г. </w:t>
            </w:r>
            <w:r w:rsidR="003454E2">
              <w:rPr>
                <w:rFonts w:ascii="Times New Roman" w:hAnsi="Times New Roman"/>
                <w:bCs/>
                <w:color w:val="000000"/>
              </w:rPr>
              <w:t>м</w:t>
            </w:r>
            <w:r w:rsidRPr="003B7B94">
              <w:rPr>
                <w:rFonts w:ascii="Times New Roman" w:hAnsi="Times New Roman"/>
                <w:bCs/>
                <w:color w:val="000000"/>
              </w:rPr>
              <w:t>униципальный округ Смольнинское, Синопская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r w:rsidRPr="003454E2">
                <w:rPr>
                  <w:rStyle w:val="af0"/>
                  <w:rFonts w:ascii="Times New Roman" w:hAnsi="Times New Roman"/>
                  <w:bCs/>
                  <w:lang w:val="en-US"/>
                </w:rPr>
                <w:t>ru</w:t>
              </w:r>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9D5A81" w:rsidRPr="009D5A81" w:rsidRDefault="009D5A81" w:rsidP="009D5A81">
            <w:pPr>
              <w:pStyle w:val="Default"/>
              <w:rPr>
                <w:bCs/>
                <w:iCs/>
                <w:sz w:val="22"/>
                <w:szCs w:val="22"/>
              </w:rPr>
            </w:pPr>
            <w:r w:rsidRPr="009D5A81">
              <w:rPr>
                <w:bCs/>
                <w:iCs/>
                <w:sz w:val="22"/>
                <w:szCs w:val="22"/>
              </w:rPr>
              <w:t>Ленская Виктория Викторовна</w:t>
            </w:r>
          </w:p>
          <w:p w:rsidR="008C3F14" w:rsidRPr="009D5A81" w:rsidRDefault="009D5A81" w:rsidP="009D5A81">
            <w:pPr>
              <w:autoSpaceDE w:val="0"/>
              <w:autoSpaceDN w:val="0"/>
              <w:adjustRightInd w:val="0"/>
              <w:spacing w:after="0" w:line="240" w:lineRule="auto"/>
              <w:rPr>
                <w:rStyle w:val="af0"/>
                <w:rFonts w:ascii="Times New Roman" w:hAnsi="Times New Roman"/>
                <w:lang w:val="en-US"/>
              </w:rPr>
            </w:pPr>
            <w:r w:rsidRPr="009D5A81">
              <w:rPr>
                <w:rFonts w:ascii="Times New Roman" w:eastAsiaTheme="minorHAnsi" w:hAnsi="Times New Roman"/>
                <w:bCs/>
                <w:iCs/>
                <w:color w:val="000000"/>
                <w:lang w:eastAsia="ru-RU"/>
              </w:rPr>
              <w:t>тел</w:t>
            </w:r>
            <w:r w:rsidRPr="009D5A81">
              <w:rPr>
                <w:rFonts w:ascii="Times New Roman" w:eastAsiaTheme="minorHAnsi" w:hAnsi="Times New Roman"/>
                <w:bCs/>
                <w:iCs/>
                <w:color w:val="000000"/>
                <w:lang w:val="en-US" w:eastAsia="ru-RU"/>
              </w:rPr>
              <w:t xml:space="preserve">. +7 (861) 265-66-01, e-mail: </w:t>
            </w:r>
            <w:hyperlink r:id="rId11" w:history="1">
              <w:r w:rsidRPr="009D5A81">
                <w:rPr>
                  <w:rStyle w:val="af0"/>
                  <w:rFonts w:ascii="Times New Roman" w:eastAsiaTheme="minorHAnsi" w:hAnsi="Times New Roman"/>
                  <w:bCs/>
                  <w:iCs/>
                  <w:lang w:val="en-US" w:eastAsia="ru-RU"/>
                </w:rPr>
                <w:t>viktoriya.lenskaya@rt.ru</w:t>
              </w:r>
            </w:hyperlink>
          </w:p>
          <w:p w:rsidR="003454E2" w:rsidRPr="009D5A81" w:rsidRDefault="003454E2" w:rsidP="003454E2">
            <w:pPr>
              <w:autoSpaceDE w:val="0"/>
              <w:autoSpaceDN w:val="0"/>
              <w:adjustRightInd w:val="0"/>
              <w:spacing w:after="0" w:line="240" w:lineRule="auto"/>
              <w:rPr>
                <w:rFonts w:ascii="Times New Roman" w:hAnsi="Times New Roman"/>
                <w:color w:val="000000"/>
                <w:lang w:val="en-US"/>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9D5A81" w:rsidRDefault="008C3F14" w:rsidP="008C3F14">
            <w:pPr>
              <w:numPr>
                <w:ilvl w:val="0"/>
                <w:numId w:val="29"/>
              </w:numPr>
              <w:tabs>
                <w:tab w:val="left" w:pos="0"/>
              </w:tabs>
              <w:spacing w:after="0" w:line="240" w:lineRule="auto"/>
              <w:ind w:left="0" w:firstLine="37"/>
              <w:jc w:val="center"/>
              <w:rPr>
                <w:rFonts w:ascii="Times New Roman" w:hAnsi="Times New Roman"/>
                <w:b/>
                <w:lang w:val="en-US"/>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Строительство сети доступа для подключения клиентов сегментов B2C/B2B/B2O/B2G1/2 в Приволжском федеральном округе для нужд Кировского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E63DE8"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r w:rsidRPr="003B7B94">
                    <w:rPr>
                      <w:rFonts w:ascii="Times New Roman" w:hAnsi="Times New Roman"/>
                      <w:color w:val="000000"/>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r w:rsidRPr="003B7B94">
                    <w:rPr>
                      <w:rFonts w:ascii="Times New Roman" w:hAnsi="Times New Roman"/>
                    </w:rPr>
                    <w:t xml:space="preserve">Неприостановление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zakupki</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gov</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ru</w:t>
                    </w:r>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zakupki</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gov</w:t>
                    </w:r>
                    <w:r w:rsidRPr="00192A9D">
                      <w:rPr>
                        <w:rFonts w:ascii="Times New Roman" w:eastAsia="Times New Roman" w:hAnsi="Times New Roman"/>
                        <w:color w:val="0000FF"/>
                        <w:u w:val="single"/>
                        <w:lang w:eastAsia="ru-RU"/>
                      </w:rPr>
                      <w:t>.</w:t>
                    </w:r>
                    <w:r w:rsidRPr="00192A9D">
                      <w:rPr>
                        <w:rFonts w:ascii="Times New Roman" w:eastAsia="Times New Roman" w:hAnsi="Times New Roman"/>
                        <w:color w:val="0000FF"/>
                        <w:u w:val="single"/>
                        <w:lang w:val="en-US" w:eastAsia="ru-RU"/>
                      </w:rPr>
                      <w:t>ru</w:t>
                    </w:r>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E63DE8" w:rsidRPr="00E63DE8">
                    <w:rPr>
                      <w:rFonts w:ascii="Times New Roman" w:hAnsi="Times New Roman"/>
                      <w:b/>
                      <w:bCs/>
                      <w:color w:val="000000"/>
                    </w:rPr>
                    <w:t>32615811490</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F40DF6" w:rsidRPr="007D20AE">
                    <w:rPr>
                      <w:rFonts w:ascii="Times New Roman" w:hAnsi="Times New Roman"/>
                      <w:b/>
                      <w:color w:val="000000"/>
                    </w:rPr>
                    <w:t>№ </w:t>
                  </w:r>
                  <w:r w:rsidR="00E63DE8" w:rsidRPr="00E63DE8">
                    <w:rPr>
                      <w:rFonts w:ascii="Times New Roman" w:hAnsi="Times New Roman"/>
                      <w:b/>
                      <w:bCs/>
                      <w:color w:val="000000"/>
                    </w:rPr>
                    <w:t>32615811490</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мск</w:t>
            </w:r>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4T00:00:00Z">
                  <w:dateFormat w:val="«dd» MMMM yyyy 'года'"/>
                  <w:lid w:val="ru-RU"/>
                  <w:storeMappedDataAs w:val="dateTime"/>
                  <w:calendar w:val="gregorian"/>
                </w:date>
              </w:sdtPr>
              <w:sdtEndPr/>
              <w:sdtContent>
                <w:r w:rsidR="007325D4">
                  <w:rPr>
                    <w:rFonts w:ascii="Times New Roman" w:hAnsi="Times New Roman"/>
                    <w:b/>
                    <w:color w:val="FF0000"/>
                  </w:rPr>
                  <w:t>«04»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bookmarkStart w:id="5" w:name="_GoBack"/>
            <w:bookmarkEnd w:id="5"/>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указывает вариант 1 - п</w:t>
            </w:r>
            <w:r>
              <w:rPr>
                <w:rFonts w:ascii="Times New Roman" w:hAnsi="Times New Roman"/>
              </w:rPr>
              <w:t>п</w:t>
            </w:r>
            <w:r w:rsidRPr="005554C0">
              <w:rPr>
                <w:rFonts w:ascii="Times New Roman" w:hAnsi="Times New Roman"/>
              </w:rPr>
              <w:t>. 3.3.1</w:t>
            </w:r>
            <w:r>
              <w:rPr>
                <w:rFonts w:ascii="Times New Roman" w:hAnsi="Times New Roman"/>
              </w:rPr>
              <w:t>.</w:t>
            </w:r>
            <w:r w:rsidRPr="005554C0">
              <w:rPr>
                <w:rFonts w:ascii="Times New Roman" w:hAnsi="Times New Roman"/>
              </w:rPr>
              <w:t xml:space="preserve"> - 3.3.2.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указывает вариант 2 - п</w:t>
            </w:r>
            <w:r>
              <w:rPr>
                <w:rFonts w:ascii="Times New Roman" w:hAnsi="Times New Roman"/>
              </w:rPr>
              <w:t>п</w:t>
            </w:r>
            <w:r w:rsidRPr="005554C0">
              <w:rPr>
                <w:rFonts w:ascii="Times New Roman" w:hAnsi="Times New Roman"/>
              </w:rPr>
              <w:t>. 3.3.1</w:t>
            </w:r>
            <w:r>
              <w:rPr>
                <w:rFonts w:ascii="Times New Roman" w:hAnsi="Times New Roman"/>
              </w:rPr>
              <w:t xml:space="preserve">. </w:t>
            </w:r>
            <w:r w:rsidRPr="005554C0">
              <w:rPr>
                <w:rFonts w:ascii="Times New Roman" w:hAnsi="Times New Roman"/>
              </w:rPr>
              <w:t>- 3.3.2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п</w:t>
            </w:r>
            <w:r>
              <w:rPr>
                <w:rFonts w:ascii="Times New Roman" w:hAnsi="Times New Roman"/>
              </w:rPr>
              <w:t>п</w:t>
            </w:r>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Word, Excel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7"/>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8"/>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Pr>
                <w:rFonts w:ascii="Times New Roman" w:hAnsi="Times New Roman"/>
                <w:i/>
              </w:rPr>
              <w:t>5</w:t>
            </w:r>
            <w:r w:rsidRPr="007A7047">
              <w:rPr>
                <w:rFonts w:ascii="Times New Roman" w:hAnsi="Times New Roman"/>
                <w:i/>
              </w:rPr>
              <w:t>% (</w:t>
            </w:r>
            <w:r>
              <w:rPr>
                <w:rFonts w:ascii="Times New Roman" w:hAnsi="Times New Roman"/>
                <w:i/>
              </w:rPr>
              <w:t>пяти</w:t>
            </w:r>
            <w:r w:rsidRPr="007A7047">
              <w:rPr>
                <w:rFonts w:ascii="Times New Roman" w:hAnsi="Times New Roman"/>
                <w:i/>
              </w:rPr>
              <w:t xml:space="preserve"> процент</w:t>
            </w:r>
            <w:r>
              <w:rPr>
                <w:rFonts w:ascii="Times New Roman" w:hAnsi="Times New Roman"/>
                <w:i/>
              </w:rPr>
              <w:t>ов</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пп.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например, СБИС (Тензор), Диадок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7325D4">
          <w:rPr>
            <w:rFonts w:ascii="Times New Roman" w:hAnsi="Times New Roman"/>
            <w:noProof/>
            <w:sz w:val="24"/>
            <w:szCs w:val="24"/>
          </w:rPr>
          <w:t>3</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25D4"/>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ya.lenskaya@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800F-D5FD-464C-B131-59D1E159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3856</Words>
  <Characters>28623</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32</cp:revision>
  <cp:lastPrinted>2022-02-03T01:48:00Z</cp:lastPrinted>
  <dcterms:created xsi:type="dcterms:W3CDTF">2025-08-01T05:49:00Z</dcterms:created>
  <dcterms:modified xsi:type="dcterms:W3CDTF">2026-05-28T06:41:00Z</dcterms:modified>
</cp:coreProperties>
</file>