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Override PartName="/word/_rels/document.xml.rels" ContentType="application/vnd.openxmlformats-package.relationship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4.xml" ContentType="application/vnd.openxmlformats-officedocument.wordprocessingml.footer+xml"/>
  <Override PartName="/word/footer13.xml" ContentType="application/vnd.openxmlformats-officedocument.wordprocessingml.footer+xml"/>
  <Override PartName="/word/header3.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embeddings/oleObject2.docx" ContentType="application/vnd.openxmlformats-officedocument.wordprocessingml.document"/>
  <Override PartName="/word/embeddings/oleObject3.docx" ContentType="application/vnd.openxmlformats-officedocument.wordprocessingml.document"/>
  <Override PartName="/word/embeddings/oleObject1.docx" ContentType="application/vnd.openxmlformats-officedocument.wordprocessingml.document"/>
  <Override PartName="/word/footer3.xml" ContentType="application/vnd.openxmlformats-officedocument.wordprocessingml.footer+xml"/>
  <Override PartName="/word/footnotes.xml" ContentType="application/vnd.openxmlformats-officedocument.wordprocessingml.footnotes+xml"/>
  <Override PartName="/word/footer7.xml" ContentType="application/vnd.openxmlformats-officedocument.wordprocessingml.footer+xml"/>
  <Override PartName="/word/footer10.xml" ContentType="application/vnd.openxmlformats-officedocument.wordprocessingml.footer+xml"/>
  <Override PartName="/word/header14.xml" ContentType="application/vnd.openxmlformats-officedocument.wordprocessingml.header+xml"/>
  <Override PartName="/word/theme/theme1.xml" ContentType="application/vnd.openxmlformats-officedocument.theme+xml"/>
  <Override PartName="/word/header5.xml" ContentType="application/vnd.openxmlformats-officedocument.wordprocessingml.header+xml"/>
  <Override PartName="/word/header1.xml" ContentType="application/vnd.openxmlformats-officedocument.wordprocessingml.header+xml"/>
  <Override PartName="/word/header10.xml" ContentType="application/vnd.openxmlformats-officedocument.wordprocessingml.header+xml"/>
  <Override PartName="/word/numbering.xml" ContentType="application/vnd.openxmlformats-officedocument.wordprocessingml.numbering+xml"/>
  <Override PartName="/word/footer6.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header2.xml" ContentType="application/vnd.openxmlformats-officedocument.wordprocessingml.header+xml"/>
  <Override PartName="/word/header11.xml" ContentType="application/vnd.openxmlformats-officedocument.wordprocessingml.header+xml"/>
  <Override PartName="/word/header4.xml" ContentType="application/vnd.openxmlformats-officedocument.wordprocessingml.header+xml"/>
  <Override PartName="/word/header13.xml" ContentType="application/vnd.openxmlformats-officedocument.wordprocessingml.header+xml"/>
  <Override PartName="/word/header7.xml" ContentType="application/vnd.openxmlformats-officedocument.wordprocessingml.header+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media/image2.wmf" ContentType="image/x-wmf"/>
  <Override PartName="/word/media/image3.wmf" ContentType="image/x-wmf"/>
  <Override PartName="/word/media/image1.wmf" ContentType="image/x-wmf"/>
  <Override PartName="/word/header6.xml" ContentType="application/vnd.openxmlformats-officedocument.wordprocessingml.header+xml"/>
  <Override PartName="/word/header15.xml" ContentType="application/vnd.openxmlformats-officedocument.wordprocessingml.header+xml"/>
  <Override PartName="/word/footer8.xml" ContentType="application/vnd.openxmlformats-officedocument.wordprocessingml.footer+xml"/>
  <Override PartName="/word/styles.xml" ContentType="application/vnd.openxmlformats-officedocument.wordprocessingml.styles+xml"/>
  <Override PartName="/word/footer11.xml" ContentType="application/vnd.openxmlformats-officedocument.wordprocessingml.footer+xml"/>
  <Override PartName="/word/fontTable.xml" ContentType="application/vnd.openxmlformats-officedocument.wordprocessingml.fontTable+xml"/>
  <Override PartName="/word/footer9.xml" ContentType="application/vnd.openxmlformats-officedocument.wordprocessingml.footer+xml"/>
  <Override PartName="/word/footer12.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yle28"/>
        <w:keepNext w:val="true"/>
        <w:spacing w:before="120" w:after="0"/>
        <w:ind w:left="4536" w:hanging="0"/>
        <w:rPr/>
      </w:pPr>
      <w:r>
        <w:rPr/>
        <w:t>«УТВЕРЖДАЮ»</w:t>
      </w:r>
    </w:p>
    <w:p>
      <w:pPr>
        <w:pStyle w:val="Style28"/>
        <w:keepNext w:val="true"/>
        <w:ind w:left="4536" w:hanging="0"/>
        <w:rPr/>
      </w:pPr>
      <w:r>
        <w:rPr/>
        <w:t>Председатель закупочной комиссии</w:t>
      </w:r>
    </w:p>
    <w:p>
      <w:pPr>
        <w:pStyle w:val="Style28"/>
        <w:keepNext w:val="true"/>
        <w:ind w:left="4536" w:hanging="0"/>
        <w:rPr/>
      </w:pPr>
      <w:r>
        <w:rPr/>
      </w:r>
    </w:p>
    <w:p>
      <w:pPr>
        <w:pStyle w:val="Style28"/>
        <w:keepNext w:val="true"/>
        <w:ind w:left="4536" w:hanging="0"/>
        <w:rPr/>
      </w:pPr>
      <w:r>
        <w:rPr/>
        <w:t>___________________ Крымов В.А.</w:t>
      </w:r>
    </w:p>
    <w:p>
      <w:pPr>
        <w:pStyle w:val="Style28"/>
        <w:keepNext w:val="true"/>
        <w:ind w:left="4536" w:hanging="0"/>
        <w:rPr/>
      </w:pPr>
      <w:r>
        <w:rPr/>
        <w:t>«____» ___________________ 2026 год</w:t>
      </w:r>
    </w:p>
    <w:p>
      <w:pPr>
        <w:pStyle w:val="Style28"/>
        <w:rPr/>
      </w:pPr>
      <w:r>
        <w:rPr/>
      </w:r>
    </w:p>
    <w:p>
      <w:pPr>
        <w:pStyle w:val="Style28"/>
        <w:rPr/>
      </w:pPr>
      <w:r>
        <w:rPr/>
      </w:r>
    </w:p>
    <w:p>
      <w:pPr>
        <w:pStyle w:val="Style28"/>
        <w:rPr/>
      </w:pPr>
      <w:r>
        <w:rPr/>
      </w:r>
    </w:p>
    <w:p>
      <w:pPr>
        <w:pStyle w:val="Style28"/>
        <w:rPr/>
      </w:pPr>
      <w:r>
        <w:rPr/>
      </w:r>
    </w:p>
    <w:p>
      <w:pPr>
        <w:pStyle w:val="Style28"/>
        <w:rPr/>
      </w:pPr>
      <w:r>
        <w:rPr/>
      </w:r>
    </w:p>
    <w:p>
      <w:pPr>
        <w:pStyle w:val="Style28"/>
        <w:keepNext w:val="true"/>
        <w:numPr>
          <w:ilvl w:val="0"/>
          <w:numId w:val="0"/>
        </w:numPr>
        <w:ind w:left="0" w:hanging="0"/>
        <w:jc w:val="center"/>
        <w:outlineLvl w:val="2"/>
        <w:rPr>
          <w:b/>
          <w:bCs/>
          <w:caps/>
        </w:rPr>
      </w:pPr>
      <w:r>
        <w:rPr>
          <w:b/>
          <w:bCs/>
          <w:caps/>
        </w:rPr>
        <w:t>Документация о закупке</w:t>
      </w:r>
    </w:p>
    <w:p>
      <w:pPr>
        <w:pStyle w:val="Style28"/>
        <w:keepNext w:val="true"/>
        <w:spacing w:before="240" w:after="0"/>
        <w:jc w:val="center"/>
        <w:rPr/>
      </w:pPr>
      <w:r>
        <w:rPr/>
        <w:t>Состязательный отбор в электронной форме,</w:t>
        <w:br/>
        <w:t>участниками которого могут быть только субъекты МСП</w:t>
        <w:br/>
        <w:t>на право заключения договора на </w:t>
      </w:r>
    </w:p>
    <w:p>
      <w:pPr>
        <w:pStyle w:val="Normal"/>
        <w:widowControl w:val="false"/>
        <w:spacing w:lineRule="auto" w:line="240" w:before="60" w:after="60"/>
        <w:ind w:left="-108" w:right="-108" w:hanging="0"/>
        <w:jc w:val="center"/>
        <w:rPr>
          <w:rFonts w:ascii="Times New Roman" w:hAnsi="Times New Roman" w:eastAsia="Calibri" w:cs="" w:cstheme="minorBidi" w:eastAsiaTheme="minorHAnsi"/>
          <w:color w:val="auto"/>
          <w:kern w:val="0"/>
          <w:sz w:val="26"/>
          <w:szCs w:val="22"/>
          <w:lang w:val="ru-RU" w:eastAsia="en-US" w:bidi="ar-SA"/>
        </w:rPr>
      </w:pPr>
      <w:r>
        <w:rPr>
          <w:rFonts w:eastAsia="Calibri" w:cs="" w:cstheme="minorBidi" w:eastAsiaTheme="minorHAnsi"/>
          <w:color w:val="auto"/>
          <w:kern w:val="0"/>
          <w:sz w:val="26"/>
          <w:szCs w:val="22"/>
          <w:lang w:val="ru-RU" w:eastAsia="en-US" w:bidi="ar-SA"/>
        </w:rPr>
        <w:t>ОКПД2 71.12.19 Разработка рабочей документации по техническому перевооружению системы вентиляции здания Водоприемника Загорской ГАЭС, в рамках инвестиционного проекта K_T-1100-068</w:t>
      </w:r>
    </w:p>
    <w:p>
      <w:pPr>
        <w:sectPr>
          <w:footerReference w:type="default" r:id="rId2"/>
          <w:type w:val="nextPage"/>
          <w:pgSz w:w="11906" w:h="16838"/>
          <w:pgMar w:left="1134" w:right="850" w:gutter="0" w:header="0" w:top="851" w:footer="567" w:bottom="851"/>
          <w:pgNumType w:fmt="decimal"/>
          <w:formProt w:val="false"/>
          <w:textDirection w:val="lrTb"/>
          <w:docGrid w:type="default" w:linePitch="360" w:charSpace="0"/>
        </w:sectPr>
        <w:pStyle w:val="Style28"/>
        <w:keepNext w:val="true"/>
        <w:spacing w:before="0" w:after="0"/>
        <w:jc w:val="center"/>
        <w:rPr>
          <w:rFonts w:ascii="Times New Roman" w:hAnsi="Times New Roman" w:eastAsia="Calibri" w:cs="" w:cstheme="minorBidi" w:eastAsiaTheme="minorHAnsi"/>
          <w:color w:val="auto"/>
          <w:kern w:val="0"/>
          <w:sz w:val="26"/>
          <w:szCs w:val="22"/>
          <w:lang w:val="ru-RU" w:eastAsia="en-US" w:bidi="ar-SA"/>
        </w:rPr>
      </w:pPr>
      <w:r>
        <w:rPr>
          <w:rFonts w:eastAsia="Calibri" w:cs="" w:cstheme="minorBidi" w:eastAsiaTheme="minorHAnsi"/>
          <w:color w:val="auto"/>
          <w:kern w:val="0"/>
          <w:sz w:val="26"/>
          <w:szCs w:val="22"/>
          <w:lang w:val="ru-RU" w:eastAsia="en-US" w:bidi="ar-SA"/>
        </w:rPr>
        <w:t>(Лот № 3-ТПиР-ПИР-2026-ЗагГАЭС)</w:t>
      </w:r>
    </w:p>
    <w:p>
      <w:pPr>
        <w:pStyle w:val="Style27"/>
        <w:numPr>
          <w:ilvl w:val="0"/>
          <w:numId w:val="0"/>
        </w:numPr>
        <w:ind w:left="0" w:hanging="0"/>
        <w:outlineLvl w:val="2"/>
        <w:rPr/>
      </w:pPr>
      <w:r>
        <w:rPr/>
        <w:t>Содержание</w:t>
      </w:r>
    </w:p>
    <w:sdt>
      <w:sdtPr>
        <w:docPartObj>
          <w:docPartGallery w:val="Table of Contents"/>
          <w:docPartUnique w:val="true"/>
        </w:docPartObj>
      </w:sdtPr>
      <w:sdtContent>
        <w:p>
          <w:pPr>
            <w:pStyle w:val="TOC1"/>
            <w:rPr>
              <w:rFonts w:ascii="Calibri" w:hAnsi="Calibri" w:eastAsia="" w:asciiTheme="minorHAnsi" w:eastAsiaTheme="minorEastAsia" w:hAnsiTheme="minorHAnsi"/>
              <w:b w:val="false"/>
              <w:color w:val="000000" w:themeColor="text1"/>
              <w:kern w:val="2"/>
              <w:sz w:val="22"/>
              <w:lang w:eastAsia="ru-RU"/>
              <w14:ligatures w14:val="standardContextual"/>
            </w:rPr>
          </w:pPr>
          <w:r>
            <w:rPr>
              <w:b w:val="false"/>
              <w:caps w:val="false"/>
              <w:smallCaps w:val="false"/>
              <w:color w:val="000000" w:themeColor="text1"/>
            </w:rPr>
            <w:t>Сокращения</w:t>
          </w:r>
          <w:r>
            <w:rPr>
              <w:b w:val="false"/>
              <w:vanish/>
              <w:color w:val="000000" w:themeColor="text1"/>
            </w:rPr>
            <w:tab/>
            <w:t>5</w:t>
          </w:r>
        </w:p>
        <w:p>
          <w:pPr>
            <w:pStyle w:val="TOC1"/>
            <w:rPr>
              <w:rFonts w:ascii="Calibri" w:hAnsi="Calibri" w:eastAsia="" w:asciiTheme="minorHAnsi" w:eastAsiaTheme="minorEastAsia" w:hAnsiTheme="minorHAnsi"/>
              <w:b w:val="false"/>
              <w:color w:val="000000" w:themeColor="text1"/>
              <w:kern w:val="2"/>
              <w:sz w:val="22"/>
              <w:lang w:eastAsia="ru-RU"/>
              <w14:ligatures w14:val="standardContextual"/>
            </w:rPr>
          </w:pPr>
          <w:r>
            <w:rPr>
              <w:b w:val="false"/>
              <w:caps w:val="false"/>
              <w:smallCaps w:val="false"/>
              <w:color w:val="000000" w:themeColor="text1"/>
            </w:rPr>
            <w:t>Термины и определения</w:t>
          </w:r>
          <w:r>
            <w:rPr>
              <w:b w:val="false"/>
              <w:caps w:val="false"/>
              <w:smallCaps w:val="false"/>
              <w:vanish/>
              <w:color w:val="000000" w:themeColor="text1"/>
            </w:rPr>
            <w:tab/>
            <w:t>7</w:t>
          </w:r>
        </w:p>
        <w:p>
          <w:pPr>
            <w:pStyle w:val="TOC1"/>
            <w:rPr>
              <w:rFonts w:ascii="Calibri" w:hAnsi="Calibri" w:eastAsia="" w:asciiTheme="minorHAnsi" w:eastAsiaTheme="minorEastAsia" w:hAnsiTheme="minorHAnsi"/>
              <w:b w:val="false"/>
              <w:caps w:val="false"/>
              <w:smallCaps w:val="false"/>
              <w:sz w:val="22"/>
              <w:lang w:eastAsia="ru-RU"/>
            </w:rPr>
          </w:pPr>
          <w:r>
            <w:fldChar w:fldCharType="begin"/>
          </w:r>
          <w:r>
            <w:rPr>
              <w:webHidden/>
              <w:rStyle w:val="Style18"/>
              <w:vanish w:val="false"/>
            </w:rPr>
            <w:instrText xml:space="preserve"> TOC \z \u \t "[РГ] Перечисление,5,[РГ] Подпункт,4,[РГ] Пункт,3,[РГ] Подраздел,2,[РГ] Раздел,1,[РГ] Раздел,1,[РГ] Раздел,1,[РГ] Раздел,1,[РГ] Раздел,1,[РГ] Раздел,1,[РГ] Раздел,1,[РГ] Подраздел,2,[РГ] Подраздел,2,[РГ] Подраздел,2,[РГ] Подраздел,2,[РГ] Подраздел,2,[РГ] Подраздел,2,[РГ] Пункт,3,[РГ] Пункт,3,[РГ] Пункт,3,[РГ] Пункт,3,[РГ] Пункт,3,[РГ] Подпункт,4,[РГ] Подпункт,4,[РГ] Подпункт,4,[РГ] Подпункт,4,[РГ] Подпункт,4,[РГ] Перечисление,5,[РГ] Перечисление,5,[РГ] Перечисление,5,[РГ] Перечисление,5,[РГ] Перечисление,5" \h</w:instrText>
          </w:r>
          <w:r>
            <w:rPr>
              <w:webHidden/>
              <w:rStyle w:val="Style18"/>
              <w:vanish w:val="false"/>
            </w:rPr>
            <w:fldChar w:fldCharType="separate"/>
          </w:r>
          <w:hyperlink w:anchor="_Toc188004656">
            <w:r>
              <w:rPr>
                <w:webHidden/>
                <w:rStyle w:val="Style18"/>
                <w:vanish w:val="false"/>
              </w:rPr>
              <w:t>1.</w:t>
            </w:r>
            <w:r>
              <w:rPr>
                <w:rStyle w:val="Style18"/>
                <w:rFonts w:eastAsia="" w:ascii="Calibri" w:hAnsi="Calibri" w:asciiTheme="minorHAnsi" w:eastAsiaTheme="minorEastAsia" w:hAnsiTheme="minorHAnsi"/>
                <w:b w:val="false"/>
                <w:caps w:val="false"/>
                <w:smallCaps w:val="false"/>
                <w:sz w:val="22"/>
                <w:lang w:eastAsia="ru-RU"/>
              </w:rPr>
              <w:tab/>
            </w:r>
            <w:r>
              <w:rPr>
                <w:rStyle w:val="Style18"/>
              </w:rPr>
              <w:t>Основные сведения о закупке</w:t>
              <w:tab/>
            </w:r>
            <w:r>
              <w:rPr>
                <w:webHidden/>
              </w:rPr>
              <w:fldChar w:fldCharType="begin"/>
            </w:r>
            <w:r>
              <w:rPr>
                <w:webHidden/>
              </w:rPr>
              <w:instrText xml:space="preserve">PAGEREF _Toc188004656 \h</w:instrText>
            </w:r>
            <w:r>
              <w:rPr>
                <w:webHidden/>
              </w:rPr>
              <w:fldChar w:fldCharType="separate"/>
            </w:r>
            <w:r>
              <w:rPr>
                <w:rStyle w:val="Style18"/>
                <w:vanish w:val="false"/>
              </w:rPr>
              <w:t>11</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57">
            <w:r>
              <w:rPr>
                <w:webHidden/>
                <w:rStyle w:val="Style18"/>
                <w:vanish w:val="false"/>
              </w:rPr>
              <w:t>1.1</w:t>
            </w:r>
            <w:r>
              <w:rPr>
                <w:rStyle w:val="Style18"/>
                <w:rFonts w:eastAsia="" w:ascii="Calibri" w:hAnsi="Calibri" w:asciiTheme="minorHAnsi" w:eastAsiaTheme="minorEastAsia" w:hAnsiTheme="minorHAnsi"/>
                <w:sz w:val="22"/>
                <w:lang w:eastAsia="ru-RU"/>
              </w:rPr>
              <w:tab/>
            </w:r>
            <w:r>
              <w:rPr>
                <w:rStyle w:val="Style18"/>
              </w:rPr>
              <w:t>Статус настоящего раздела</w:t>
              <w:tab/>
            </w:r>
            <w:r>
              <w:rPr>
                <w:webHidden/>
              </w:rPr>
              <w:fldChar w:fldCharType="begin"/>
            </w:r>
            <w:r>
              <w:rPr>
                <w:webHidden/>
              </w:rPr>
              <w:instrText xml:space="preserve">PAGEREF _Toc188004657 \h</w:instrText>
            </w:r>
            <w:r>
              <w:rPr>
                <w:webHidden/>
              </w:rPr>
              <w:fldChar w:fldCharType="separate"/>
            </w:r>
            <w:r>
              <w:rPr>
                <w:rStyle w:val="Style18"/>
                <w:vanish w:val="false"/>
              </w:rPr>
              <w:t>11</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58">
            <w:r>
              <w:rPr>
                <w:webHidden/>
                <w:rStyle w:val="Style18"/>
                <w:vanish w:val="false"/>
              </w:rPr>
              <w:t>1.2</w:t>
            </w:r>
            <w:r>
              <w:rPr>
                <w:rStyle w:val="Style18"/>
                <w:rFonts w:eastAsia="" w:ascii="Calibri" w:hAnsi="Calibri" w:asciiTheme="minorHAnsi" w:eastAsiaTheme="minorEastAsia" w:hAnsiTheme="minorHAnsi"/>
                <w:sz w:val="22"/>
                <w:lang w:eastAsia="ru-RU"/>
              </w:rPr>
              <w:tab/>
            </w:r>
            <w:r>
              <w:rPr>
                <w:rStyle w:val="Style18"/>
              </w:rPr>
              <w:t>Информация о проводимой закупке</w:t>
              <w:tab/>
            </w:r>
            <w:r>
              <w:rPr>
                <w:webHidden/>
              </w:rPr>
              <w:fldChar w:fldCharType="begin"/>
            </w:r>
            <w:r>
              <w:rPr>
                <w:webHidden/>
              </w:rPr>
              <w:instrText xml:space="preserve">PAGEREF _Toc188004658 \h</w:instrText>
            </w:r>
            <w:r>
              <w:rPr>
                <w:webHidden/>
              </w:rPr>
              <w:fldChar w:fldCharType="separate"/>
            </w:r>
            <w:r>
              <w:rPr>
                <w:rStyle w:val="Style18"/>
                <w:vanish w:val="false"/>
              </w:rPr>
              <w:t>11</w:t>
            </w:r>
            <w:r>
              <w:rPr>
                <w:webHidden/>
              </w:rPr>
              <w:fldChar w:fldCharType="end"/>
            </w:r>
          </w:hyperlink>
        </w:p>
        <w:p>
          <w:pPr>
            <w:pStyle w:val="TOC1"/>
            <w:rPr>
              <w:rFonts w:ascii="Calibri" w:hAnsi="Calibri" w:eastAsia="" w:asciiTheme="minorHAnsi" w:eastAsiaTheme="minorEastAsia" w:hAnsiTheme="minorHAnsi"/>
              <w:b w:val="false"/>
              <w:caps w:val="false"/>
              <w:smallCaps w:val="false"/>
              <w:sz w:val="22"/>
              <w:lang w:eastAsia="ru-RU"/>
            </w:rPr>
          </w:pPr>
          <w:hyperlink w:anchor="_Toc188004659">
            <w:r>
              <w:rPr>
                <w:webHidden/>
                <w:rStyle w:val="Style18"/>
                <w:vanish w:val="false"/>
              </w:rPr>
              <w:t>2.</w:t>
            </w:r>
            <w:r>
              <w:rPr>
                <w:rStyle w:val="Style18"/>
                <w:rFonts w:eastAsia="" w:ascii="Calibri" w:hAnsi="Calibri" w:asciiTheme="minorHAnsi" w:eastAsiaTheme="minorEastAsia" w:hAnsiTheme="minorHAnsi"/>
                <w:b w:val="false"/>
                <w:caps w:val="false"/>
                <w:smallCaps w:val="false"/>
                <w:sz w:val="22"/>
                <w:lang w:eastAsia="ru-RU"/>
              </w:rPr>
              <w:tab/>
            </w:r>
            <w:r>
              <w:rPr>
                <w:rStyle w:val="Style18"/>
              </w:rPr>
              <w:t>Общие положения</w:t>
              <w:tab/>
            </w:r>
            <w:r>
              <w:rPr>
                <w:webHidden/>
              </w:rPr>
              <w:fldChar w:fldCharType="begin"/>
            </w:r>
            <w:r>
              <w:rPr>
                <w:webHidden/>
              </w:rPr>
              <w:instrText xml:space="preserve">PAGEREF _Toc188004659 \h</w:instrText>
            </w:r>
            <w:r>
              <w:rPr>
                <w:webHidden/>
              </w:rPr>
              <w:fldChar w:fldCharType="separate"/>
            </w:r>
            <w:r>
              <w:rPr>
                <w:rStyle w:val="Style18"/>
                <w:vanish w:val="false"/>
              </w:rPr>
              <w:t>17</w:t>
            </w:r>
            <w:r>
              <w:rPr>
                <w:webHidden/>
              </w:rPr>
              <w:fldChar w:fldCharType="end"/>
            </w:r>
          </w:hyperlink>
        </w:p>
        <w:p>
          <w:pPr>
            <w:pStyle w:val="TOC2"/>
            <w:rPr/>
          </w:pPr>
          <w:hyperlink w:anchor="_Toc188004660">
            <w:r>
              <w:rPr>
                <w:webHidden/>
                <w:rStyle w:val="Style18"/>
                <w:vanish w:val="false"/>
              </w:rPr>
              <w:t>2.1</w:t>
            </w:r>
            <w:r>
              <w:rPr>
                <w:rStyle w:val="Style18"/>
              </w:rPr>
              <w:tab/>
              <w:t>Общие сведения о закупке</w:t>
              <w:tab/>
            </w:r>
            <w:r>
              <w:rPr>
                <w:webHidden/>
              </w:rPr>
              <w:fldChar w:fldCharType="begin"/>
            </w:r>
            <w:r>
              <w:rPr>
                <w:webHidden/>
              </w:rPr>
              <w:instrText xml:space="preserve">PAGEREF _Toc188004660 \h</w:instrText>
            </w:r>
            <w:r>
              <w:rPr>
                <w:webHidden/>
              </w:rPr>
              <w:fldChar w:fldCharType="separate"/>
            </w:r>
            <w:r>
              <w:rPr>
                <w:rStyle w:val="Style18"/>
                <w:vanish w:val="false"/>
              </w:rPr>
              <w:t>17</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61">
            <w:r>
              <w:rPr>
                <w:webHidden/>
                <w:rStyle w:val="Style18"/>
                <w:vanish w:val="false"/>
              </w:rPr>
              <w:t>2.2</w:t>
            </w:r>
            <w:r>
              <w:rPr>
                <w:rStyle w:val="Style18"/>
                <w:rFonts w:eastAsia="" w:ascii="Calibri" w:hAnsi="Calibri" w:asciiTheme="minorHAnsi" w:eastAsiaTheme="minorEastAsia" w:hAnsiTheme="minorHAnsi"/>
                <w:sz w:val="22"/>
                <w:lang w:eastAsia="ru-RU"/>
              </w:rPr>
              <w:tab/>
            </w:r>
            <w:r>
              <w:rPr>
                <w:rStyle w:val="Style18"/>
              </w:rPr>
              <w:t>Правовой статус документов</w:t>
              <w:tab/>
            </w:r>
            <w:r>
              <w:rPr>
                <w:webHidden/>
              </w:rPr>
              <w:fldChar w:fldCharType="begin"/>
            </w:r>
            <w:r>
              <w:rPr>
                <w:webHidden/>
              </w:rPr>
              <w:instrText xml:space="preserve">PAGEREF _Toc188004661 \h</w:instrText>
            </w:r>
            <w:r>
              <w:rPr>
                <w:webHidden/>
              </w:rPr>
              <w:fldChar w:fldCharType="separate"/>
            </w:r>
            <w:r>
              <w:rPr>
                <w:rStyle w:val="Style18"/>
                <w:vanish w:val="false"/>
              </w:rPr>
              <w:t>17</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62">
            <w:r>
              <w:rPr>
                <w:webHidden/>
                <w:rStyle w:val="Style18"/>
                <w:vanish w:val="false"/>
              </w:rPr>
              <w:t>2.3</w:t>
            </w:r>
            <w:r>
              <w:rPr>
                <w:rStyle w:val="Style18"/>
                <w:rFonts w:eastAsia="" w:ascii="Calibri" w:hAnsi="Calibri" w:asciiTheme="minorHAnsi" w:eastAsiaTheme="minorEastAsia" w:hAnsiTheme="minorHAnsi"/>
                <w:sz w:val="22"/>
                <w:lang w:eastAsia="ru-RU"/>
              </w:rPr>
              <w:tab/>
            </w:r>
            <w:r>
              <w:rPr>
                <w:rStyle w:val="Style18"/>
              </w:rPr>
              <w:t>Обжалование</w:t>
              <w:tab/>
            </w:r>
            <w:r>
              <w:rPr>
                <w:webHidden/>
              </w:rPr>
              <w:fldChar w:fldCharType="begin"/>
            </w:r>
            <w:r>
              <w:rPr>
                <w:webHidden/>
              </w:rPr>
              <w:instrText xml:space="preserve">PAGEREF _Toc188004662 \h</w:instrText>
            </w:r>
            <w:r>
              <w:rPr>
                <w:webHidden/>
              </w:rPr>
              <w:fldChar w:fldCharType="separate"/>
            </w:r>
            <w:r>
              <w:rPr>
                <w:rStyle w:val="Style18"/>
                <w:vanish w:val="false"/>
              </w:rPr>
              <w:t>18</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63">
            <w:r>
              <w:rPr>
                <w:webHidden/>
                <w:rStyle w:val="Style18"/>
                <w:vanish w:val="false"/>
              </w:rPr>
              <w:t>2.4</w:t>
            </w:r>
            <w:r>
              <w:rPr>
                <w:rStyle w:val="Style18"/>
                <w:rFonts w:eastAsia="" w:ascii="Calibri" w:hAnsi="Calibri" w:asciiTheme="minorHAnsi" w:eastAsiaTheme="minorEastAsia" w:hAnsiTheme="minorHAnsi"/>
                <w:sz w:val="22"/>
                <w:lang w:eastAsia="ru-RU"/>
              </w:rPr>
              <w:tab/>
            </w:r>
            <w:r>
              <w:rPr>
                <w:rStyle w:val="Style18"/>
              </w:rPr>
              <w:t>Особые положения при проведении закупки с использованием ЭП</w:t>
              <w:tab/>
            </w:r>
            <w:r>
              <w:rPr>
                <w:webHidden/>
              </w:rPr>
              <w:fldChar w:fldCharType="begin"/>
            </w:r>
            <w:r>
              <w:rPr>
                <w:webHidden/>
              </w:rPr>
              <w:instrText xml:space="preserve">PAGEREF _Toc188004663 \h</w:instrText>
            </w:r>
            <w:r>
              <w:rPr>
                <w:webHidden/>
              </w:rPr>
              <w:fldChar w:fldCharType="separate"/>
            </w:r>
            <w:r>
              <w:rPr>
                <w:rStyle w:val="Style18"/>
                <w:vanish w:val="false"/>
              </w:rPr>
              <w:t>19</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64">
            <w:r>
              <w:rPr>
                <w:webHidden/>
                <w:rStyle w:val="Style18"/>
                <w:vanish w:val="false"/>
              </w:rPr>
              <w:t>2.5</w:t>
            </w:r>
            <w:r>
              <w:rPr>
                <w:rStyle w:val="Style18"/>
                <w:rFonts w:eastAsia="" w:ascii="Calibri" w:hAnsi="Calibri" w:asciiTheme="minorHAnsi" w:eastAsiaTheme="minorEastAsia" w:hAnsiTheme="minorHAnsi"/>
                <w:sz w:val="22"/>
                <w:lang w:eastAsia="ru-RU"/>
              </w:rPr>
              <w:tab/>
            </w:r>
            <w:r>
              <w:rPr>
                <w:rStyle w:val="Style18"/>
              </w:rPr>
              <w:t>Прочие положения</w:t>
              <w:tab/>
            </w:r>
            <w:r>
              <w:rPr>
                <w:webHidden/>
              </w:rPr>
              <w:fldChar w:fldCharType="begin"/>
            </w:r>
            <w:r>
              <w:rPr>
                <w:webHidden/>
              </w:rPr>
              <w:instrText xml:space="preserve">PAGEREF _Toc188004664 \h</w:instrText>
            </w:r>
            <w:r>
              <w:rPr>
                <w:webHidden/>
              </w:rPr>
              <w:fldChar w:fldCharType="separate"/>
            </w:r>
            <w:r>
              <w:rPr>
                <w:rStyle w:val="Style18"/>
                <w:vanish w:val="false"/>
              </w:rPr>
              <w:t>19</w:t>
            </w:r>
            <w:r>
              <w:rPr>
                <w:webHidden/>
              </w:rPr>
              <w:fldChar w:fldCharType="end"/>
            </w:r>
          </w:hyperlink>
        </w:p>
        <w:p>
          <w:pPr>
            <w:pStyle w:val="TOC1"/>
            <w:rPr>
              <w:rFonts w:ascii="Calibri" w:hAnsi="Calibri" w:eastAsia="" w:asciiTheme="minorHAnsi" w:eastAsiaTheme="minorEastAsia" w:hAnsiTheme="minorHAnsi"/>
              <w:b w:val="false"/>
              <w:caps w:val="false"/>
              <w:smallCaps w:val="false"/>
              <w:sz w:val="22"/>
              <w:lang w:eastAsia="ru-RU"/>
            </w:rPr>
          </w:pPr>
          <w:hyperlink w:anchor="_Toc188004665">
            <w:r>
              <w:rPr>
                <w:webHidden/>
                <w:rStyle w:val="Style18"/>
                <w:vanish w:val="false"/>
              </w:rPr>
              <w:t>3.</w:t>
            </w:r>
            <w:r>
              <w:rPr>
                <w:rStyle w:val="Style18"/>
                <w:rFonts w:eastAsia="" w:ascii="Calibri" w:hAnsi="Calibri" w:asciiTheme="minorHAnsi" w:eastAsiaTheme="minorEastAsia" w:hAnsiTheme="minorHAnsi"/>
                <w:b w:val="false"/>
                <w:caps w:val="false"/>
                <w:smallCaps w:val="false"/>
                <w:sz w:val="22"/>
                <w:lang w:eastAsia="ru-RU"/>
              </w:rPr>
              <w:tab/>
            </w:r>
            <w:r>
              <w:rPr>
                <w:rStyle w:val="Style18"/>
              </w:rPr>
              <w:t>Требования к Участникам</w:t>
              <w:tab/>
            </w:r>
            <w:r>
              <w:rPr>
                <w:webHidden/>
              </w:rPr>
              <w:fldChar w:fldCharType="begin"/>
            </w:r>
            <w:r>
              <w:rPr>
                <w:webHidden/>
              </w:rPr>
              <w:instrText xml:space="preserve">PAGEREF _Toc188004665 \h</w:instrText>
            </w:r>
            <w:r>
              <w:rPr>
                <w:webHidden/>
              </w:rPr>
              <w:fldChar w:fldCharType="separate"/>
            </w:r>
            <w:r>
              <w:rPr>
                <w:rStyle w:val="Style18"/>
                <w:vanish w:val="false"/>
              </w:rPr>
              <w:t>20</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66">
            <w:r>
              <w:rPr>
                <w:webHidden/>
                <w:rStyle w:val="Style18"/>
                <w:vanish w:val="false"/>
              </w:rPr>
              <w:t>3.1</w:t>
            </w:r>
            <w:r>
              <w:rPr>
                <w:rStyle w:val="Style18"/>
                <w:rFonts w:eastAsia="" w:ascii="Calibri" w:hAnsi="Calibri" w:asciiTheme="minorHAnsi" w:eastAsiaTheme="minorEastAsia" w:hAnsiTheme="minorHAnsi"/>
                <w:sz w:val="22"/>
                <w:lang w:eastAsia="ru-RU"/>
              </w:rPr>
              <w:tab/>
            </w:r>
            <w:r>
              <w:rPr>
                <w:rStyle w:val="Style18"/>
              </w:rPr>
              <w:t>Общие требования к Участникам</w:t>
              <w:tab/>
            </w:r>
            <w:r>
              <w:rPr>
                <w:webHidden/>
              </w:rPr>
              <w:fldChar w:fldCharType="begin"/>
            </w:r>
            <w:r>
              <w:rPr>
                <w:webHidden/>
              </w:rPr>
              <w:instrText xml:space="preserve">PAGEREF _Toc188004666 \h</w:instrText>
            </w:r>
            <w:r>
              <w:rPr>
                <w:webHidden/>
              </w:rPr>
              <w:fldChar w:fldCharType="separate"/>
            </w:r>
            <w:r>
              <w:rPr>
                <w:rStyle w:val="Style18"/>
                <w:vanish w:val="false"/>
              </w:rPr>
              <w:t>20</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67">
            <w:r>
              <w:rPr>
                <w:webHidden/>
                <w:rStyle w:val="Style18"/>
                <w:vanish w:val="false"/>
              </w:rPr>
              <w:t>3.2</w:t>
            </w:r>
            <w:r>
              <w:rPr>
                <w:rStyle w:val="Style18"/>
                <w:rFonts w:eastAsia="" w:ascii="Calibri" w:hAnsi="Calibri" w:asciiTheme="minorHAnsi" w:eastAsiaTheme="minorEastAsia" w:hAnsiTheme="minorHAnsi"/>
                <w:sz w:val="22"/>
                <w:lang w:eastAsia="ru-RU"/>
              </w:rPr>
              <w:tab/>
            </w:r>
            <w:r>
              <w:rPr>
                <w:rStyle w:val="Style18"/>
              </w:rPr>
              <w:t>Коллективные участники</w:t>
              <w:tab/>
            </w:r>
            <w:r>
              <w:rPr>
                <w:webHidden/>
              </w:rPr>
              <w:fldChar w:fldCharType="begin"/>
            </w:r>
            <w:r>
              <w:rPr>
                <w:webHidden/>
              </w:rPr>
              <w:instrText xml:space="preserve">PAGEREF _Toc188004667 \h</w:instrText>
            </w:r>
            <w:r>
              <w:rPr>
                <w:webHidden/>
              </w:rPr>
              <w:fldChar w:fldCharType="separate"/>
            </w:r>
            <w:r>
              <w:rPr>
                <w:rStyle w:val="Style18"/>
                <w:vanish w:val="false"/>
              </w:rPr>
              <w:t>20</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68">
            <w:r>
              <w:rPr>
                <w:webHidden/>
                <w:rStyle w:val="Style18"/>
                <w:vanish w:val="false"/>
              </w:rPr>
              <w:t>3.3</w:t>
            </w:r>
            <w:r>
              <w:rPr>
                <w:rStyle w:val="Style18"/>
                <w:rFonts w:eastAsia="" w:ascii="Calibri" w:hAnsi="Calibri" w:asciiTheme="minorHAnsi" w:eastAsiaTheme="minorEastAsia" w:hAnsiTheme="minorHAnsi"/>
                <w:sz w:val="22"/>
                <w:lang w:eastAsia="ru-RU"/>
              </w:rPr>
              <w:tab/>
            </w:r>
            <w:r>
              <w:rPr>
                <w:rStyle w:val="Style18"/>
              </w:rPr>
              <w:t>Генеральные подрядчики</w:t>
              <w:tab/>
            </w:r>
            <w:r>
              <w:rPr>
                <w:webHidden/>
              </w:rPr>
              <w:fldChar w:fldCharType="begin"/>
            </w:r>
            <w:r>
              <w:rPr>
                <w:webHidden/>
              </w:rPr>
              <w:instrText xml:space="preserve">PAGEREF _Toc188004668 \h</w:instrText>
            </w:r>
            <w:r>
              <w:rPr>
                <w:webHidden/>
              </w:rPr>
              <w:fldChar w:fldCharType="separate"/>
            </w:r>
            <w:r>
              <w:rPr>
                <w:rStyle w:val="Style18"/>
                <w:vanish w:val="false"/>
              </w:rPr>
              <w:t>22</w:t>
            </w:r>
            <w:r>
              <w:rPr>
                <w:webHidden/>
              </w:rPr>
              <w:fldChar w:fldCharType="end"/>
            </w:r>
          </w:hyperlink>
        </w:p>
        <w:p>
          <w:pPr>
            <w:pStyle w:val="TOC1"/>
            <w:rPr>
              <w:rFonts w:ascii="Calibri" w:hAnsi="Calibri" w:eastAsia="" w:asciiTheme="minorHAnsi" w:eastAsiaTheme="minorEastAsia" w:hAnsiTheme="minorHAnsi"/>
              <w:b w:val="false"/>
              <w:caps w:val="false"/>
              <w:smallCaps w:val="false"/>
              <w:sz w:val="22"/>
              <w:lang w:eastAsia="ru-RU"/>
            </w:rPr>
          </w:pPr>
          <w:hyperlink w:anchor="_Toc188004669">
            <w:r>
              <w:rPr>
                <w:webHidden/>
                <w:rStyle w:val="Style18"/>
                <w:vanish w:val="false"/>
              </w:rPr>
              <w:t>4.</w:t>
            </w:r>
            <w:r>
              <w:rPr>
                <w:rStyle w:val="Style18"/>
                <w:rFonts w:eastAsia="" w:ascii="Calibri" w:hAnsi="Calibri" w:asciiTheme="minorHAnsi" w:eastAsiaTheme="minorEastAsia" w:hAnsiTheme="minorHAnsi"/>
                <w:b w:val="false"/>
                <w:caps w:val="false"/>
                <w:smallCaps w:val="false"/>
                <w:sz w:val="22"/>
                <w:lang w:eastAsia="ru-RU"/>
              </w:rPr>
              <w:tab/>
            </w:r>
            <w:r>
              <w:rPr>
                <w:rStyle w:val="Style18"/>
              </w:rPr>
              <w:t>Порядок проведения закупки</w:t>
              <w:tab/>
            </w:r>
            <w:r>
              <w:rPr>
                <w:webHidden/>
              </w:rPr>
              <w:fldChar w:fldCharType="begin"/>
            </w:r>
            <w:r>
              <w:rPr>
                <w:webHidden/>
              </w:rPr>
              <w:instrText xml:space="preserve">PAGEREF _Toc188004669 \h</w:instrText>
            </w:r>
            <w:r>
              <w:rPr>
                <w:webHidden/>
              </w:rPr>
              <w:fldChar w:fldCharType="separate"/>
            </w:r>
            <w:r>
              <w:rPr>
                <w:rStyle w:val="Style18"/>
                <w:vanish w:val="false"/>
              </w:rPr>
              <w:t>24</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70">
            <w:r>
              <w:rPr>
                <w:webHidden/>
                <w:rStyle w:val="Style18"/>
                <w:vanish w:val="false"/>
              </w:rPr>
              <w:t>4.1</w:t>
            </w:r>
            <w:r>
              <w:rPr>
                <w:rStyle w:val="Style18"/>
                <w:rFonts w:eastAsia="" w:ascii="Calibri" w:hAnsi="Calibri" w:asciiTheme="minorHAnsi" w:eastAsiaTheme="minorEastAsia" w:hAnsiTheme="minorHAnsi"/>
                <w:sz w:val="22"/>
                <w:lang w:eastAsia="ru-RU"/>
              </w:rPr>
              <w:tab/>
            </w:r>
            <w:r>
              <w:rPr>
                <w:rStyle w:val="Style18"/>
              </w:rPr>
              <w:t>Общий порядок проведения закупки</w:t>
              <w:tab/>
            </w:r>
            <w:r>
              <w:rPr>
                <w:webHidden/>
              </w:rPr>
              <w:fldChar w:fldCharType="begin"/>
            </w:r>
            <w:r>
              <w:rPr>
                <w:webHidden/>
              </w:rPr>
              <w:instrText xml:space="preserve">PAGEREF _Toc188004670 \h</w:instrText>
            </w:r>
            <w:r>
              <w:rPr>
                <w:webHidden/>
              </w:rPr>
              <w:fldChar w:fldCharType="separate"/>
            </w:r>
            <w:r>
              <w:rPr>
                <w:rStyle w:val="Style18"/>
                <w:vanish w:val="false"/>
              </w:rPr>
              <w:t>24</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71">
            <w:r>
              <w:rPr>
                <w:webHidden/>
                <w:rStyle w:val="Style18"/>
                <w:vanish w:val="false"/>
              </w:rPr>
              <w:t>4.2</w:t>
            </w:r>
            <w:r>
              <w:rPr>
                <w:rStyle w:val="Style18"/>
                <w:rFonts w:eastAsia="" w:ascii="Calibri" w:hAnsi="Calibri" w:asciiTheme="minorHAnsi" w:eastAsiaTheme="minorEastAsia" w:hAnsiTheme="minorHAnsi"/>
                <w:sz w:val="22"/>
                <w:lang w:eastAsia="ru-RU"/>
              </w:rPr>
              <w:tab/>
            </w:r>
            <w:r>
              <w:rPr>
                <w:rStyle w:val="Style18"/>
              </w:rPr>
              <w:t>Официальное размещение Извещения и Документации о закупке</w:t>
              <w:tab/>
            </w:r>
            <w:r>
              <w:rPr>
                <w:webHidden/>
              </w:rPr>
              <w:fldChar w:fldCharType="begin"/>
            </w:r>
            <w:r>
              <w:rPr>
                <w:webHidden/>
              </w:rPr>
              <w:instrText xml:space="preserve">PAGEREF _Toc188004671 \h</w:instrText>
            </w:r>
            <w:r>
              <w:rPr>
                <w:webHidden/>
              </w:rPr>
              <w:fldChar w:fldCharType="separate"/>
            </w:r>
            <w:r>
              <w:rPr>
                <w:rStyle w:val="Style18"/>
                <w:vanish w:val="false"/>
              </w:rPr>
              <w:t>26</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72">
            <w:r>
              <w:rPr>
                <w:webHidden/>
                <w:rStyle w:val="Style18"/>
                <w:vanish w:val="false"/>
              </w:rPr>
              <w:t>4.3</w:t>
            </w:r>
            <w:r>
              <w:rPr>
                <w:rStyle w:val="Style18"/>
                <w:rFonts w:eastAsia="" w:ascii="Calibri" w:hAnsi="Calibri" w:asciiTheme="minorHAnsi" w:eastAsiaTheme="minorEastAsia" w:hAnsiTheme="minorHAnsi"/>
                <w:sz w:val="22"/>
                <w:lang w:eastAsia="ru-RU"/>
              </w:rPr>
              <w:tab/>
            </w:r>
            <w:r>
              <w:rPr>
                <w:rStyle w:val="Style18"/>
              </w:rPr>
              <w:t>Подготовка заявки</w:t>
              <w:tab/>
            </w:r>
            <w:r>
              <w:rPr>
                <w:webHidden/>
              </w:rPr>
              <w:fldChar w:fldCharType="begin"/>
            </w:r>
            <w:r>
              <w:rPr>
                <w:webHidden/>
              </w:rPr>
              <w:instrText xml:space="preserve">PAGEREF _Toc188004672 \h</w:instrText>
            </w:r>
            <w:r>
              <w:rPr>
                <w:webHidden/>
              </w:rPr>
              <w:fldChar w:fldCharType="separate"/>
            </w:r>
            <w:r>
              <w:rPr>
                <w:rStyle w:val="Style18"/>
                <w:vanish w:val="false"/>
              </w:rPr>
              <w:t>26</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73">
            <w:r>
              <w:rPr>
                <w:webHidden/>
                <w:rStyle w:val="Style18"/>
                <w:vanish w:val="false"/>
              </w:rPr>
              <w:t>4.4</w:t>
            </w:r>
            <w:r>
              <w:rPr>
                <w:rStyle w:val="Style18"/>
                <w:rFonts w:eastAsia="" w:ascii="Calibri" w:hAnsi="Calibri" w:asciiTheme="minorHAnsi" w:eastAsiaTheme="minorEastAsia" w:hAnsiTheme="minorHAnsi"/>
                <w:sz w:val="22"/>
                <w:lang w:eastAsia="ru-RU"/>
              </w:rPr>
              <w:tab/>
            </w:r>
            <w:r>
              <w:rPr>
                <w:rStyle w:val="Style18"/>
              </w:rPr>
              <w:t>Разъяснение Документации о закупке</w:t>
              <w:tab/>
            </w:r>
            <w:r>
              <w:rPr>
                <w:webHidden/>
              </w:rPr>
              <w:fldChar w:fldCharType="begin"/>
            </w:r>
            <w:r>
              <w:rPr>
                <w:webHidden/>
              </w:rPr>
              <w:instrText xml:space="preserve">PAGEREF _Toc188004673 \h</w:instrText>
            </w:r>
            <w:r>
              <w:rPr>
                <w:webHidden/>
              </w:rPr>
              <w:fldChar w:fldCharType="separate"/>
            </w:r>
            <w:r>
              <w:rPr>
                <w:rStyle w:val="Style18"/>
                <w:vanish w:val="false"/>
              </w:rPr>
              <w:t>28</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74">
            <w:r>
              <w:rPr>
                <w:webHidden/>
                <w:rStyle w:val="Style18"/>
                <w:vanish w:val="false"/>
              </w:rPr>
              <w:t>4.5</w:t>
            </w:r>
            <w:r>
              <w:rPr>
                <w:rStyle w:val="Style18"/>
                <w:rFonts w:eastAsia="" w:ascii="Calibri" w:hAnsi="Calibri" w:asciiTheme="minorHAnsi" w:eastAsiaTheme="minorEastAsia" w:hAnsiTheme="minorHAnsi"/>
                <w:sz w:val="22"/>
                <w:lang w:eastAsia="ru-RU"/>
              </w:rPr>
              <w:tab/>
            </w:r>
            <w:r>
              <w:rPr>
                <w:rStyle w:val="Style18"/>
              </w:rPr>
              <w:t>Изменения Извещения и (или) Документации о закупке</w:t>
              <w:tab/>
            </w:r>
            <w:r>
              <w:rPr>
                <w:webHidden/>
              </w:rPr>
              <w:fldChar w:fldCharType="begin"/>
            </w:r>
            <w:r>
              <w:rPr>
                <w:webHidden/>
              </w:rPr>
              <w:instrText xml:space="preserve">PAGEREF _Toc188004674 \h</w:instrText>
            </w:r>
            <w:r>
              <w:rPr>
                <w:webHidden/>
              </w:rPr>
              <w:fldChar w:fldCharType="separate"/>
            </w:r>
            <w:r>
              <w:rPr>
                <w:rStyle w:val="Style18"/>
                <w:vanish w:val="false"/>
              </w:rPr>
              <w:t>29</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75">
            <w:r>
              <w:rPr>
                <w:webHidden/>
                <w:rStyle w:val="Style18"/>
                <w:vanish w:val="false"/>
              </w:rPr>
              <w:t>4.6</w:t>
            </w:r>
            <w:r>
              <w:rPr>
                <w:rStyle w:val="Style18"/>
                <w:rFonts w:eastAsia="" w:ascii="Calibri" w:hAnsi="Calibri" w:asciiTheme="minorHAnsi" w:eastAsiaTheme="minorEastAsia" w:hAnsiTheme="minorHAnsi"/>
                <w:sz w:val="22"/>
                <w:lang w:eastAsia="ru-RU"/>
              </w:rPr>
              <w:tab/>
            </w:r>
            <w:r>
              <w:rPr>
                <w:rStyle w:val="Style18"/>
              </w:rPr>
              <w:t>Подача заявок и их прием</w:t>
              <w:tab/>
            </w:r>
            <w:r>
              <w:rPr>
                <w:webHidden/>
              </w:rPr>
              <w:fldChar w:fldCharType="begin"/>
            </w:r>
            <w:r>
              <w:rPr>
                <w:webHidden/>
              </w:rPr>
              <w:instrText xml:space="preserve">PAGEREF _Toc188004675 \h</w:instrText>
            </w:r>
            <w:r>
              <w:rPr>
                <w:webHidden/>
              </w:rPr>
              <w:fldChar w:fldCharType="separate"/>
            </w:r>
            <w:r>
              <w:rPr>
                <w:rStyle w:val="Style18"/>
                <w:vanish w:val="false"/>
              </w:rPr>
              <w:t>29</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76">
            <w:r>
              <w:rPr>
                <w:webHidden/>
                <w:rStyle w:val="Style18"/>
                <w:vanish w:val="false"/>
              </w:rPr>
              <w:t>4.7</w:t>
            </w:r>
            <w:r>
              <w:rPr>
                <w:rStyle w:val="Style18"/>
                <w:rFonts w:eastAsia="" w:ascii="Calibri" w:hAnsi="Calibri" w:asciiTheme="minorHAnsi" w:eastAsiaTheme="minorEastAsia" w:hAnsiTheme="minorHAnsi"/>
                <w:sz w:val="22"/>
                <w:lang w:eastAsia="ru-RU"/>
              </w:rPr>
              <w:tab/>
            </w:r>
            <w:r>
              <w:rPr>
                <w:rStyle w:val="Style18"/>
              </w:rPr>
              <w:t>Изменение и отзыв заявок</w:t>
              <w:tab/>
            </w:r>
            <w:r>
              <w:rPr>
                <w:webHidden/>
              </w:rPr>
              <w:fldChar w:fldCharType="begin"/>
            </w:r>
            <w:r>
              <w:rPr>
                <w:webHidden/>
              </w:rPr>
              <w:instrText xml:space="preserve">PAGEREF _Toc188004676 \h</w:instrText>
            </w:r>
            <w:r>
              <w:rPr>
                <w:webHidden/>
              </w:rPr>
              <w:fldChar w:fldCharType="separate"/>
            </w:r>
            <w:r>
              <w:rPr>
                <w:rStyle w:val="Style18"/>
                <w:vanish w:val="false"/>
              </w:rPr>
              <w:t>30</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77">
            <w:r>
              <w:rPr>
                <w:webHidden/>
                <w:rStyle w:val="Style18"/>
                <w:vanish w:val="false"/>
              </w:rPr>
              <w:t>4.8</w:t>
            </w:r>
            <w:r>
              <w:rPr>
                <w:rStyle w:val="Style18"/>
                <w:rFonts w:eastAsia="" w:ascii="Calibri" w:hAnsi="Calibri" w:asciiTheme="minorHAnsi" w:eastAsiaTheme="minorEastAsia" w:hAnsiTheme="minorHAnsi"/>
                <w:sz w:val="22"/>
                <w:lang w:eastAsia="ru-RU"/>
              </w:rPr>
              <w:tab/>
            </w:r>
            <w:r>
              <w:rPr>
                <w:rStyle w:val="Style18"/>
              </w:rPr>
              <w:t>Открытие доступа к заявкам</w:t>
              <w:tab/>
            </w:r>
            <w:r>
              <w:rPr>
                <w:webHidden/>
              </w:rPr>
              <w:fldChar w:fldCharType="begin"/>
            </w:r>
            <w:r>
              <w:rPr>
                <w:webHidden/>
              </w:rPr>
              <w:instrText xml:space="preserve">PAGEREF _Toc188004677 \h</w:instrText>
            </w:r>
            <w:r>
              <w:rPr>
                <w:webHidden/>
              </w:rPr>
              <w:fldChar w:fldCharType="separate"/>
            </w:r>
            <w:r>
              <w:rPr>
                <w:rStyle w:val="Style18"/>
                <w:vanish w:val="false"/>
              </w:rPr>
              <w:t>30</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78">
            <w:r>
              <w:rPr>
                <w:webHidden/>
                <w:rStyle w:val="Style18"/>
                <w:vanish w:val="false"/>
              </w:rPr>
              <w:t>4.9</w:t>
            </w:r>
            <w:r>
              <w:rPr>
                <w:rStyle w:val="Style18"/>
                <w:rFonts w:eastAsia="" w:ascii="Calibri" w:hAnsi="Calibri" w:asciiTheme="minorHAnsi" w:eastAsiaTheme="minorEastAsia" w:hAnsiTheme="minorHAnsi"/>
                <w:sz w:val="22"/>
                <w:lang w:eastAsia="ru-RU"/>
              </w:rPr>
              <w:tab/>
            </w:r>
            <w:r>
              <w:rPr>
                <w:rStyle w:val="Style18"/>
              </w:rPr>
              <w:t>Рассмотрение заявок (отборочная стадия), в том числе (при необходимости) проведение аккредитации</w:t>
              <w:tab/>
            </w:r>
            <w:r>
              <w:rPr>
                <w:webHidden/>
              </w:rPr>
              <w:fldChar w:fldCharType="begin"/>
            </w:r>
            <w:r>
              <w:rPr>
                <w:webHidden/>
              </w:rPr>
              <w:instrText xml:space="preserve">PAGEREF _Toc188004678 \h</w:instrText>
            </w:r>
            <w:r>
              <w:rPr>
                <w:webHidden/>
              </w:rPr>
              <w:fldChar w:fldCharType="separate"/>
            </w:r>
            <w:r>
              <w:rPr>
                <w:rStyle w:val="Style18"/>
                <w:vanish w:val="false"/>
              </w:rPr>
              <w:t>31</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79">
            <w:r>
              <w:rPr>
                <w:webHidden/>
                <w:rStyle w:val="Style18"/>
                <w:vanish w:val="false"/>
              </w:rPr>
              <w:t>4.10</w:t>
            </w:r>
            <w:r>
              <w:rPr>
                <w:rStyle w:val="Style18"/>
                <w:rFonts w:eastAsia="" w:ascii="Calibri" w:hAnsi="Calibri" w:asciiTheme="minorHAnsi" w:eastAsiaTheme="minorEastAsia" w:hAnsiTheme="minorHAnsi"/>
                <w:sz w:val="22"/>
                <w:lang w:eastAsia="ru-RU"/>
              </w:rPr>
              <w:tab/>
            </w:r>
            <w:r>
              <w:rPr>
                <w:rStyle w:val="Style18"/>
              </w:rPr>
              <w:t>Дополнительные запросы разъяснений заявок</w:t>
              <w:tab/>
            </w:r>
            <w:r>
              <w:rPr>
                <w:webHidden/>
              </w:rPr>
              <w:fldChar w:fldCharType="begin"/>
            </w:r>
            <w:r>
              <w:rPr>
                <w:webHidden/>
              </w:rPr>
              <w:instrText xml:space="preserve">PAGEREF _Toc188004679 \h</w:instrText>
            </w:r>
            <w:r>
              <w:rPr>
                <w:webHidden/>
              </w:rPr>
              <w:fldChar w:fldCharType="separate"/>
            </w:r>
            <w:r>
              <w:rPr>
                <w:rStyle w:val="Style18"/>
                <w:vanish w:val="false"/>
              </w:rPr>
              <w:t>33</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80">
            <w:r>
              <w:rPr>
                <w:webHidden/>
                <w:rStyle w:val="Style18"/>
                <w:vanish w:val="false"/>
              </w:rPr>
              <w:t>4.11</w:t>
            </w:r>
            <w:r>
              <w:rPr>
                <w:rStyle w:val="Style18"/>
                <w:rFonts w:eastAsia="" w:ascii="Calibri" w:hAnsi="Calibri" w:asciiTheme="minorHAnsi" w:eastAsiaTheme="minorEastAsia" w:hAnsiTheme="minorHAnsi"/>
                <w:sz w:val="22"/>
                <w:lang w:eastAsia="ru-RU"/>
              </w:rPr>
              <w:tab/>
            </w:r>
            <w:r>
              <w:rPr>
                <w:rStyle w:val="Style18"/>
              </w:rPr>
              <w:t>Переторжка</w:t>
              <w:tab/>
            </w:r>
            <w:r>
              <w:rPr>
                <w:webHidden/>
              </w:rPr>
              <w:fldChar w:fldCharType="begin"/>
            </w:r>
            <w:r>
              <w:rPr>
                <w:webHidden/>
              </w:rPr>
              <w:instrText xml:space="preserve">PAGEREF _Toc188004680 \h</w:instrText>
            </w:r>
            <w:r>
              <w:rPr>
                <w:webHidden/>
              </w:rPr>
              <w:fldChar w:fldCharType="separate"/>
            </w:r>
            <w:r>
              <w:rPr>
                <w:rStyle w:val="Style18"/>
                <w:vanish w:val="false"/>
              </w:rPr>
              <w:t>35</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81">
            <w:r>
              <w:rPr>
                <w:webHidden/>
                <w:rStyle w:val="Style18"/>
                <w:vanish w:val="false"/>
              </w:rPr>
              <w:t>4.12</w:t>
            </w:r>
            <w:r>
              <w:rPr>
                <w:rStyle w:val="Style18"/>
                <w:rFonts w:eastAsia="" w:ascii="Calibri" w:hAnsi="Calibri" w:asciiTheme="minorHAnsi" w:eastAsiaTheme="minorEastAsia" w:hAnsiTheme="minorHAnsi"/>
                <w:sz w:val="22"/>
                <w:lang w:eastAsia="ru-RU"/>
              </w:rPr>
              <w:tab/>
            </w:r>
            <w:r>
              <w:rPr>
                <w:rStyle w:val="Style18"/>
              </w:rPr>
              <w:t>Оценка и сопоставление заявок</w:t>
              <w:tab/>
            </w:r>
            <w:r>
              <w:rPr>
                <w:webHidden/>
              </w:rPr>
              <w:fldChar w:fldCharType="begin"/>
            </w:r>
            <w:r>
              <w:rPr>
                <w:webHidden/>
              </w:rPr>
              <w:instrText xml:space="preserve">PAGEREF _Toc188004681 \h</w:instrText>
            </w:r>
            <w:r>
              <w:rPr>
                <w:webHidden/>
              </w:rPr>
              <w:fldChar w:fldCharType="separate"/>
            </w:r>
            <w:r>
              <w:rPr>
                <w:rStyle w:val="Style18"/>
                <w:vanish w:val="false"/>
              </w:rPr>
              <w:t>37</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82">
            <w:r>
              <w:rPr>
                <w:webHidden/>
                <w:rStyle w:val="Style18"/>
                <w:vanish w:val="false"/>
              </w:rPr>
              <w:t>4.13</w:t>
            </w:r>
            <w:r>
              <w:rPr>
                <w:rStyle w:val="Style18"/>
                <w:rFonts w:eastAsia="" w:ascii="Calibri" w:hAnsi="Calibri" w:asciiTheme="minorHAnsi" w:eastAsiaTheme="minorEastAsia" w:hAnsiTheme="minorHAnsi"/>
                <w:sz w:val="22"/>
                <w:lang w:eastAsia="ru-RU"/>
              </w:rPr>
              <w:tab/>
            </w:r>
            <w:r>
              <w:rPr>
                <w:rStyle w:val="Style18"/>
              </w:rPr>
              <w:t>Применение законодательства о национальном режиме</w:t>
              <w:tab/>
            </w:r>
            <w:r>
              <w:rPr>
                <w:webHidden/>
              </w:rPr>
              <w:fldChar w:fldCharType="begin"/>
            </w:r>
            <w:r>
              <w:rPr>
                <w:webHidden/>
              </w:rPr>
              <w:instrText xml:space="preserve">PAGEREF _Toc188004682 \h</w:instrText>
            </w:r>
            <w:r>
              <w:rPr>
                <w:webHidden/>
              </w:rPr>
              <w:fldChar w:fldCharType="separate"/>
            </w:r>
            <w:r>
              <w:rPr>
                <w:rStyle w:val="Style18"/>
                <w:vanish w:val="false"/>
              </w:rPr>
              <w:t>38</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83">
            <w:r>
              <w:rPr>
                <w:webHidden/>
                <w:rStyle w:val="Style18"/>
                <w:vanish w:val="false"/>
              </w:rPr>
              <w:t>4.14</w:t>
            </w:r>
            <w:r>
              <w:rPr>
                <w:rStyle w:val="Style18"/>
                <w:rFonts w:eastAsia="" w:ascii="Calibri" w:hAnsi="Calibri" w:asciiTheme="minorHAnsi" w:eastAsiaTheme="minorEastAsia" w:hAnsiTheme="minorHAnsi"/>
                <w:sz w:val="22"/>
                <w:lang w:eastAsia="ru-RU"/>
              </w:rPr>
              <w:tab/>
            </w:r>
            <w:r>
              <w:rPr>
                <w:rStyle w:val="Style18"/>
              </w:rPr>
              <w:t>Подведение итогов закупки (определение Победителя)</w:t>
              <w:tab/>
            </w:r>
            <w:r>
              <w:rPr>
                <w:webHidden/>
              </w:rPr>
              <w:fldChar w:fldCharType="begin"/>
            </w:r>
            <w:r>
              <w:rPr>
                <w:webHidden/>
              </w:rPr>
              <w:instrText xml:space="preserve">PAGEREF _Toc188004683 \h</w:instrText>
            </w:r>
            <w:r>
              <w:rPr>
                <w:webHidden/>
              </w:rPr>
              <w:fldChar w:fldCharType="separate"/>
            </w:r>
            <w:r>
              <w:rPr>
                <w:rStyle w:val="Style18"/>
                <w:vanish w:val="false"/>
              </w:rPr>
              <w:t>39</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84">
            <w:r>
              <w:rPr>
                <w:webHidden/>
                <w:rStyle w:val="Style18"/>
                <w:vanish w:val="false"/>
              </w:rPr>
              <w:t>4.15</w:t>
            </w:r>
            <w:r>
              <w:rPr>
                <w:rStyle w:val="Style18"/>
                <w:rFonts w:eastAsia="" w:ascii="Calibri" w:hAnsi="Calibri" w:asciiTheme="minorHAnsi" w:eastAsiaTheme="minorEastAsia" w:hAnsiTheme="minorHAnsi"/>
                <w:sz w:val="22"/>
                <w:lang w:eastAsia="ru-RU"/>
              </w:rPr>
              <w:tab/>
            </w:r>
            <w:r>
              <w:rPr>
                <w:rStyle w:val="Style18"/>
              </w:rPr>
              <w:t>Признание закупки несостоявшейся</w:t>
              <w:tab/>
            </w:r>
            <w:r>
              <w:rPr>
                <w:webHidden/>
              </w:rPr>
              <w:fldChar w:fldCharType="begin"/>
            </w:r>
            <w:r>
              <w:rPr>
                <w:webHidden/>
              </w:rPr>
              <w:instrText xml:space="preserve">PAGEREF _Toc188004684 \h</w:instrText>
            </w:r>
            <w:r>
              <w:rPr>
                <w:webHidden/>
              </w:rPr>
              <w:fldChar w:fldCharType="separate"/>
            </w:r>
            <w:r>
              <w:rPr>
                <w:rStyle w:val="Style18"/>
                <w:vanish w:val="false"/>
              </w:rPr>
              <w:t>41</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85">
            <w:r>
              <w:rPr>
                <w:webHidden/>
                <w:rStyle w:val="Style18"/>
                <w:vanish w:val="false"/>
              </w:rPr>
              <w:t>4.16</w:t>
            </w:r>
            <w:r>
              <w:rPr>
                <w:rStyle w:val="Style18"/>
                <w:rFonts w:eastAsia="" w:ascii="Calibri" w:hAnsi="Calibri" w:asciiTheme="minorHAnsi" w:eastAsiaTheme="minorEastAsia" w:hAnsiTheme="minorHAnsi"/>
                <w:sz w:val="22"/>
                <w:lang w:eastAsia="ru-RU"/>
              </w:rPr>
              <w:tab/>
            </w:r>
            <w:r>
              <w:rPr>
                <w:rStyle w:val="Style18"/>
              </w:rPr>
              <w:t>Отказ от проведения закупки (отмена закупки)</w:t>
              <w:tab/>
            </w:r>
            <w:r>
              <w:rPr>
                <w:webHidden/>
              </w:rPr>
              <w:fldChar w:fldCharType="begin"/>
            </w:r>
            <w:r>
              <w:rPr>
                <w:webHidden/>
              </w:rPr>
              <w:instrText xml:space="preserve">PAGEREF _Toc188004685 \h</w:instrText>
            </w:r>
            <w:r>
              <w:rPr>
                <w:webHidden/>
              </w:rPr>
              <w:fldChar w:fldCharType="separate"/>
            </w:r>
            <w:r>
              <w:rPr>
                <w:rStyle w:val="Style18"/>
                <w:vanish w:val="false"/>
              </w:rPr>
              <w:t>41</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86">
            <w:r>
              <w:rPr>
                <w:webHidden/>
                <w:rStyle w:val="Style18"/>
                <w:vanish w:val="false"/>
              </w:rPr>
              <w:t>4.17</w:t>
            </w:r>
            <w:r>
              <w:rPr>
                <w:rStyle w:val="Style18"/>
                <w:rFonts w:eastAsia="" w:ascii="Calibri" w:hAnsi="Calibri" w:asciiTheme="minorHAnsi" w:eastAsiaTheme="minorEastAsia" w:hAnsiTheme="minorHAnsi"/>
                <w:sz w:val="22"/>
                <w:lang w:eastAsia="ru-RU"/>
              </w:rPr>
              <w:tab/>
            </w:r>
            <w:r>
              <w:rPr>
                <w:rStyle w:val="Style18"/>
              </w:rPr>
              <w:t>Особенности проведения закупки с необходимостью обеспечения заявки</w:t>
              <w:tab/>
            </w:r>
            <w:r>
              <w:rPr>
                <w:webHidden/>
              </w:rPr>
              <w:fldChar w:fldCharType="begin"/>
            </w:r>
            <w:r>
              <w:rPr>
                <w:webHidden/>
              </w:rPr>
              <w:instrText xml:space="preserve">PAGEREF _Toc188004686 \h</w:instrText>
            </w:r>
            <w:r>
              <w:rPr>
                <w:webHidden/>
              </w:rPr>
              <w:fldChar w:fldCharType="separate"/>
            </w:r>
            <w:r>
              <w:rPr>
                <w:rStyle w:val="Style18"/>
                <w:vanish w:val="false"/>
              </w:rPr>
              <w:t>41</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87">
            <w:r>
              <w:rPr>
                <w:webHidden/>
                <w:rStyle w:val="Style18"/>
                <w:vanish w:val="false"/>
              </w:rPr>
              <w:t>4.18</w:t>
            </w:r>
            <w:r>
              <w:rPr>
                <w:rStyle w:val="Style18"/>
                <w:rFonts w:eastAsia="" w:ascii="Calibri" w:hAnsi="Calibri" w:asciiTheme="minorHAnsi" w:eastAsiaTheme="minorEastAsia" w:hAnsiTheme="minorHAnsi"/>
                <w:sz w:val="22"/>
                <w:lang w:eastAsia="ru-RU"/>
              </w:rPr>
              <w:tab/>
            </w:r>
            <w:r>
              <w:rPr>
                <w:rStyle w:val="Style18"/>
              </w:rPr>
              <w:t>Особенности проведения многолотовой закупки</w:t>
              <w:tab/>
            </w:r>
            <w:r>
              <w:rPr>
                <w:webHidden/>
              </w:rPr>
              <w:fldChar w:fldCharType="begin"/>
            </w:r>
            <w:r>
              <w:rPr>
                <w:webHidden/>
              </w:rPr>
              <w:instrText xml:space="preserve">PAGEREF _Toc188004687 \h</w:instrText>
            </w:r>
            <w:r>
              <w:rPr>
                <w:webHidden/>
              </w:rPr>
              <w:fldChar w:fldCharType="separate"/>
            </w:r>
            <w:r>
              <w:rPr>
                <w:rStyle w:val="Style18"/>
                <w:vanish w:val="false"/>
              </w:rPr>
              <w:t>44</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88">
            <w:r>
              <w:rPr>
                <w:webHidden/>
                <w:rStyle w:val="Style18"/>
                <w:vanish w:val="false"/>
              </w:rPr>
              <w:t>4.19</w:t>
            </w:r>
            <w:r>
              <w:rPr>
                <w:rStyle w:val="Style18"/>
                <w:rFonts w:eastAsia="" w:ascii="Calibri" w:hAnsi="Calibri" w:asciiTheme="minorHAnsi" w:eastAsiaTheme="minorEastAsia" w:hAnsiTheme="minorHAnsi"/>
                <w:sz w:val="22"/>
                <w:lang w:eastAsia="ru-RU"/>
              </w:rPr>
              <w:tab/>
            </w:r>
            <w:r>
              <w:rPr>
                <w:rStyle w:val="Style18"/>
              </w:rPr>
              <w:t>Особенности проведения закупки с возможностью подачи альтернативных предложений</w:t>
              <w:tab/>
            </w:r>
            <w:r>
              <w:rPr>
                <w:webHidden/>
              </w:rPr>
              <w:fldChar w:fldCharType="begin"/>
            </w:r>
            <w:r>
              <w:rPr>
                <w:webHidden/>
              </w:rPr>
              <w:instrText xml:space="preserve">PAGEREF _Toc188004688 \h</w:instrText>
            </w:r>
            <w:r>
              <w:rPr>
                <w:webHidden/>
              </w:rPr>
              <w:fldChar w:fldCharType="separate"/>
            </w:r>
            <w:r>
              <w:rPr>
                <w:rStyle w:val="Style18"/>
                <w:vanish w:val="false"/>
              </w:rPr>
              <w:t>45</w:t>
            </w:r>
            <w:r>
              <w:rPr>
                <w:webHidden/>
              </w:rPr>
              <w:fldChar w:fldCharType="end"/>
            </w:r>
          </w:hyperlink>
        </w:p>
        <w:p>
          <w:pPr>
            <w:pStyle w:val="TOC1"/>
            <w:rPr>
              <w:rFonts w:ascii="Calibri" w:hAnsi="Calibri" w:eastAsia="" w:asciiTheme="minorHAnsi" w:eastAsiaTheme="minorEastAsia" w:hAnsiTheme="minorHAnsi"/>
              <w:b w:val="false"/>
              <w:caps w:val="false"/>
              <w:smallCaps w:val="false"/>
              <w:sz w:val="22"/>
              <w:lang w:eastAsia="ru-RU"/>
            </w:rPr>
          </w:pPr>
          <w:hyperlink w:anchor="_Toc188004689">
            <w:r>
              <w:rPr>
                <w:webHidden/>
                <w:rStyle w:val="Style18"/>
                <w:vanish w:val="false"/>
              </w:rPr>
              <w:t>5.</w:t>
            </w:r>
            <w:r>
              <w:rPr>
                <w:rStyle w:val="Style18"/>
                <w:rFonts w:eastAsia="" w:ascii="Calibri" w:hAnsi="Calibri" w:asciiTheme="minorHAnsi" w:eastAsiaTheme="minorEastAsia" w:hAnsiTheme="minorHAnsi"/>
                <w:b w:val="false"/>
                <w:caps w:val="false"/>
                <w:smallCaps w:val="false"/>
                <w:sz w:val="22"/>
                <w:lang w:eastAsia="ru-RU"/>
              </w:rPr>
              <w:tab/>
            </w:r>
            <w:r>
              <w:rPr>
                <w:rStyle w:val="Style18"/>
              </w:rPr>
              <w:t>Порядок заключения Договора</w:t>
              <w:tab/>
            </w:r>
            <w:r>
              <w:rPr>
                <w:webHidden/>
              </w:rPr>
              <w:fldChar w:fldCharType="begin"/>
            </w:r>
            <w:r>
              <w:rPr>
                <w:webHidden/>
              </w:rPr>
              <w:instrText xml:space="preserve">PAGEREF _Toc188004689 \h</w:instrText>
            </w:r>
            <w:r>
              <w:rPr>
                <w:webHidden/>
              </w:rPr>
              <w:fldChar w:fldCharType="separate"/>
            </w:r>
            <w:r>
              <w:rPr>
                <w:rStyle w:val="Style18"/>
                <w:vanish w:val="false"/>
              </w:rPr>
              <w:t>47</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90">
            <w:r>
              <w:rPr>
                <w:webHidden/>
                <w:rStyle w:val="Style18"/>
                <w:vanish w:val="false"/>
              </w:rPr>
              <w:t>5.1</w:t>
            </w:r>
            <w:r>
              <w:rPr>
                <w:rStyle w:val="Style18"/>
                <w:rFonts w:eastAsia="" w:ascii="Calibri" w:hAnsi="Calibri" w:asciiTheme="minorHAnsi" w:eastAsiaTheme="minorEastAsia" w:hAnsiTheme="minorHAnsi"/>
                <w:sz w:val="22"/>
                <w:lang w:eastAsia="ru-RU"/>
              </w:rPr>
              <w:tab/>
            </w:r>
            <w:r>
              <w:rPr>
                <w:rStyle w:val="Style18"/>
              </w:rPr>
              <w:t>Общие положения</w:t>
              <w:tab/>
            </w:r>
            <w:r>
              <w:rPr>
                <w:webHidden/>
              </w:rPr>
              <w:fldChar w:fldCharType="begin"/>
            </w:r>
            <w:r>
              <w:rPr>
                <w:webHidden/>
              </w:rPr>
              <w:instrText xml:space="preserve">PAGEREF _Toc188004690 \h</w:instrText>
            </w:r>
            <w:r>
              <w:rPr>
                <w:webHidden/>
              </w:rPr>
              <w:fldChar w:fldCharType="separate"/>
            </w:r>
            <w:r>
              <w:rPr>
                <w:rStyle w:val="Style18"/>
                <w:vanish w:val="false"/>
              </w:rPr>
              <w:t>47</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91">
            <w:r>
              <w:rPr>
                <w:webHidden/>
                <w:rStyle w:val="Style18"/>
                <w:vanish w:val="false"/>
              </w:rPr>
              <w:t>5.2</w:t>
            </w:r>
            <w:r>
              <w:rPr>
                <w:rStyle w:val="Style18"/>
                <w:rFonts w:eastAsia="" w:ascii="Calibri" w:hAnsi="Calibri" w:asciiTheme="minorHAnsi" w:eastAsiaTheme="minorEastAsia" w:hAnsiTheme="minorHAnsi"/>
                <w:sz w:val="22"/>
                <w:lang w:eastAsia="ru-RU"/>
              </w:rPr>
              <w:tab/>
            </w:r>
            <w:r>
              <w:rPr>
                <w:rStyle w:val="Style18"/>
              </w:rPr>
              <w:t>Заключение Договора</w:t>
              <w:tab/>
            </w:r>
            <w:r>
              <w:rPr>
                <w:webHidden/>
              </w:rPr>
              <w:fldChar w:fldCharType="begin"/>
            </w:r>
            <w:r>
              <w:rPr>
                <w:webHidden/>
              </w:rPr>
              <w:instrText xml:space="preserve">PAGEREF _Toc188004691 \h</w:instrText>
            </w:r>
            <w:r>
              <w:rPr>
                <w:webHidden/>
              </w:rPr>
              <w:fldChar w:fldCharType="separate"/>
            </w:r>
            <w:r>
              <w:rPr>
                <w:rStyle w:val="Style18"/>
                <w:vanish w:val="false"/>
              </w:rPr>
              <w:t>47</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92">
            <w:r>
              <w:rPr>
                <w:webHidden/>
                <w:rStyle w:val="Style18"/>
                <w:vanish w:val="false"/>
              </w:rPr>
              <w:t>5.3</w:t>
            </w:r>
            <w:r>
              <w:rPr>
                <w:rStyle w:val="Style18"/>
                <w:rFonts w:eastAsia="" w:ascii="Calibri" w:hAnsi="Calibri" w:asciiTheme="minorHAnsi" w:eastAsiaTheme="minorEastAsia" w:hAnsiTheme="minorHAnsi"/>
                <w:sz w:val="22"/>
                <w:lang w:eastAsia="ru-RU"/>
              </w:rPr>
              <w:tab/>
            </w:r>
            <w:r>
              <w:rPr>
                <w:rStyle w:val="Style18"/>
              </w:rPr>
              <w:t>Преддоговорные переговоры</w:t>
              <w:tab/>
            </w:r>
            <w:r>
              <w:rPr>
                <w:webHidden/>
              </w:rPr>
              <w:fldChar w:fldCharType="begin"/>
            </w:r>
            <w:r>
              <w:rPr>
                <w:webHidden/>
              </w:rPr>
              <w:instrText xml:space="preserve">PAGEREF _Toc188004692 \h</w:instrText>
            </w:r>
            <w:r>
              <w:rPr>
                <w:webHidden/>
              </w:rPr>
              <w:fldChar w:fldCharType="separate"/>
            </w:r>
            <w:r>
              <w:rPr>
                <w:rStyle w:val="Style18"/>
                <w:vanish w:val="false"/>
              </w:rPr>
              <w:t>49</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93">
            <w:r>
              <w:rPr>
                <w:webHidden/>
                <w:rStyle w:val="Style18"/>
                <w:vanish w:val="false"/>
              </w:rPr>
              <w:t>5.4</w:t>
            </w:r>
            <w:r>
              <w:rPr>
                <w:rStyle w:val="Style18"/>
                <w:rFonts w:eastAsia="" w:ascii="Calibri" w:hAnsi="Calibri" w:asciiTheme="minorHAnsi" w:eastAsiaTheme="minorEastAsia" w:hAnsiTheme="minorHAnsi"/>
                <w:sz w:val="22"/>
                <w:lang w:eastAsia="ru-RU"/>
              </w:rPr>
              <w:tab/>
            </w:r>
            <w:r>
              <w:rPr>
                <w:rStyle w:val="Style18"/>
              </w:rPr>
              <w:t>Уклонение Победителя от заключения Договора</w:t>
              <w:tab/>
            </w:r>
            <w:r>
              <w:rPr>
                <w:webHidden/>
              </w:rPr>
              <w:fldChar w:fldCharType="begin"/>
            </w:r>
            <w:r>
              <w:rPr>
                <w:webHidden/>
              </w:rPr>
              <w:instrText xml:space="preserve">PAGEREF _Toc188004693 \h</w:instrText>
            </w:r>
            <w:r>
              <w:rPr>
                <w:webHidden/>
              </w:rPr>
              <w:fldChar w:fldCharType="separate"/>
            </w:r>
            <w:r>
              <w:rPr>
                <w:rStyle w:val="Style18"/>
                <w:vanish w:val="false"/>
              </w:rPr>
              <w:t>50</w:t>
            </w:r>
            <w:r>
              <w:rPr>
                <w:webHidden/>
              </w:rPr>
              <w:fldChar w:fldCharType="end"/>
            </w:r>
          </w:hyperlink>
        </w:p>
        <w:p>
          <w:pPr>
            <w:pStyle w:val="TOC1"/>
            <w:rPr>
              <w:rFonts w:ascii="Calibri" w:hAnsi="Calibri" w:eastAsia="" w:asciiTheme="minorHAnsi" w:eastAsiaTheme="minorEastAsia" w:hAnsiTheme="minorHAnsi"/>
              <w:b w:val="false"/>
              <w:caps w:val="false"/>
              <w:smallCaps w:val="false"/>
              <w:sz w:val="22"/>
              <w:lang w:eastAsia="ru-RU"/>
            </w:rPr>
          </w:pPr>
          <w:hyperlink w:anchor="_Toc188004694">
            <w:r>
              <w:rPr>
                <w:webHidden/>
                <w:rStyle w:val="Style18"/>
                <w:vanish w:val="false"/>
              </w:rPr>
              <w:t>6.</w:t>
            </w:r>
            <w:r>
              <w:rPr>
                <w:rStyle w:val="Style18"/>
                <w:rFonts w:eastAsia="" w:ascii="Calibri" w:hAnsi="Calibri" w:asciiTheme="minorHAnsi" w:eastAsiaTheme="minorEastAsia" w:hAnsiTheme="minorHAnsi"/>
                <w:b w:val="false"/>
                <w:caps w:val="false"/>
                <w:smallCaps w:val="false"/>
                <w:sz w:val="22"/>
                <w:lang w:eastAsia="ru-RU"/>
              </w:rPr>
              <w:tab/>
            </w:r>
            <w:r>
              <w:rPr>
                <w:rStyle w:val="Style18"/>
              </w:rPr>
              <w:t>Приложение № 1 – Технические требования</w:t>
              <w:tab/>
            </w:r>
            <w:r>
              <w:rPr>
                <w:webHidden/>
              </w:rPr>
              <w:fldChar w:fldCharType="begin"/>
            </w:r>
            <w:r>
              <w:rPr>
                <w:webHidden/>
              </w:rPr>
              <w:instrText xml:space="preserve">PAGEREF _Toc188004694 \h</w:instrText>
            </w:r>
            <w:r>
              <w:rPr>
                <w:webHidden/>
              </w:rPr>
              <w:fldChar w:fldCharType="separate"/>
            </w:r>
            <w:r>
              <w:rPr>
                <w:rStyle w:val="Style18"/>
                <w:vanish w:val="false"/>
              </w:rPr>
              <w:t>52</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95">
            <w:r>
              <w:rPr>
                <w:webHidden/>
                <w:rStyle w:val="Style18"/>
                <w:vanish w:val="false"/>
              </w:rPr>
              <w:t>6.1</w:t>
            </w:r>
            <w:r>
              <w:rPr>
                <w:rStyle w:val="Style18"/>
                <w:rFonts w:eastAsia="" w:ascii="Calibri" w:hAnsi="Calibri" w:asciiTheme="minorHAnsi" w:eastAsiaTheme="minorEastAsia" w:hAnsiTheme="minorHAnsi"/>
                <w:sz w:val="22"/>
                <w:lang w:eastAsia="ru-RU"/>
              </w:rPr>
              <w:tab/>
            </w:r>
            <w:r>
              <w:rPr>
                <w:rStyle w:val="Style18"/>
              </w:rPr>
              <w:t>Пояснения к Техническим требованиям</w:t>
              <w:tab/>
            </w:r>
            <w:r>
              <w:rPr>
                <w:webHidden/>
              </w:rPr>
              <w:fldChar w:fldCharType="begin"/>
            </w:r>
            <w:r>
              <w:rPr>
                <w:webHidden/>
              </w:rPr>
              <w:instrText xml:space="preserve">PAGEREF _Toc188004695 \h</w:instrText>
            </w:r>
            <w:r>
              <w:rPr>
                <w:webHidden/>
              </w:rPr>
              <w:fldChar w:fldCharType="separate"/>
            </w:r>
            <w:r>
              <w:rPr>
                <w:rStyle w:val="Style18"/>
                <w:vanish w:val="false"/>
              </w:rPr>
              <w:t>52</w:t>
            </w:r>
            <w:r>
              <w:rPr>
                <w:webHidden/>
              </w:rPr>
              <w:fldChar w:fldCharType="end"/>
            </w:r>
          </w:hyperlink>
        </w:p>
        <w:p>
          <w:pPr>
            <w:pStyle w:val="TOC1"/>
            <w:rPr>
              <w:rFonts w:ascii="Calibri" w:hAnsi="Calibri" w:eastAsia="" w:asciiTheme="minorHAnsi" w:eastAsiaTheme="minorEastAsia" w:hAnsiTheme="minorHAnsi"/>
              <w:b w:val="false"/>
              <w:caps w:val="false"/>
              <w:smallCaps w:val="false"/>
              <w:sz w:val="22"/>
              <w:lang w:eastAsia="ru-RU"/>
            </w:rPr>
          </w:pPr>
          <w:hyperlink w:anchor="_Toc188004696">
            <w:r>
              <w:rPr>
                <w:webHidden/>
                <w:rStyle w:val="Style18"/>
                <w:vanish w:val="false"/>
              </w:rPr>
              <w:t>7.</w:t>
            </w:r>
            <w:r>
              <w:rPr>
                <w:rStyle w:val="Style18"/>
                <w:rFonts w:eastAsia="" w:ascii="Calibri" w:hAnsi="Calibri" w:asciiTheme="minorHAnsi" w:eastAsiaTheme="minorEastAsia" w:hAnsiTheme="minorHAnsi"/>
                <w:b w:val="false"/>
                <w:caps w:val="false"/>
                <w:smallCaps w:val="false"/>
                <w:sz w:val="22"/>
                <w:lang w:eastAsia="ru-RU"/>
              </w:rPr>
              <w:tab/>
            </w:r>
            <w:r>
              <w:rPr>
                <w:rStyle w:val="Style18"/>
              </w:rPr>
              <w:t>Приложение № 2 – Проект договора</w:t>
              <w:tab/>
            </w:r>
            <w:r>
              <w:rPr>
                <w:webHidden/>
              </w:rPr>
              <w:fldChar w:fldCharType="begin"/>
            </w:r>
            <w:r>
              <w:rPr>
                <w:webHidden/>
              </w:rPr>
              <w:instrText xml:space="preserve">PAGEREF _Toc188004696 \h</w:instrText>
            </w:r>
            <w:r>
              <w:rPr>
                <w:webHidden/>
              </w:rPr>
              <w:fldChar w:fldCharType="separate"/>
            </w:r>
            <w:r>
              <w:rPr>
                <w:rStyle w:val="Style18"/>
                <w:vanish w:val="false"/>
              </w:rPr>
              <w:t>53</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97">
            <w:r>
              <w:rPr>
                <w:webHidden/>
                <w:rStyle w:val="Style18"/>
                <w:vanish w:val="false"/>
              </w:rPr>
              <w:t>7.1</w:t>
            </w:r>
            <w:r>
              <w:rPr>
                <w:rStyle w:val="Style18"/>
                <w:rFonts w:eastAsia="" w:ascii="Calibri" w:hAnsi="Calibri" w:asciiTheme="minorHAnsi" w:eastAsiaTheme="minorEastAsia" w:hAnsiTheme="minorHAnsi"/>
                <w:sz w:val="22"/>
                <w:lang w:eastAsia="ru-RU"/>
              </w:rPr>
              <w:tab/>
            </w:r>
            <w:r>
              <w:rPr>
                <w:rStyle w:val="Style18"/>
              </w:rPr>
              <w:t>Пояснения к Проекту договора</w:t>
              <w:tab/>
            </w:r>
            <w:r>
              <w:rPr>
                <w:webHidden/>
              </w:rPr>
              <w:fldChar w:fldCharType="begin"/>
            </w:r>
            <w:r>
              <w:rPr>
                <w:webHidden/>
              </w:rPr>
              <w:instrText xml:space="preserve">PAGEREF _Toc188004697 \h</w:instrText>
            </w:r>
            <w:r>
              <w:rPr>
                <w:webHidden/>
              </w:rPr>
              <w:fldChar w:fldCharType="separate"/>
            </w:r>
            <w:r>
              <w:rPr>
                <w:rStyle w:val="Style18"/>
                <w:vanish w:val="false"/>
              </w:rPr>
              <w:t>53</w:t>
            </w:r>
            <w:r>
              <w:rPr>
                <w:webHidden/>
              </w:rPr>
              <w:fldChar w:fldCharType="end"/>
            </w:r>
          </w:hyperlink>
        </w:p>
        <w:p>
          <w:pPr>
            <w:pStyle w:val="TOC1"/>
            <w:rPr>
              <w:rFonts w:ascii="Calibri" w:hAnsi="Calibri" w:eastAsia="" w:asciiTheme="minorHAnsi" w:eastAsiaTheme="minorEastAsia" w:hAnsiTheme="minorHAnsi"/>
              <w:b w:val="false"/>
              <w:caps w:val="false"/>
              <w:smallCaps w:val="false"/>
              <w:sz w:val="22"/>
              <w:lang w:eastAsia="ru-RU"/>
            </w:rPr>
          </w:pPr>
          <w:hyperlink w:anchor="_Toc188004698">
            <w:r>
              <w:rPr>
                <w:webHidden/>
                <w:rStyle w:val="Style18"/>
                <w:vanish w:val="false"/>
              </w:rPr>
              <w:t>8.</w:t>
            </w:r>
            <w:r>
              <w:rPr>
                <w:rStyle w:val="Style18"/>
                <w:rFonts w:eastAsia="" w:ascii="Calibri" w:hAnsi="Calibri" w:asciiTheme="minorHAnsi" w:eastAsiaTheme="minorEastAsia" w:hAnsiTheme="minorHAnsi"/>
                <w:b w:val="false"/>
                <w:caps w:val="false"/>
                <w:smallCaps w:val="false"/>
                <w:sz w:val="22"/>
                <w:lang w:eastAsia="ru-RU"/>
              </w:rPr>
              <w:tab/>
            </w:r>
            <w:r>
              <w:rPr>
                <w:rStyle w:val="Style18"/>
              </w:rPr>
              <w:t>Приложение № 3 – Требования к Участникам</w:t>
              <w:tab/>
            </w:r>
            <w:r>
              <w:rPr>
                <w:webHidden/>
              </w:rPr>
              <w:fldChar w:fldCharType="begin"/>
            </w:r>
            <w:r>
              <w:rPr>
                <w:webHidden/>
              </w:rPr>
              <w:instrText xml:space="preserve">PAGEREF _Toc188004698 \h</w:instrText>
            </w:r>
            <w:r>
              <w:rPr>
                <w:webHidden/>
              </w:rPr>
              <w:fldChar w:fldCharType="separate"/>
            </w:r>
            <w:r>
              <w:rPr>
                <w:rStyle w:val="Style18"/>
                <w:vanish w:val="false"/>
              </w:rPr>
              <w:t>54</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699">
            <w:r>
              <w:rPr>
                <w:webHidden/>
                <w:rStyle w:val="Style18"/>
                <w:vanish w:val="false"/>
              </w:rPr>
              <w:t>8.1</w:t>
            </w:r>
            <w:r>
              <w:rPr>
                <w:rStyle w:val="Style18"/>
                <w:rFonts w:eastAsia="" w:ascii="Calibri" w:hAnsi="Calibri" w:asciiTheme="minorHAnsi" w:eastAsiaTheme="minorEastAsia" w:hAnsiTheme="minorHAnsi"/>
                <w:sz w:val="22"/>
                <w:lang w:eastAsia="ru-RU"/>
              </w:rPr>
              <w:tab/>
            </w:r>
            <w:r>
              <w:rPr>
                <w:rStyle w:val="Style18"/>
              </w:rPr>
              <w:t>Пояснения к требованиям к Участникам</w:t>
              <w:tab/>
            </w:r>
            <w:r>
              <w:rPr>
                <w:webHidden/>
              </w:rPr>
              <w:fldChar w:fldCharType="begin"/>
            </w:r>
            <w:r>
              <w:rPr>
                <w:webHidden/>
              </w:rPr>
              <w:instrText xml:space="preserve">PAGEREF _Toc188004699 \h</w:instrText>
            </w:r>
            <w:r>
              <w:rPr>
                <w:webHidden/>
              </w:rPr>
              <w:fldChar w:fldCharType="separate"/>
            </w:r>
            <w:r>
              <w:rPr>
                <w:rStyle w:val="Style18"/>
                <w:vanish w:val="false"/>
              </w:rPr>
              <w:t>54</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700">
            <w:r>
              <w:rPr>
                <w:webHidden/>
                <w:rStyle w:val="Style18"/>
                <w:vanish w:val="false"/>
              </w:rPr>
              <w:t>8.2</w:t>
            </w:r>
            <w:r>
              <w:rPr>
                <w:rStyle w:val="Style18"/>
                <w:rFonts w:eastAsia="" w:ascii="Calibri" w:hAnsi="Calibri" w:asciiTheme="minorHAnsi" w:eastAsiaTheme="minorEastAsia" w:hAnsiTheme="minorHAnsi"/>
                <w:sz w:val="22"/>
                <w:lang w:eastAsia="ru-RU"/>
              </w:rPr>
              <w:tab/>
            </w:r>
            <w:r>
              <w:rPr>
                <w:rStyle w:val="Style18"/>
              </w:rPr>
              <w:t>Обязательные требования</w:t>
              <w:tab/>
            </w:r>
            <w:r>
              <w:rPr>
                <w:webHidden/>
              </w:rPr>
              <w:fldChar w:fldCharType="begin"/>
            </w:r>
            <w:r>
              <w:rPr>
                <w:webHidden/>
              </w:rPr>
              <w:instrText xml:space="preserve">PAGEREF _Toc188004700 \h</w:instrText>
            </w:r>
            <w:r>
              <w:rPr>
                <w:webHidden/>
              </w:rPr>
              <w:fldChar w:fldCharType="separate"/>
            </w:r>
            <w:r>
              <w:rPr>
                <w:rStyle w:val="Style18"/>
                <w:vanish w:val="false"/>
              </w:rPr>
              <w:t>54</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701">
            <w:r>
              <w:rPr>
                <w:webHidden/>
                <w:rStyle w:val="Style18"/>
                <w:vanish w:val="false"/>
              </w:rPr>
              <w:t>8.3</w:t>
            </w:r>
            <w:r>
              <w:rPr>
                <w:rStyle w:val="Style18"/>
                <w:rFonts w:eastAsia="" w:ascii="Calibri" w:hAnsi="Calibri" w:asciiTheme="minorHAnsi" w:eastAsiaTheme="minorEastAsia" w:hAnsiTheme="minorHAnsi"/>
                <w:sz w:val="22"/>
                <w:lang w:eastAsia="ru-RU"/>
              </w:rPr>
              <w:tab/>
            </w:r>
            <w:r>
              <w:rPr>
                <w:rStyle w:val="Style18"/>
              </w:rPr>
              <w:t>Специальные требования</w:t>
              <w:tab/>
            </w:r>
            <w:r>
              <w:rPr>
                <w:webHidden/>
              </w:rPr>
              <w:fldChar w:fldCharType="begin"/>
            </w:r>
            <w:r>
              <w:rPr>
                <w:webHidden/>
              </w:rPr>
              <w:instrText xml:space="preserve">PAGEREF _Toc188004701 \h</w:instrText>
            </w:r>
            <w:r>
              <w:rPr>
                <w:webHidden/>
              </w:rPr>
              <w:fldChar w:fldCharType="separate"/>
            </w:r>
            <w:r>
              <w:rPr>
                <w:rStyle w:val="Style18"/>
                <w:vanish w:val="false"/>
              </w:rPr>
              <w:t>58</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702">
            <w:r>
              <w:rPr>
                <w:webHidden/>
                <w:rStyle w:val="Style18"/>
                <w:vanish w:val="false"/>
              </w:rPr>
              <w:t>8.4</w:t>
            </w:r>
            <w:r>
              <w:rPr>
                <w:rStyle w:val="Style18"/>
                <w:rFonts w:eastAsia="" w:ascii="Calibri" w:hAnsi="Calibri" w:asciiTheme="minorHAnsi" w:eastAsiaTheme="minorEastAsia" w:hAnsiTheme="minorHAnsi"/>
                <w:sz w:val="22"/>
                <w:lang w:eastAsia="ru-RU"/>
              </w:rPr>
              <w:tab/>
            </w:r>
            <w:r>
              <w:rPr>
                <w:rStyle w:val="Style18"/>
              </w:rPr>
              <w:t>Квалификационные требования</w:t>
              <w:tab/>
            </w:r>
            <w:r>
              <w:rPr>
                <w:webHidden/>
              </w:rPr>
              <w:fldChar w:fldCharType="begin"/>
            </w:r>
            <w:r>
              <w:rPr>
                <w:webHidden/>
              </w:rPr>
              <w:instrText xml:space="preserve">PAGEREF _Toc188004702 \h</w:instrText>
            </w:r>
            <w:r>
              <w:rPr>
                <w:webHidden/>
              </w:rPr>
              <w:fldChar w:fldCharType="separate"/>
            </w:r>
            <w:r>
              <w:rPr>
                <w:rStyle w:val="Style18"/>
                <w:vanish w:val="false"/>
              </w:rPr>
              <w:t>58</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703">
            <w:r>
              <w:rPr>
                <w:webHidden/>
                <w:rStyle w:val="Style18"/>
                <w:vanish w:val="false"/>
              </w:rPr>
              <w:t>8.5</w:t>
            </w:r>
            <w:r>
              <w:rPr>
                <w:rStyle w:val="Style18"/>
                <w:rFonts w:eastAsia="" w:ascii="Calibri" w:hAnsi="Calibri" w:asciiTheme="minorHAnsi" w:eastAsiaTheme="minorEastAsia" w:hAnsiTheme="minorHAnsi"/>
                <w:sz w:val="22"/>
                <w:lang w:eastAsia="ru-RU"/>
              </w:rPr>
              <w:tab/>
            </w:r>
            <w:r>
              <w:rPr>
                <w:rStyle w:val="Style18"/>
              </w:rPr>
              <w:t>Дополнительные требования к Коллективным участникам</w:t>
              <w:tab/>
            </w:r>
            <w:r>
              <w:rPr>
                <w:webHidden/>
              </w:rPr>
              <w:fldChar w:fldCharType="begin"/>
            </w:r>
            <w:r>
              <w:rPr>
                <w:webHidden/>
              </w:rPr>
              <w:instrText xml:space="preserve">PAGEREF _Toc188004703 \h</w:instrText>
            </w:r>
            <w:r>
              <w:rPr>
                <w:webHidden/>
              </w:rPr>
              <w:fldChar w:fldCharType="separate"/>
            </w:r>
            <w:r>
              <w:rPr>
                <w:rStyle w:val="Style18"/>
                <w:vanish w:val="false"/>
              </w:rPr>
              <w:t>58</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704">
            <w:r>
              <w:rPr>
                <w:webHidden/>
                <w:rStyle w:val="Style18"/>
                <w:vanish w:val="false"/>
              </w:rPr>
              <w:t>8.6</w:t>
            </w:r>
            <w:r>
              <w:rPr>
                <w:rStyle w:val="Style18"/>
                <w:rFonts w:eastAsia="" w:ascii="Calibri" w:hAnsi="Calibri" w:asciiTheme="minorHAnsi" w:eastAsiaTheme="minorEastAsia" w:hAnsiTheme="minorHAnsi"/>
                <w:sz w:val="22"/>
                <w:lang w:eastAsia="ru-RU"/>
              </w:rPr>
              <w:tab/>
            </w:r>
            <w:r>
              <w:rPr>
                <w:rStyle w:val="Style18"/>
              </w:rPr>
              <w:t>Дополнительные требования к Генеральным подрядчикам</w:t>
              <w:tab/>
            </w:r>
            <w:r>
              <w:rPr>
                <w:webHidden/>
              </w:rPr>
              <w:fldChar w:fldCharType="begin"/>
            </w:r>
            <w:r>
              <w:rPr>
                <w:webHidden/>
              </w:rPr>
              <w:instrText xml:space="preserve">PAGEREF _Toc188004704 \h</w:instrText>
            </w:r>
            <w:r>
              <w:rPr>
                <w:webHidden/>
              </w:rPr>
              <w:fldChar w:fldCharType="separate"/>
            </w:r>
            <w:r>
              <w:rPr>
                <w:rStyle w:val="Style18"/>
                <w:vanish w:val="false"/>
              </w:rPr>
              <w:t>59</w:t>
            </w:r>
            <w:r>
              <w:rPr>
                <w:webHidden/>
              </w:rPr>
              <w:fldChar w:fldCharType="end"/>
            </w:r>
          </w:hyperlink>
        </w:p>
        <w:p>
          <w:pPr>
            <w:pStyle w:val="TOC1"/>
            <w:rPr>
              <w:rFonts w:ascii="Calibri" w:hAnsi="Calibri" w:eastAsia="" w:asciiTheme="minorHAnsi" w:eastAsiaTheme="minorEastAsia" w:hAnsiTheme="minorHAnsi"/>
              <w:b w:val="false"/>
              <w:caps w:val="false"/>
              <w:smallCaps w:val="false"/>
              <w:sz w:val="22"/>
              <w:lang w:eastAsia="ru-RU"/>
            </w:rPr>
          </w:pPr>
          <w:hyperlink w:anchor="_Toc188004705">
            <w:r>
              <w:rPr>
                <w:webHidden/>
                <w:rStyle w:val="Style18"/>
                <w:vanish w:val="false"/>
              </w:rPr>
              <w:t>9.</w:t>
            </w:r>
            <w:r>
              <w:rPr>
                <w:rStyle w:val="Style18"/>
                <w:rFonts w:eastAsia="" w:ascii="Calibri" w:hAnsi="Calibri" w:asciiTheme="minorHAnsi" w:eastAsiaTheme="minorEastAsia" w:hAnsiTheme="minorHAnsi"/>
                <w:b w:val="false"/>
                <w:caps w:val="false"/>
                <w:smallCaps w:val="false"/>
                <w:sz w:val="22"/>
                <w:lang w:eastAsia="ru-RU"/>
              </w:rPr>
              <w:tab/>
            </w:r>
            <w:r>
              <w:rPr>
                <w:rStyle w:val="Style18"/>
              </w:rPr>
              <w:t>Приложение № 4 – Образцы форм документов, включаемых в состав заявки</w:t>
              <w:tab/>
            </w:r>
            <w:r>
              <w:rPr>
                <w:webHidden/>
              </w:rPr>
              <w:fldChar w:fldCharType="begin"/>
            </w:r>
            <w:r>
              <w:rPr>
                <w:webHidden/>
              </w:rPr>
              <w:instrText xml:space="preserve">PAGEREF _Toc188004705 \h</w:instrText>
            </w:r>
            <w:r>
              <w:rPr>
                <w:webHidden/>
              </w:rPr>
              <w:fldChar w:fldCharType="separate"/>
            </w:r>
            <w:r>
              <w:rPr>
                <w:rStyle w:val="Style18"/>
                <w:vanish w:val="false"/>
              </w:rPr>
              <w:t>60</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706">
            <w:r>
              <w:rPr>
                <w:webHidden/>
                <w:rStyle w:val="Style18"/>
                <w:vanish w:val="false"/>
              </w:rPr>
              <w:t>9.1</w:t>
            </w:r>
            <w:r>
              <w:rPr>
                <w:rStyle w:val="Style18"/>
                <w:rFonts w:eastAsia="" w:ascii="Calibri" w:hAnsi="Calibri" w:asciiTheme="minorHAnsi" w:eastAsiaTheme="minorEastAsia" w:hAnsiTheme="minorHAnsi"/>
                <w:sz w:val="22"/>
                <w:lang w:eastAsia="ru-RU"/>
              </w:rPr>
              <w:tab/>
            </w:r>
            <w:r>
              <w:rPr>
                <w:rStyle w:val="Style18"/>
              </w:rPr>
              <w:t>Пояснения к Образцам форм документов, включаемых в состав заявки</w:t>
              <w:tab/>
            </w:r>
            <w:r>
              <w:rPr>
                <w:webHidden/>
              </w:rPr>
              <w:fldChar w:fldCharType="begin"/>
            </w:r>
            <w:r>
              <w:rPr>
                <w:webHidden/>
              </w:rPr>
              <w:instrText xml:space="preserve">PAGEREF _Toc188004706 \h</w:instrText>
            </w:r>
            <w:r>
              <w:rPr>
                <w:webHidden/>
              </w:rPr>
              <w:fldChar w:fldCharType="separate"/>
            </w:r>
            <w:r>
              <w:rPr>
                <w:rStyle w:val="Style18"/>
                <w:vanish w:val="false"/>
              </w:rPr>
              <w:t>60</w:t>
            </w:r>
            <w:r>
              <w:rPr>
                <w:webHidden/>
              </w:rPr>
              <w:fldChar w:fldCharType="end"/>
            </w:r>
          </w:hyperlink>
        </w:p>
        <w:p>
          <w:pPr>
            <w:pStyle w:val="TOC1"/>
            <w:rPr>
              <w:rFonts w:ascii="Calibri" w:hAnsi="Calibri" w:eastAsia="" w:asciiTheme="minorHAnsi" w:eastAsiaTheme="minorEastAsia" w:hAnsiTheme="minorHAnsi"/>
              <w:b w:val="false"/>
              <w:caps w:val="false"/>
              <w:smallCaps w:val="false"/>
              <w:sz w:val="22"/>
              <w:lang w:eastAsia="ru-RU"/>
            </w:rPr>
          </w:pPr>
          <w:hyperlink w:anchor="_Toc188004707">
            <w:r>
              <w:rPr>
                <w:webHidden/>
                <w:rStyle w:val="Style18"/>
                <w:vanish w:val="false"/>
              </w:rPr>
              <w:t>10.</w:t>
            </w:r>
            <w:r>
              <w:rPr>
                <w:rStyle w:val="Style18"/>
                <w:rFonts w:eastAsia="" w:ascii="Calibri" w:hAnsi="Calibri" w:asciiTheme="minorHAnsi" w:eastAsiaTheme="minorEastAsia" w:hAnsiTheme="minorHAnsi"/>
                <w:b w:val="false"/>
                <w:caps w:val="false"/>
                <w:smallCaps w:val="false"/>
                <w:sz w:val="22"/>
                <w:lang w:eastAsia="ru-RU"/>
              </w:rPr>
              <w:tab/>
            </w:r>
            <w:r>
              <w:rPr>
                <w:rStyle w:val="Style18"/>
              </w:rPr>
              <w:t>Приложение № 5 – Образцы форм документов, предоставляемых Победителем</w:t>
              <w:tab/>
            </w:r>
            <w:r>
              <w:rPr>
                <w:webHidden/>
              </w:rPr>
              <w:fldChar w:fldCharType="begin"/>
            </w:r>
            <w:r>
              <w:rPr>
                <w:webHidden/>
              </w:rPr>
              <w:instrText xml:space="preserve">PAGEREF _Toc188004707 \h</w:instrText>
            </w:r>
            <w:r>
              <w:rPr>
                <w:webHidden/>
              </w:rPr>
              <w:fldChar w:fldCharType="separate"/>
            </w:r>
            <w:r>
              <w:rPr>
                <w:rStyle w:val="Style18"/>
                <w:vanish w:val="false"/>
              </w:rPr>
              <w:t>61</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708">
            <w:r>
              <w:rPr>
                <w:webHidden/>
                <w:rStyle w:val="Style18"/>
                <w:vanish w:val="false"/>
              </w:rPr>
              <w:t>10.1</w:t>
            </w:r>
            <w:r>
              <w:rPr>
                <w:rStyle w:val="Style18"/>
                <w:rFonts w:eastAsia="" w:ascii="Calibri" w:hAnsi="Calibri" w:asciiTheme="minorHAnsi" w:eastAsiaTheme="minorEastAsia" w:hAnsiTheme="minorHAnsi"/>
                <w:sz w:val="22"/>
                <w:lang w:eastAsia="ru-RU"/>
              </w:rPr>
              <w:tab/>
            </w:r>
            <w:r>
              <w:rPr>
                <w:rStyle w:val="Style18"/>
              </w:rPr>
              <w:t>Пояснения к Образцам форм документов, предоставляемых Победителем</w:t>
              <w:tab/>
            </w:r>
            <w:r>
              <w:rPr>
                <w:webHidden/>
              </w:rPr>
              <w:fldChar w:fldCharType="begin"/>
            </w:r>
            <w:r>
              <w:rPr>
                <w:webHidden/>
              </w:rPr>
              <w:instrText xml:space="preserve">PAGEREF _Toc188004708 \h</w:instrText>
            </w:r>
            <w:r>
              <w:rPr>
                <w:webHidden/>
              </w:rPr>
              <w:fldChar w:fldCharType="separate"/>
            </w:r>
            <w:r>
              <w:rPr>
                <w:rStyle w:val="Style18"/>
                <w:vanish w:val="false"/>
              </w:rPr>
              <w:t>61</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709">
            <w:r>
              <w:rPr>
                <w:webHidden/>
                <w:rStyle w:val="Style18"/>
                <w:vanish w:val="false"/>
              </w:rPr>
              <w:t>10.2</w:t>
            </w:r>
            <w:r>
              <w:rPr>
                <w:rStyle w:val="Style18"/>
                <w:rFonts w:eastAsia="" w:ascii="Calibri" w:hAnsi="Calibri" w:asciiTheme="minorHAnsi" w:eastAsiaTheme="minorEastAsia" w:hAnsiTheme="minorHAnsi"/>
                <w:sz w:val="22"/>
                <w:lang w:eastAsia="ru-RU"/>
              </w:rPr>
              <w:tab/>
            </w:r>
            <w:r>
              <w:rPr>
                <w:rStyle w:val="Style18"/>
              </w:rPr>
              <w:t>Форма справки «Сведения о цепочке собственников, включая бенефициаров (в том числе конечных)»</w:t>
              <w:tab/>
            </w:r>
            <w:r>
              <w:rPr>
                <w:webHidden/>
              </w:rPr>
              <w:fldChar w:fldCharType="begin"/>
            </w:r>
            <w:r>
              <w:rPr>
                <w:webHidden/>
              </w:rPr>
              <w:instrText xml:space="preserve">PAGEREF _Toc188004709 \h</w:instrText>
            </w:r>
            <w:r>
              <w:rPr>
                <w:webHidden/>
              </w:rPr>
              <w:fldChar w:fldCharType="separate"/>
            </w:r>
            <w:r>
              <w:rPr>
                <w:rStyle w:val="Style18"/>
                <w:vanish w:val="false"/>
              </w:rPr>
              <w:t>61</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710">
            <w:r>
              <w:rPr>
                <w:webHidden/>
                <w:rStyle w:val="Style18"/>
                <w:vanish w:val="false"/>
              </w:rPr>
              <w:t>10.3</w:t>
            </w:r>
            <w:r>
              <w:rPr>
                <w:rStyle w:val="Style18"/>
                <w:rFonts w:eastAsia="" w:ascii="Calibri" w:hAnsi="Calibri" w:asciiTheme="minorHAnsi" w:eastAsiaTheme="minorEastAsia" w:hAnsiTheme="minorHAnsi"/>
                <w:sz w:val="22"/>
                <w:lang w:eastAsia="ru-RU"/>
              </w:rPr>
              <w:tab/>
            </w:r>
            <w:r>
              <w:rPr>
                <w:rStyle w:val="Style18"/>
              </w:rPr>
              <w:t>Форма «Заверение об обстоятельствах»</w:t>
              <w:tab/>
            </w:r>
            <w:r>
              <w:rPr>
                <w:webHidden/>
              </w:rPr>
              <w:fldChar w:fldCharType="begin"/>
            </w:r>
            <w:r>
              <w:rPr>
                <w:webHidden/>
              </w:rPr>
              <w:instrText xml:space="preserve">PAGEREF _Toc188004710 \h</w:instrText>
            </w:r>
            <w:r>
              <w:rPr>
                <w:webHidden/>
              </w:rPr>
              <w:fldChar w:fldCharType="separate"/>
            </w:r>
            <w:r>
              <w:rPr>
                <w:rStyle w:val="Style18"/>
                <w:vanish w:val="false"/>
              </w:rPr>
              <w:t>61</w:t>
            </w:r>
            <w:r>
              <w:rPr>
                <w:webHidden/>
              </w:rPr>
              <w:fldChar w:fldCharType="end"/>
            </w:r>
          </w:hyperlink>
        </w:p>
        <w:p>
          <w:pPr>
            <w:pStyle w:val="TOC1"/>
            <w:rPr>
              <w:rFonts w:ascii="Calibri" w:hAnsi="Calibri" w:eastAsia="" w:asciiTheme="minorHAnsi" w:eastAsiaTheme="minorEastAsia" w:hAnsiTheme="minorHAnsi"/>
              <w:b w:val="false"/>
              <w:caps w:val="false"/>
              <w:smallCaps w:val="false"/>
              <w:sz w:val="22"/>
              <w:lang w:eastAsia="ru-RU"/>
            </w:rPr>
          </w:pPr>
          <w:hyperlink w:anchor="_Toc188004711">
            <w:r>
              <w:rPr>
                <w:webHidden/>
                <w:rStyle w:val="Style18"/>
                <w:vanish w:val="false"/>
              </w:rPr>
              <w:t>11.</w:t>
            </w:r>
            <w:r>
              <w:rPr>
                <w:rStyle w:val="Style18"/>
                <w:rFonts w:eastAsia="" w:ascii="Calibri" w:hAnsi="Calibri" w:asciiTheme="minorHAnsi" w:eastAsiaTheme="minorEastAsia" w:hAnsiTheme="minorHAnsi"/>
                <w:b w:val="false"/>
                <w:caps w:val="false"/>
                <w:smallCaps w:val="false"/>
                <w:sz w:val="22"/>
                <w:lang w:eastAsia="ru-RU"/>
              </w:rPr>
              <w:tab/>
            </w:r>
            <w:r>
              <w:rPr>
                <w:rStyle w:val="Style18"/>
              </w:rPr>
              <w:t>Приложение № 6 – Состав заявки</w:t>
              <w:tab/>
            </w:r>
            <w:r>
              <w:rPr>
                <w:webHidden/>
              </w:rPr>
              <w:fldChar w:fldCharType="begin"/>
            </w:r>
            <w:r>
              <w:rPr>
                <w:webHidden/>
              </w:rPr>
              <w:instrText xml:space="preserve">PAGEREF _Toc188004711 \h</w:instrText>
            </w:r>
            <w:r>
              <w:rPr>
                <w:webHidden/>
              </w:rPr>
              <w:fldChar w:fldCharType="separate"/>
            </w:r>
            <w:r>
              <w:rPr>
                <w:rStyle w:val="Style18"/>
                <w:vanish w:val="false"/>
              </w:rPr>
              <w:t>63</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712">
            <w:r>
              <w:rPr>
                <w:webHidden/>
                <w:rStyle w:val="Style18"/>
                <w:vanish w:val="false"/>
              </w:rPr>
              <w:t>11.1</w:t>
            </w:r>
            <w:r>
              <w:rPr>
                <w:rStyle w:val="Style18"/>
                <w:rFonts w:eastAsia="" w:ascii="Calibri" w:hAnsi="Calibri" w:asciiTheme="minorHAnsi" w:eastAsiaTheme="minorEastAsia" w:hAnsiTheme="minorHAnsi"/>
                <w:sz w:val="22"/>
                <w:lang w:eastAsia="ru-RU"/>
              </w:rPr>
              <w:tab/>
            </w:r>
            <w:r>
              <w:rPr>
                <w:rStyle w:val="Style18"/>
              </w:rPr>
              <w:t>Состав заявки</w:t>
              <w:tab/>
            </w:r>
            <w:r>
              <w:rPr>
                <w:webHidden/>
              </w:rPr>
              <w:fldChar w:fldCharType="begin"/>
            </w:r>
            <w:r>
              <w:rPr>
                <w:webHidden/>
              </w:rPr>
              <w:instrText xml:space="preserve">PAGEREF _Toc188004712 \h</w:instrText>
            </w:r>
            <w:r>
              <w:rPr>
                <w:webHidden/>
              </w:rPr>
              <w:fldChar w:fldCharType="separate"/>
            </w:r>
            <w:r>
              <w:rPr>
                <w:rStyle w:val="Style18"/>
                <w:vanish w:val="false"/>
              </w:rPr>
              <w:t>63</w:t>
            </w:r>
            <w:r>
              <w:rPr>
                <w:webHidden/>
              </w:rPr>
              <w:fldChar w:fldCharType="end"/>
            </w:r>
          </w:hyperlink>
        </w:p>
        <w:p>
          <w:pPr>
            <w:pStyle w:val="TOC1"/>
            <w:rPr>
              <w:rFonts w:ascii="Calibri" w:hAnsi="Calibri" w:eastAsia="" w:asciiTheme="minorHAnsi" w:eastAsiaTheme="minorEastAsia" w:hAnsiTheme="minorHAnsi"/>
              <w:b w:val="false"/>
              <w:caps w:val="false"/>
              <w:smallCaps w:val="false"/>
              <w:sz w:val="22"/>
              <w:lang w:eastAsia="ru-RU"/>
            </w:rPr>
          </w:pPr>
          <w:hyperlink w:anchor="_Toc188004713">
            <w:r>
              <w:rPr>
                <w:webHidden/>
                <w:rStyle w:val="Style18"/>
                <w:vanish w:val="false"/>
              </w:rPr>
              <w:t>12.</w:t>
            </w:r>
            <w:r>
              <w:rPr>
                <w:rStyle w:val="Style18"/>
                <w:rFonts w:eastAsia="" w:ascii="Calibri" w:hAnsi="Calibri" w:asciiTheme="minorHAnsi" w:eastAsiaTheme="minorEastAsia" w:hAnsiTheme="minorHAnsi"/>
                <w:b w:val="false"/>
                <w:caps w:val="false"/>
                <w:smallCaps w:val="false"/>
                <w:sz w:val="22"/>
                <w:lang w:eastAsia="ru-RU"/>
              </w:rPr>
              <w:tab/>
            </w:r>
            <w:r>
              <w:rPr>
                <w:rStyle w:val="Style18"/>
              </w:rPr>
              <w:t>Приложение № 7 – Отборочные критерии рассмотрения заявок</w:t>
              <w:tab/>
            </w:r>
            <w:r>
              <w:rPr>
                <w:webHidden/>
              </w:rPr>
              <w:fldChar w:fldCharType="begin"/>
            </w:r>
            <w:r>
              <w:rPr>
                <w:webHidden/>
              </w:rPr>
              <w:instrText xml:space="preserve">PAGEREF _Toc188004713 \h</w:instrText>
            </w:r>
            <w:r>
              <w:rPr>
                <w:webHidden/>
              </w:rPr>
              <w:fldChar w:fldCharType="separate"/>
            </w:r>
            <w:r>
              <w:rPr>
                <w:rStyle w:val="Style18"/>
                <w:vanish w:val="false"/>
              </w:rPr>
              <w:t>66</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714">
            <w:r>
              <w:rPr>
                <w:webHidden/>
                <w:rStyle w:val="Style18"/>
                <w:vanish w:val="false"/>
              </w:rPr>
              <w:t>12.1</w:t>
            </w:r>
            <w:r>
              <w:rPr>
                <w:rStyle w:val="Style18"/>
                <w:rFonts w:eastAsia="" w:ascii="Calibri" w:hAnsi="Calibri" w:asciiTheme="minorHAnsi" w:eastAsiaTheme="minorEastAsia" w:hAnsiTheme="minorHAnsi"/>
                <w:sz w:val="22"/>
                <w:lang w:eastAsia="ru-RU"/>
              </w:rPr>
              <w:tab/>
            </w:r>
            <w:r>
              <w:rPr>
                <w:rStyle w:val="Style18"/>
              </w:rPr>
              <w:t>Отборочные критерии рассмотрения заявок</w:t>
              <w:tab/>
            </w:r>
            <w:r>
              <w:rPr>
                <w:webHidden/>
              </w:rPr>
              <w:fldChar w:fldCharType="begin"/>
            </w:r>
            <w:r>
              <w:rPr>
                <w:webHidden/>
              </w:rPr>
              <w:instrText xml:space="preserve">PAGEREF _Toc188004714 \h</w:instrText>
            </w:r>
            <w:r>
              <w:rPr>
                <w:webHidden/>
              </w:rPr>
              <w:fldChar w:fldCharType="separate"/>
            </w:r>
            <w:r>
              <w:rPr>
                <w:rStyle w:val="Style18"/>
                <w:vanish w:val="false"/>
              </w:rPr>
              <w:t>66</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715">
            <w:r>
              <w:rPr>
                <w:webHidden/>
                <w:rStyle w:val="Style18"/>
                <w:vanish w:val="false"/>
              </w:rPr>
              <w:t>12.2</w:t>
            </w:r>
            <w:r>
              <w:rPr>
                <w:rStyle w:val="Style18"/>
                <w:rFonts w:eastAsia="" w:ascii="Calibri" w:hAnsi="Calibri" w:asciiTheme="minorHAnsi" w:eastAsiaTheme="minorEastAsia" w:hAnsiTheme="minorHAnsi"/>
                <w:sz w:val="22"/>
                <w:lang w:eastAsia="ru-RU"/>
              </w:rPr>
              <w:tab/>
            </w:r>
            <w:r>
              <w:rPr>
                <w:rStyle w:val="Style18"/>
              </w:rPr>
              <w:t>Дополнительные критерии проверки заявок на соответствие условиям Документации о закупке</w:t>
              <w:tab/>
            </w:r>
            <w:r>
              <w:rPr>
                <w:webHidden/>
              </w:rPr>
              <w:fldChar w:fldCharType="begin"/>
            </w:r>
            <w:r>
              <w:rPr>
                <w:webHidden/>
              </w:rPr>
              <w:instrText xml:space="preserve">PAGEREF _Toc188004715 \h</w:instrText>
            </w:r>
            <w:r>
              <w:rPr>
                <w:webHidden/>
              </w:rPr>
              <w:fldChar w:fldCharType="separate"/>
            </w:r>
            <w:r>
              <w:rPr>
                <w:rStyle w:val="Style18"/>
                <w:vanish w:val="false"/>
              </w:rPr>
              <w:t>70</w:t>
            </w:r>
            <w:r>
              <w:rPr>
                <w:webHidden/>
              </w:rPr>
              <w:fldChar w:fldCharType="end"/>
            </w:r>
          </w:hyperlink>
        </w:p>
        <w:p>
          <w:pPr>
            <w:pStyle w:val="TOC1"/>
            <w:rPr>
              <w:rFonts w:ascii="Calibri" w:hAnsi="Calibri" w:eastAsia="" w:asciiTheme="minorHAnsi" w:eastAsiaTheme="minorEastAsia" w:hAnsiTheme="minorHAnsi"/>
              <w:b w:val="false"/>
              <w:caps w:val="false"/>
              <w:smallCaps w:val="false"/>
              <w:sz w:val="22"/>
              <w:lang w:eastAsia="ru-RU"/>
            </w:rPr>
          </w:pPr>
          <w:hyperlink w:anchor="_Toc188004716">
            <w:r>
              <w:rPr>
                <w:webHidden/>
                <w:rStyle w:val="Style18"/>
                <w:vanish w:val="false"/>
              </w:rPr>
              <w:t>13.</w:t>
            </w:r>
            <w:r>
              <w:rPr>
                <w:rStyle w:val="Style18"/>
                <w:rFonts w:eastAsia="" w:ascii="Calibri" w:hAnsi="Calibri" w:asciiTheme="minorHAnsi" w:eastAsiaTheme="minorEastAsia" w:hAnsiTheme="minorHAnsi"/>
                <w:b w:val="false"/>
                <w:caps w:val="false"/>
                <w:smallCaps w:val="false"/>
                <w:sz w:val="22"/>
                <w:lang w:eastAsia="ru-RU"/>
              </w:rPr>
              <w:tab/>
            </w:r>
            <w:r>
              <w:rPr>
                <w:rStyle w:val="Style18"/>
              </w:rPr>
              <w:t>Приложение № 8 – Порядок и критерии оценки и сопоставления заявок</w:t>
              <w:tab/>
            </w:r>
            <w:r>
              <w:rPr>
                <w:webHidden/>
              </w:rPr>
              <w:fldChar w:fldCharType="begin"/>
            </w:r>
            <w:r>
              <w:rPr>
                <w:webHidden/>
              </w:rPr>
              <w:instrText xml:space="preserve">PAGEREF _Toc188004716 \h</w:instrText>
            </w:r>
            <w:r>
              <w:rPr>
                <w:webHidden/>
              </w:rPr>
              <w:fldChar w:fldCharType="separate"/>
            </w:r>
            <w:r>
              <w:rPr>
                <w:rStyle w:val="Style18"/>
                <w:vanish w:val="false"/>
              </w:rPr>
              <w:t>73</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717">
            <w:r>
              <w:rPr>
                <w:webHidden/>
                <w:rStyle w:val="Style18"/>
                <w:vanish w:val="false"/>
              </w:rPr>
              <w:t>13.1</w:t>
            </w:r>
            <w:r>
              <w:rPr>
                <w:rStyle w:val="Style18"/>
                <w:rFonts w:eastAsia="" w:ascii="Calibri" w:hAnsi="Calibri" w:asciiTheme="minorHAnsi" w:eastAsiaTheme="minorEastAsia" w:hAnsiTheme="minorHAnsi"/>
                <w:sz w:val="22"/>
                <w:lang w:eastAsia="ru-RU"/>
              </w:rPr>
              <w:tab/>
            </w:r>
            <w:r>
              <w:rPr>
                <w:rStyle w:val="Style18"/>
              </w:rPr>
              <w:t>Порядок и критерии оценки и сопоставления заявок</w:t>
              <w:tab/>
            </w:r>
            <w:r>
              <w:rPr>
                <w:webHidden/>
              </w:rPr>
              <w:fldChar w:fldCharType="begin"/>
            </w:r>
            <w:r>
              <w:rPr>
                <w:webHidden/>
              </w:rPr>
              <w:instrText xml:space="preserve">PAGEREF _Toc188004717 \h</w:instrText>
            </w:r>
            <w:r>
              <w:rPr>
                <w:webHidden/>
              </w:rPr>
              <w:fldChar w:fldCharType="separate"/>
            </w:r>
            <w:r>
              <w:rPr>
                <w:rStyle w:val="Style18"/>
                <w:vanish w:val="false"/>
              </w:rPr>
              <w:t>73</w:t>
            </w:r>
            <w:r>
              <w:rPr>
                <w:webHidden/>
              </w:rPr>
              <w:fldChar w:fldCharType="end"/>
            </w:r>
          </w:hyperlink>
        </w:p>
        <w:p>
          <w:pPr>
            <w:pStyle w:val="TOC1"/>
            <w:rPr>
              <w:rFonts w:ascii="Calibri" w:hAnsi="Calibri" w:eastAsia="" w:asciiTheme="minorHAnsi" w:eastAsiaTheme="minorEastAsia" w:hAnsiTheme="minorHAnsi"/>
              <w:b w:val="false"/>
              <w:caps w:val="false"/>
              <w:smallCaps w:val="false"/>
              <w:sz w:val="22"/>
              <w:lang w:eastAsia="ru-RU"/>
            </w:rPr>
          </w:pPr>
          <w:hyperlink w:anchor="_Toc188004718">
            <w:r>
              <w:rPr>
                <w:webHidden/>
                <w:rStyle w:val="Style18"/>
                <w:vanish w:val="false"/>
              </w:rPr>
              <w:t>14.</w:t>
            </w:r>
            <w:r>
              <w:rPr>
                <w:rStyle w:val="Style18"/>
                <w:rFonts w:eastAsia="" w:ascii="Calibri" w:hAnsi="Calibri" w:asciiTheme="minorHAnsi" w:eastAsiaTheme="minorEastAsia" w:hAnsiTheme="minorHAnsi"/>
                <w:b w:val="false"/>
                <w:caps w:val="false"/>
                <w:smallCaps w:val="false"/>
                <w:sz w:val="22"/>
                <w:lang w:eastAsia="ru-RU"/>
              </w:rPr>
              <w:tab/>
            </w:r>
            <w:r>
              <w:rPr>
                <w:rStyle w:val="Style18"/>
              </w:rPr>
              <w:t>Приложение № 9 – Обоснование НМЦ</w:t>
              <w:tab/>
            </w:r>
            <w:r>
              <w:rPr>
                <w:webHidden/>
              </w:rPr>
              <w:fldChar w:fldCharType="begin"/>
            </w:r>
            <w:r>
              <w:rPr>
                <w:webHidden/>
              </w:rPr>
              <w:instrText xml:space="preserve">PAGEREF _Toc188004718 \h</w:instrText>
            </w:r>
            <w:r>
              <w:rPr>
                <w:webHidden/>
              </w:rPr>
              <w:fldChar w:fldCharType="separate"/>
            </w:r>
            <w:r>
              <w:rPr>
                <w:rStyle w:val="Style18"/>
                <w:vanish w:val="false"/>
              </w:rPr>
              <w:t>78</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719">
            <w:r>
              <w:rPr>
                <w:webHidden/>
                <w:rStyle w:val="Style18"/>
                <w:vanish w:val="false"/>
              </w:rPr>
              <w:t>14.1</w:t>
            </w:r>
            <w:r>
              <w:rPr>
                <w:rStyle w:val="Style18"/>
                <w:rFonts w:eastAsia="" w:ascii="Calibri" w:hAnsi="Calibri" w:asciiTheme="minorHAnsi" w:eastAsiaTheme="minorEastAsia" w:hAnsiTheme="minorHAnsi"/>
                <w:sz w:val="22"/>
                <w:lang w:eastAsia="ru-RU"/>
              </w:rPr>
              <w:tab/>
            </w:r>
            <w:r>
              <w:rPr>
                <w:rStyle w:val="Style18"/>
              </w:rPr>
              <w:t>Пояснения к Обоснованию НМЦ</w:t>
              <w:tab/>
            </w:r>
            <w:r>
              <w:rPr>
                <w:webHidden/>
              </w:rPr>
              <w:fldChar w:fldCharType="begin"/>
            </w:r>
            <w:r>
              <w:rPr>
                <w:webHidden/>
              </w:rPr>
              <w:instrText xml:space="preserve">PAGEREF _Toc188004719 \h</w:instrText>
            </w:r>
            <w:r>
              <w:rPr>
                <w:webHidden/>
              </w:rPr>
              <w:fldChar w:fldCharType="separate"/>
            </w:r>
            <w:r>
              <w:rPr>
                <w:rStyle w:val="Style18"/>
                <w:vanish w:val="false"/>
              </w:rPr>
              <w:t>78</w:t>
            </w:r>
            <w:r>
              <w:rPr>
                <w:webHidden/>
              </w:rPr>
              <w:fldChar w:fldCharType="end"/>
            </w:r>
          </w:hyperlink>
        </w:p>
        <w:p>
          <w:pPr>
            <w:pStyle w:val="TOC1"/>
            <w:rPr>
              <w:rFonts w:ascii="Calibri" w:hAnsi="Calibri" w:eastAsia="" w:asciiTheme="minorHAnsi" w:eastAsiaTheme="minorEastAsia" w:hAnsiTheme="minorHAnsi"/>
              <w:b w:val="false"/>
              <w:caps w:val="false"/>
              <w:smallCaps w:val="false"/>
              <w:sz w:val="22"/>
              <w:lang w:eastAsia="ru-RU"/>
            </w:rPr>
          </w:pPr>
          <w:hyperlink w:anchor="_Toc188004720">
            <w:r>
              <w:rPr>
                <w:webHidden/>
                <w:rStyle w:val="Style18"/>
                <w:vanish w:val="false"/>
              </w:rPr>
              <w:t>15.</w:t>
            </w:r>
            <w:r>
              <w:rPr>
                <w:rStyle w:val="Style18"/>
                <w:rFonts w:eastAsia="" w:ascii="Calibri" w:hAnsi="Calibri" w:asciiTheme="minorHAnsi" w:eastAsiaTheme="minorEastAsia" w:hAnsiTheme="minorHAnsi"/>
                <w:b w:val="false"/>
                <w:caps w:val="false"/>
                <w:smallCaps w:val="false"/>
                <w:sz w:val="22"/>
                <w:lang w:eastAsia="ru-RU"/>
              </w:rPr>
              <w:tab/>
            </w:r>
            <w:r>
              <w:rPr>
                <w:rStyle w:val="Style18"/>
              </w:rPr>
              <w:t>Приложение № 10 – Форма Заявки на аккредитацию</w:t>
              <w:tab/>
            </w:r>
            <w:r>
              <w:rPr>
                <w:webHidden/>
              </w:rPr>
              <w:fldChar w:fldCharType="begin"/>
            </w:r>
            <w:r>
              <w:rPr>
                <w:webHidden/>
              </w:rPr>
              <w:instrText xml:space="preserve">PAGEREF _Toc188004720 \h</w:instrText>
            </w:r>
            <w:r>
              <w:rPr>
                <w:webHidden/>
              </w:rPr>
              <w:fldChar w:fldCharType="separate"/>
            </w:r>
            <w:r>
              <w:rPr>
                <w:rStyle w:val="Style18"/>
                <w:vanish w:val="false"/>
              </w:rPr>
              <w:t>79</w:t>
            </w:r>
            <w:r>
              <w:rPr>
                <w:webHidden/>
              </w:rPr>
              <w:fldChar w:fldCharType="end"/>
            </w:r>
          </w:hyperlink>
        </w:p>
        <w:p>
          <w:pPr>
            <w:pStyle w:val="TOC2"/>
            <w:rPr>
              <w:rFonts w:ascii="Calibri" w:hAnsi="Calibri" w:eastAsia="" w:asciiTheme="minorHAnsi" w:eastAsiaTheme="minorEastAsia" w:hAnsiTheme="minorHAnsi"/>
              <w:sz w:val="22"/>
              <w:lang w:eastAsia="ru-RU"/>
            </w:rPr>
          </w:pPr>
          <w:hyperlink w:anchor="_Toc188004721">
            <w:r>
              <w:rPr>
                <w:webHidden/>
                <w:rStyle w:val="Style18"/>
                <w:vanish w:val="false"/>
              </w:rPr>
              <w:t>15.1</w:t>
            </w:r>
            <w:r>
              <w:rPr>
                <w:rStyle w:val="Style18"/>
                <w:rFonts w:eastAsia="" w:ascii="Calibri" w:hAnsi="Calibri" w:asciiTheme="minorHAnsi" w:eastAsiaTheme="minorEastAsia" w:hAnsiTheme="minorHAnsi"/>
                <w:sz w:val="22"/>
                <w:lang w:eastAsia="ru-RU"/>
              </w:rPr>
              <w:tab/>
            </w:r>
            <w:r>
              <w:rPr>
                <w:rStyle w:val="Style18"/>
              </w:rPr>
              <w:t>Пояснения к форме Заявки на аккредитацию</w:t>
              <w:tab/>
            </w:r>
            <w:r>
              <w:rPr>
                <w:webHidden/>
              </w:rPr>
              <w:fldChar w:fldCharType="begin"/>
            </w:r>
            <w:r>
              <w:rPr>
                <w:webHidden/>
              </w:rPr>
              <w:instrText xml:space="preserve">PAGEREF _Toc188004721 \h</w:instrText>
            </w:r>
            <w:r>
              <w:rPr>
                <w:webHidden/>
              </w:rPr>
              <w:fldChar w:fldCharType="separate"/>
            </w:r>
            <w:r>
              <w:rPr>
                <w:rStyle w:val="Style18"/>
                <w:vanish w:val="false"/>
              </w:rPr>
              <w:t>79</w:t>
            </w:r>
            <w:r>
              <w:rPr>
                <w:webHidden/>
              </w:rPr>
              <w:fldChar w:fldCharType="end"/>
            </w:r>
          </w:hyperlink>
          <w:r>
            <w:rPr>
              <w:rStyle w:val="Style18"/>
              <w:vanish w:val="false"/>
            </w:rPr>
            <w:fldChar w:fldCharType="end"/>
          </w:r>
        </w:p>
      </w:sdtContent>
    </w:sdt>
    <w:p>
      <w:pPr>
        <w:pStyle w:val="Style28"/>
        <w:rPr>
          <w:lang w:val="en-US"/>
        </w:rPr>
      </w:pPr>
      <w:r>
        <w:rPr>
          <w:lang w:val="en-US"/>
        </w:rPr>
      </w:r>
    </w:p>
    <w:p>
      <w:pPr>
        <w:pStyle w:val="Style27"/>
        <w:numPr>
          <w:ilvl w:val="0"/>
          <w:numId w:val="0"/>
        </w:numPr>
        <w:ind w:left="0" w:hanging="0"/>
        <w:outlineLvl w:val="0"/>
        <w:rPr/>
      </w:pPr>
      <w:bookmarkStart w:id="0" w:name="_Toc188004654"/>
      <w:r>
        <w:rPr/>
        <w:t>Сокращения</w:t>
      </w:r>
      <w:bookmarkEnd w:id="0"/>
    </w:p>
    <w:p>
      <w:pPr>
        <w:pStyle w:val="Style28"/>
        <w:ind w:firstLine="567"/>
        <w:rPr/>
      </w:pPr>
      <w:r>
        <w:rPr>
          <w:b/>
          <w:bCs/>
        </w:rPr>
        <w:t>ГК РФ</w:t>
      </w:r>
      <w:r>
        <w:rPr/>
        <w:t xml:space="preserve"> – Гражданской кодекс Российской Федерации.</w:t>
      </w:r>
    </w:p>
    <w:p>
      <w:pPr>
        <w:pStyle w:val="Style28"/>
        <w:ind w:firstLine="567"/>
        <w:rPr/>
      </w:pPr>
      <w:r>
        <w:rPr>
          <w:b/>
          <w:bCs/>
        </w:rPr>
        <w:t>ЕГРИП</w:t>
      </w:r>
      <w:r>
        <w:rPr/>
        <w:t xml:space="preserve"> – Единый государственный реестр индивидуальных предпринимателей.</w:t>
      </w:r>
    </w:p>
    <w:p>
      <w:pPr>
        <w:pStyle w:val="Style28"/>
        <w:ind w:firstLine="567"/>
        <w:rPr/>
      </w:pPr>
      <w:r>
        <w:rPr>
          <w:b/>
          <w:bCs/>
        </w:rPr>
        <w:t>ЕГРЮЛ</w:t>
      </w:r>
      <w:r>
        <w:rPr/>
        <w:t xml:space="preserve"> – Единый государственный реестр юридических лиц.</w:t>
      </w:r>
    </w:p>
    <w:p>
      <w:pPr>
        <w:pStyle w:val="Style28"/>
        <w:ind w:firstLine="567"/>
        <w:rPr/>
      </w:pPr>
      <w:r>
        <w:rPr>
          <w:b/>
          <w:bCs/>
        </w:rPr>
        <w:t>ЕИС</w:t>
      </w:r>
      <w:r>
        <w:rPr/>
        <w:t xml:space="preserve"> – Единая информационная система в сфере закупок.</w:t>
      </w:r>
    </w:p>
    <w:p>
      <w:pPr>
        <w:pStyle w:val="Style28"/>
        <w:ind w:firstLine="567"/>
        <w:rPr/>
      </w:pPr>
      <w:r>
        <w:rPr>
          <w:b/>
          <w:bCs/>
        </w:rPr>
        <w:t>Закон 44-ФЗ</w:t>
      </w:r>
      <w:r>
        <w:rPr/>
        <w:t xml:space="preserve"> – Федеральный закон от 05.04.2013 № 44-ФЗ «О контрактной системе в</w:t>
      </w:r>
      <w:r>
        <w:rPr>
          <w:lang w:val="en-US"/>
        </w:rPr>
        <w:t> </w:t>
      </w:r>
      <w:r>
        <w:rPr/>
        <w:t>сфере закупок товаров, работ, услуг для обеспечения государственных и муниципальных нужд».</w:t>
      </w:r>
    </w:p>
    <w:p>
      <w:pPr>
        <w:pStyle w:val="Style28"/>
        <w:ind w:firstLine="567"/>
        <w:rPr/>
      </w:pPr>
      <w:r>
        <w:rPr>
          <w:b/>
          <w:bCs/>
        </w:rPr>
        <w:t>Закон 209-ФЗ</w:t>
      </w:r>
      <w:r>
        <w:rPr/>
        <w:t xml:space="preserve"> – Федеральный закон от 24.07.2007 № 209-ФЗ «О развитии малого и среднего предпринимательства в Российской Федерации».</w:t>
      </w:r>
    </w:p>
    <w:p>
      <w:pPr>
        <w:pStyle w:val="Style28"/>
        <w:ind w:firstLine="567"/>
        <w:rPr/>
      </w:pPr>
      <w:r>
        <w:rPr>
          <w:b/>
          <w:bCs/>
        </w:rPr>
        <w:t>Закон 223-ФЗ</w:t>
      </w:r>
      <w:r>
        <w:rPr/>
        <w:t xml:space="preserve"> – Федеральный закон от 18.07.2011 № 223-ФЗ «О закупках товаров, работ, услуг отдельными видами юридических лиц».</w:t>
      </w:r>
    </w:p>
    <w:p>
      <w:pPr>
        <w:pStyle w:val="Style28"/>
        <w:ind w:firstLine="567"/>
        <w:rPr/>
      </w:pPr>
      <w:r>
        <w:rPr>
          <w:b/>
          <w:bCs/>
        </w:rPr>
        <w:t>Закон 255-ФЗ</w:t>
      </w:r>
      <w:r>
        <w:rPr/>
        <w:t xml:space="preserve"> – Федеральный закон от 14.07.2022 № 255-ФЗ «О контроле за деятельностью лиц, находящихся под иностранным влиянием».</w:t>
      </w:r>
    </w:p>
    <w:p>
      <w:pPr>
        <w:pStyle w:val="Style28"/>
        <w:ind w:firstLine="567"/>
        <w:rPr/>
      </w:pPr>
      <w:r>
        <w:rPr>
          <w:b/>
          <w:bCs/>
        </w:rPr>
        <w:t>Закон 422-ФЗ</w:t>
      </w:r>
      <w:r>
        <w:rPr/>
        <w:t xml:space="preserve"> – Федеральный закон от 27.11.2018 № 422-ФЗ «О проведении эксперимента по установлению специального налогового режима «Налог на профессиональный доход».</w:t>
      </w:r>
    </w:p>
    <w:p>
      <w:pPr>
        <w:pStyle w:val="Style28"/>
        <w:ind w:firstLine="567"/>
        <w:rPr/>
      </w:pPr>
      <w:r>
        <w:rPr>
          <w:b/>
          <w:bCs/>
        </w:rPr>
        <w:t>Законодательство</w:t>
      </w:r>
      <w:r>
        <w:rPr/>
        <w:t xml:space="preserve"> – законодательство Российской Федерации (если в тексте настоящей Документации о закупке прямо не указано иное).</w:t>
      </w:r>
    </w:p>
    <w:p>
      <w:pPr>
        <w:pStyle w:val="Style28"/>
        <w:ind w:firstLine="567"/>
        <w:rPr/>
      </w:pPr>
      <w:r>
        <w:rPr>
          <w:b/>
          <w:bCs/>
        </w:rPr>
        <w:t>Извещение</w:t>
      </w:r>
      <w:r>
        <w:rPr/>
        <w:t xml:space="preserve"> – извещение о проведении настоящей закупки.</w:t>
      </w:r>
    </w:p>
    <w:p>
      <w:pPr>
        <w:pStyle w:val="Style28"/>
        <w:ind w:firstLine="567"/>
        <w:rPr/>
      </w:pPr>
      <w:r>
        <w:rPr>
          <w:b/>
          <w:bCs/>
        </w:rPr>
        <w:t>ИНН</w:t>
      </w:r>
      <w:r>
        <w:rPr/>
        <w:t xml:space="preserve"> – идентификационный номер налогоплательщика.</w:t>
      </w:r>
    </w:p>
    <w:p>
      <w:pPr>
        <w:pStyle w:val="Style28"/>
        <w:ind w:firstLine="567"/>
        <w:rPr/>
      </w:pPr>
      <w:r>
        <w:rPr>
          <w:b/>
          <w:bCs/>
        </w:rPr>
        <w:t>ИФНС</w:t>
      </w:r>
      <w:r>
        <w:rPr/>
        <w:t xml:space="preserve"> – инспекция Федеральной налоговой службы Российской Федерации.</w:t>
      </w:r>
    </w:p>
    <w:p>
      <w:pPr>
        <w:pStyle w:val="Style28"/>
        <w:ind w:firstLine="567"/>
        <w:rPr/>
      </w:pPr>
      <w:r>
        <w:rPr>
          <w:b/>
          <w:bCs/>
        </w:rPr>
        <w:t>МТР</w:t>
      </w:r>
      <w:r>
        <w:rPr/>
        <w:t xml:space="preserve"> – материально-технические ресурсы.</w:t>
      </w:r>
    </w:p>
    <w:p>
      <w:pPr>
        <w:pStyle w:val="Style28"/>
        <w:ind w:firstLine="567"/>
        <w:rPr/>
      </w:pPr>
      <w:r>
        <w:rPr>
          <w:b/>
          <w:bCs/>
        </w:rPr>
        <w:t>НДС</w:t>
      </w:r>
      <w:r>
        <w:rPr/>
        <w:t xml:space="preserve"> – налог на добавленную стоимость.</w:t>
      </w:r>
    </w:p>
    <w:p>
      <w:pPr>
        <w:pStyle w:val="Style28"/>
        <w:ind w:firstLine="567"/>
        <w:rPr/>
      </w:pPr>
      <w:r>
        <w:rPr>
          <w:b/>
          <w:bCs/>
        </w:rPr>
        <w:t>НМЦ</w:t>
      </w:r>
      <w:r>
        <w:rPr/>
        <w:t xml:space="preserve"> – начальная (максимальная) цена договора.</w:t>
      </w:r>
    </w:p>
    <w:p>
      <w:pPr>
        <w:pStyle w:val="Style28"/>
        <w:ind w:firstLine="567"/>
        <w:rPr/>
      </w:pPr>
      <w:r>
        <w:rPr>
          <w:b/>
          <w:bCs/>
        </w:rPr>
        <w:t>Оператор ЭП</w:t>
      </w:r>
      <w:r>
        <w:rPr/>
        <w:t xml:space="preserve"> – оператор электронной площадки.</w:t>
      </w:r>
    </w:p>
    <w:p>
      <w:pPr>
        <w:pStyle w:val="Style28"/>
        <w:ind w:firstLine="567"/>
        <w:rPr/>
      </w:pPr>
      <w:r>
        <w:rPr>
          <w:b/>
          <w:bCs/>
        </w:rPr>
        <w:t>Официальный сайт</w:t>
      </w:r>
      <w:r>
        <w:rPr/>
        <w:t xml:space="preserve"> – официальный сайт Единой информационной системы в сфере закупок, расположенный в сети Интернет по </w:t>
      </w:r>
      <w:r>
        <w:rPr>
          <w:lang w:val="en-US"/>
        </w:rPr>
        <w:t>URL</w:t>
      </w:r>
      <w:r>
        <w:rPr/>
        <w:t>-адресу https://zakupki.gov.ru/.</w:t>
      </w:r>
    </w:p>
    <w:p>
      <w:pPr>
        <w:pStyle w:val="Style28"/>
        <w:ind w:firstLine="567"/>
        <w:rPr/>
      </w:pPr>
      <w:r>
        <w:rPr>
          <w:b/>
          <w:bCs/>
        </w:rPr>
        <w:t>Положение о закупке</w:t>
      </w:r>
      <w:r>
        <w:rPr/>
        <w:t xml:space="preserve"> – Единое Положение о закупке продукции для нужд Группы РусГидро.</w:t>
      </w:r>
    </w:p>
    <w:p>
      <w:pPr>
        <w:pStyle w:val="Style28"/>
        <w:ind w:firstLine="567"/>
        <w:rPr/>
      </w:pPr>
      <w:r>
        <w:rPr>
          <w:b/>
          <w:bCs/>
        </w:rPr>
        <w:t>Положение об аккредитации</w:t>
      </w:r>
      <w:r>
        <w:rPr/>
        <w:t xml:space="preserve"> – Единое Положение об аккредитации поставщиков продукции в Группе РусГидро, размещенное на Официальном сайте (в составе Положения о закупке).</w:t>
      </w:r>
    </w:p>
    <w:p>
      <w:pPr>
        <w:pStyle w:val="Style28"/>
        <w:ind w:firstLine="567"/>
        <w:rPr/>
      </w:pPr>
      <w:r>
        <w:rPr>
          <w:b/>
          <w:bCs/>
        </w:rPr>
        <w:t>ПП 395</w:t>
      </w:r>
      <w:r>
        <w:rPr/>
        <w:t xml:space="preserve"> – постановление Правительства Российской Федерации от 18.03.2022 № 395 «Об особенностях доступа к информации, содержащейся в государственном информационном ресурсе бухгалтерской (финансовой) отчетности, и раскрытия консолидированной финансовой отчетности в 2022 году».</w:t>
      </w:r>
    </w:p>
    <w:p>
      <w:pPr>
        <w:pStyle w:val="Style28"/>
        <w:ind w:firstLine="567"/>
        <w:rPr/>
      </w:pPr>
      <w:r>
        <w:rPr>
          <w:b/>
          <w:bCs/>
        </w:rPr>
        <w:t>ПП 1352</w:t>
      </w:r>
      <w:r>
        <w:rPr/>
        <w:t xml:space="preserve"> – постановление Правительства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p>
      <w:pPr>
        <w:pStyle w:val="Style28"/>
        <w:ind w:firstLine="567"/>
        <w:rPr/>
      </w:pPr>
      <w:r>
        <w:rPr>
          <w:b/>
          <w:bCs/>
        </w:rPr>
        <w:t>ПП 1875</w:t>
      </w:r>
      <w:r>
        <w:rPr/>
        <w:t xml:space="preserve"> – постановление Правительства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pPr>
        <w:pStyle w:val="Style28"/>
        <w:ind w:firstLine="567"/>
        <w:rPr/>
      </w:pPr>
      <w:r>
        <w:rPr>
          <w:b/>
          <w:bCs/>
        </w:rPr>
        <w:t>Реестр МСП</w:t>
      </w:r>
      <w:r>
        <w:rPr/>
        <w:t xml:space="preserve"> – единый реестр субъектов малого и среднего предпринимательства, ведение которого осуществляется в соответствии с Законом 209-ФЗ.</w:t>
      </w:r>
    </w:p>
    <w:p>
      <w:pPr>
        <w:pStyle w:val="Style28"/>
        <w:ind w:firstLine="567"/>
        <w:rPr/>
      </w:pPr>
      <w:r>
        <w:rPr>
          <w:b/>
          <w:bCs/>
        </w:rPr>
        <w:t>Система ЭДО</w:t>
      </w:r>
      <w:r>
        <w:rPr>
          <w:rStyle w:val="FootnoteReference"/>
          <w:b/>
          <w:bCs/>
        </w:rPr>
        <w:footnoteReference w:id="2"/>
      </w:r>
      <w:r>
        <w:rPr/>
        <w:t xml:space="preserve"> – информационная система, посредством которой осуществляется обмен информацией в электронной форме между участниками информационного взаимодействия.</w:t>
      </w:r>
    </w:p>
    <w:p>
      <w:pPr>
        <w:pStyle w:val="Style28"/>
        <w:ind w:firstLine="567"/>
        <w:rPr/>
      </w:pPr>
      <w:r>
        <w:rPr>
          <w:b/>
          <w:bCs/>
        </w:rPr>
        <w:t>Стороны</w:t>
      </w:r>
      <w:r>
        <w:rPr/>
        <w:t xml:space="preserve"> – Организатор, Заказчик и Участники, являющиеся сторонами данной закупки (при совместном упоминании).</w:t>
      </w:r>
    </w:p>
    <w:p>
      <w:pPr>
        <w:pStyle w:val="Style28"/>
        <w:ind w:firstLine="567"/>
        <w:rPr/>
      </w:pPr>
      <w:r>
        <w:rPr>
          <w:b/>
          <w:bCs/>
        </w:rPr>
        <w:t>Субъект МСП</w:t>
      </w:r>
      <w:r>
        <w:rPr/>
        <w:t xml:space="preserve"> – субъект малого и среднего предпринимательства.</w:t>
      </w:r>
    </w:p>
    <w:p>
      <w:pPr>
        <w:pStyle w:val="Style28"/>
        <w:ind w:firstLine="567"/>
        <w:rPr/>
      </w:pPr>
      <w:r>
        <w:rPr>
          <w:b/>
          <w:bCs/>
        </w:rPr>
        <w:t>ЭП</w:t>
      </w:r>
      <w:r>
        <w:rPr/>
        <w:t xml:space="preserve"> – электронная площадка.</w:t>
      </w:r>
    </w:p>
    <w:p>
      <w:pPr>
        <w:pStyle w:val="Style27"/>
        <w:numPr>
          <w:ilvl w:val="0"/>
          <w:numId w:val="0"/>
        </w:numPr>
        <w:ind w:left="0" w:hanging="0"/>
        <w:outlineLvl w:val="0"/>
        <w:rPr/>
      </w:pPr>
      <w:bookmarkStart w:id="1" w:name="_Toc188004655"/>
      <w:r>
        <w:rPr/>
        <w:t>Термины и определения</w:t>
      </w:r>
      <w:bookmarkEnd w:id="1"/>
    </w:p>
    <w:p>
      <w:pPr>
        <w:pStyle w:val="Style28"/>
        <w:ind w:firstLine="567"/>
        <w:rPr/>
      </w:pPr>
      <w:r>
        <w:rPr>
          <w:b/>
          <w:bCs/>
        </w:rPr>
        <w:t>Аккредитация</w:t>
      </w:r>
      <w:r>
        <w:rPr/>
        <w:t xml:space="preserve"> – процедура проверки заявителей (потенциальных поставщиков) на соответствие требованиям в отношении их правоспособности, благонадежности и деловой репутации, с целью включения их в Реестр аккредитации для обеспечения (в этой части) допуска к участию в закупках, проводимых в Группе РусГидро. Аккредитация проводится с целью защиты интересов Заказчика от действий недобросовестных лиц и неблагонадежных поставщиков продукции при проведении закупочных процедур и выборе Победителя и является проявлением коммерческой осмотрительности Заказчика при заключении договора (-ов) по результатам закупки. Порядок проведения данной процедуры представлен в Положении об аккредитации.</w:t>
      </w:r>
    </w:p>
    <w:p>
      <w:pPr>
        <w:pStyle w:val="Style28"/>
        <w:ind w:firstLine="567"/>
        <w:rPr/>
      </w:pPr>
      <w:r>
        <w:rPr>
          <w:b/>
          <w:bCs/>
        </w:rPr>
        <w:t>Актуализация статуса (аккредитации)</w:t>
      </w:r>
      <w:r>
        <w:rPr/>
        <w:t xml:space="preserve"> – процедура повторной проверки определенного (конкретного) ранее аккредитованного Поставщика на предмет соответствия его установленным критериям аккредитации (или наличия оснований, по которым прохождение аккредитации не требуется), с продлением срока действия его аккредитации в случае положительного результата такой проверки; при этом от Поставщика (Участника) не требуется повторное заполнение Заявки на аккредитацию.</w:t>
      </w:r>
    </w:p>
    <w:p>
      <w:pPr>
        <w:pStyle w:val="Style28"/>
        <w:ind w:firstLine="567"/>
        <w:rPr/>
      </w:pPr>
      <w:r>
        <w:rPr>
          <w:b/>
          <w:bCs/>
        </w:rPr>
        <w:t>Альтернативное предложение</w:t>
      </w:r>
      <w:r>
        <w:rPr/>
        <w:t xml:space="preserve"> – предложение Участника, подаваемое в составе заявки дополнительно к основному и содержащее одно или несколько условий, отличающихся от заявленных в основном предложении.</w:t>
      </w:r>
    </w:p>
    <w:p>
      <w:pPr>
        <w:pStyle w:val="Style28"/>
        <w:ind w:firstLine="567"/>
        <w:rPr/>
      </w:pPr>
      <w:r>
        <w:rPr>
          <w:b/>
          <w:bCs/>
        </w:rPr>
        <w:t>Генеральный подрядчик</w:t>
      </w:r>
      <w:r>
        <w:rPr/>
        <w:t xml:space="preserve"> – подрядчик, привлекающий к исполнению своих обязательств по договору с Заказчиком третьих лиц (субподрядчиков). Под генеральным подрядчиком и субподрядчиками понимаются соответственно также генеральный исполнитель и соисполнители, генеральный поставщик и субпоставщики, в зависимости от предмета закупки.</w:t>
      </w:r>
    </w:p>
    <w:p>
      <w:pPr>
        <w:pStyle w:val="Style28"/>
        <w:ind w:firstLine="567"/>
        <w:rPr/>
      </w:pPr>
      <w:r>
        <w:rPr>
          <w:b/>
          <w:bCs/>
        </w:rPr>
        <w:t>Документация о закупке</w:t>
      </w:r>
      <w:r>
        <w:rPr/>
        <w:t xml:space="preserve"> – комплект документов, содержащий всю необходимую согласно законодательству информацию о закупке и условиях ее проведения.</w:t>
      </w:r>
    </w:p>
    <w:p>
      <w:pPr>
        <w:pStyle w:val="Style28"/>
        <w:ind w:firstLine="567"/>
        <w:rPr/>
      </w:pPr>
      <w:r>
        <w:rPr>
          <w:b/>
          <w:bCs/>
        </w:rPr>
        <w:t>Единая информационная система в сфере закупок</w:t>
      </w:r>
      <w:r>
        <w:rPr/>
        <w:t xml:space="preserve"> – 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в установленном законодательством порядке с использованием сети Интернет посредствам Официального сайта Единой информационной системы в сфере закупок.</w:t>
      </w:r>
    </w:p>
    <w:p>
      <w:pPr>
        <w:pStyle w:val="Style28"/>
        <w:ind w:firstLine="567"/>
        <w:rPr/>
      </w:pPr>
      <w:r>
        <w:rPr>
          <w:b/>
          <w:bCs/>
        </w:rPr>
        <w:t>Единый реестр субъектов малого и среднего предпринимательства</w:t>
      </w:r>
      <w:r>
        <w:rPr/>
        <w:t xml:space="preserve"> – реестр, являющийся официальным источником сведений о юридических лицах и об индивидуальных предпринимателях, отнесенных по законодательству к таковым, и размещенный в сети Интернет на официальном сайте федерального органа исполнительной власти Российской Федерации, осуществляющего функции по контролю и надзору за соблюдением законодательства о налогах и сборах.</w:t>
      </w:r>
    </w:p>
    <w:p>
      <w:pPr>
        <w:pStyle w:val="Style28"/>
        <w:ind w:firstLine="567"/>
        <w:rPr/>
      </w:pPr>
      <w:r>
        <w:rPr>
          <w:b/>
          <w:bCs/>
        </w:rPr>
        <w:t>Заказчик</w:t>
      </w:r>
      <w:r>
        <w:rPr/>
        <w:t xml:space="preserve"> – юридическое лицо, в интересах и за счет средств, которого осуществляется закупка.</w:t>
      </w:r>
    </w:p>
    <w:p>
      <w:pPr>
        <w:pStyle w:val="Style28"/>
        <w:ind w:firstLine="567"/>
        <w:rPr/>
      </w:pPr>
      <w:r>
        <w:rPr>
          <w:b/>
          <w:bCs/>
        </w:rPr>
        <w:t>Закупка</w:t>
      </w:r>
      <w:r>
        <w:rPr/>
        <w:t xml:space="preserve"> – последовательность действий, осуществляемая в соответствии с требованиями законодательства, Положением о закупке, иными локальными нормативными документами (актами) Заказчика, а для конкурентной закупки (и неконкурентной, проводимой способом состязательный отбор) дополнительно – правилами, установленными Извещением и Документацией о закупке, в результате которой производится выбор поставщика с целью заключения договора на приобретение продукции.</w:t>
      </w:r>
    </w:p>
    <w:p>
      <w:pPr>
        <w:pStyle w:val="Style28"/>
        <w:ind w:firstLine="567"/>
        <w:rPr/>
      </w:pPr>
      <w:r>
        <w:rPr>
          <w:b/>
          <w:bCs/>
        </w:rPr>
        <w:t>Закупочная комиссия</w:t>
      </w:r>
      <w:r>
        <w:rPr/>
        <w:t xml:space="preserve"> – коллегиальный орган, принимающий решения о ходе проведения соответствующей закупки (в том числе по выбору ее победителя).</w:t>
      </w:r>
    </w:p>
    <w:p>
      <w:pPr>
        <w:pStyle w:val="Style28"/>
        <w:ind w:firstLine="567"/>
        <w:rPr/>
      </w:pPr>
      <w:r>
        <w:rPr>
          <w:b/>
          <w:bCs/>
        </w:rPr>
        <w:t>Заявка (заявка на участие в закупке)</w:t>
      </w:r>
      <w:r>
        <w:rPr/>
        <w:t xml:space="preserve"> – документ (комплект документов), содержащий предложения Участника, направленный Организатору с намерением принять участие в процедурах соответствующей закупки и впоследствии заключить договор на поставку продукции на условиях, определенных Заказчиком: для конкурентных закупок – в Извещении и (или) Документацией о закупке.</w:t>
      </w:r>
    </w:p>
    <w:p>
      <w:pPr>
        <w:pStyle w:val="Style28"/>
        <w:ind w:firstLine="567"/>
        <w:rPr/>
      </w:pPr>
      <w:r>
        <w:rPr>
          <w:b/>
          <w:bCs/>
        </w:rPr>
        <w:t>Заявка на аккредитацию</w:t>
      </w:r>
      <w:r>
        <w:rPr/>
        <w:t xml:space="preserve"> – сведения, которые Заявитель предоставляет в установленном Положением об аккредитации порядке для прохождения аккредитации.</w:t>
      </w:r>
    </w:p>
    <w:p>
      <w:pPr>
        <w:pStyle w:val="Style28"/>
        <w:ind w:firstLine="567"/>
        <w:rPr>
          <w:szCs w:val="26"/>
        </w:rPr>
      </w:pPr>
      <w:r>
        <w:rPr>
          <w:b/>
          <w:bCs/>
        </w:rPr>
        <w:t>Извещение о закупке (Извещение)</w:t>
      </w:r>
      <w:r>
        <w:rPr/>
        <w:t xml:space="preserve"> – документ, предназначенный для потенциальных Участников, публикация (размещение) которого означает официальное объявление о начале закупки (информация в объеме, определенном частью 9 статьи 4 Закона 223-ФЗ и Положением о закупке); под данным документом и соответственно его размещением также подразумевается заполнение и создание на Официальном сайте (ЕИС) и (или) ЭП соответствующей страницы на указанных ресурсах с информацией об объявленной закупке.</w:t>
      </w:r>
    </w:p>
    <w:p>
      <w:pPr>
        <w:pStyle w:val="Style28"/>
        <w:ind w:firstLine="567"/>
        <w:rPr/>
      </w:pPr>
      <w:r>
        <w:rPr>
          <w:b/>
          <w:bCs/>
        </w:rPr>
        <w:t>Интеллектуальные системы управления электросетевым хозяйством</w:t>
      </w:r>
      <w:r>
        <w:rPr/>
        <w:t xml:space="preserve"> – системы удаленного мониторинга и диагностики, интеллектуальные системы учета электрической энергии (мощности), автоматизированные системы управления технологическими процессами подстанций, автоматизированные системы технологического управления центров управления сетями.</w:t>
      </w:r>
    </w:p>
    <w:p>
      <w:pPr>
        <w:pStyle w:val="Style28"/>
        <w:ind w:firstLine="567"/>
        <w:rPr/>
      </w:pPr>
      <w:r>
        <w:rPr>
          <w:b/>
          <w:bCs/>
        </w:rPr>
        <w:t>Коллективный участник</w:t>
      </w:r>
      <w:r>
        <w:rPr/>
        <w:t xml:space="preserve"> – объединение юридических и (или) физических лиц, в том числе индивидуальных предпринимателей, выступающих на стороне одного Участника и несущих солидарную ответственность по обязательствам, вытекающим из участия в закупке и дальнейшего заключения и исполнения договора.</w:t>
      </w:r>
    </w:p>
    <w:p>
      <w:pPr>
        <w:pStyle w:val="Style28"/>
        <w:ind w:firstLine="567"/>
        <w:rPr/>
      </w:pPr>
      <w:r>
        <w:rPr>
          <w:b/>
          <w:bCs/>
        </w:rPr>
        <w:t>Лот</w:t>
      </w:r>
      <w:r>
        <w:rPr/>
        <w:t xml:space="preserve"> – продукция, на которую в рамках закупки допускаются подача отдельного предложения и заключение отдельного договора.</w:t>
      </w:r>
    </w:p>
    <w:p>
      <w:pPr>
        <w:pStyle w:val="Style28"/>
        <w:ind w:firstLine="567"/>
        <w:rPr/>
      </w:pPr>
      <w:r>
        <w:rPr>
          <w:b/>
          <w:bCs/>
        </w:rPr>
        <w:t>Мониторинг аккредитованных поставщиков</w:t>
      </w:r>
      <w:r>
        <w:rPr/>
        <w:t xml:space="preserve"> – процедура выборочной повторной проверки любого ранее аккредитованного Поставщика на предмет соответствия его установленным критериям аккредитации (или наличия оснований, по которым прохождение аккредитации не требуется), без продления срока действия его аккредитации в случае положительного результата такой проверки; при этом от Поставщика (Участника) не требуется повторное заполнение Заявки на аккредитацию.</w:t>
      </w:r>
    </w:p>
    <w:p>
      <w:pPr>
        <w:pStyle w:val="Style28"/>
        <w:ind w:firstLine="567"/>
        <w:rPr/>
      </w:pPr>
      <w:r>
        <w:rPr>
          <w:b/>
          <w:bCs/>
        </w:rPr>
        <w:t>Начальная (максимальная) цена договора</w:t>
      </w:r>
      <w:r>
        <w:rPr/>
        <w:t xml:space="preserve"> – предельно допустимая цена договора (лота, единицы продукции), превышение которой исключает возможность заключения договора / недопустимо для заключения договора по итогам проведения закупки.</w:t>
      </w:r>
    </w:p>
    <w:p>
      <w:pPr>
        <w:pStyle w:val="Style28"/>
        <w:ind w:firstLine="567"/>
        <w:rPr/>
      </w:pPr>
      <w:r>
        <w:rPr>
          <w:b/>
          <w:bCs/>
        </w:rPr>
        <w:t>Оператор электронной площадки</w:t>
      </w:r>
      <w:r>
        <w:rPr/>
        <w:t xml:space="preserve"> – юридическое лицо, соответствующее требованиям законодательства, владеющее электронной площадкой и обеспечивающее проведение закупок в электронной форме в соответствии с положениями законодательства.</w:t>
      </w:r>
    </w:p>
    <w:p>
      <w:pPr>
        <w:pStyle w:val="Style28"/>
        <w:ind w:firstLine="567"/>
        <w:rPr/>
      </w:pPr>
      <w:r>
        <w:rPr>
          <w:b/>
          <w:bCs/>
        </w:rPr>
        <w:t>Организатор</w:t>
      </w:r>
      <w:r>
        <w:rPr/>
        <w:t xml:space="preserve"> – Заказчик или действующее по договору с ним юридическое лицо, выступающее Сторонним организатором закупки.</w:t>
      </w:r>
    </w:p>
    <w:p>
      <w:pPr>
        <w:pStyle w:val="Style28"/>
        <w:ind w:firstLine="567"/>
        <w:rPr/>
      </w:pPr>
      <w:r>
        <w:rPr>
          <w:b/>
          <w:bCs/>
        </w:rPr>
        <w:t>Официальное размещение</w:t>
      </w:r>
      <w:r>
        <w:rPr/>
        <w:t xml:space="preserve"> – размещение информации о закупке на ЭП. Если окончание срока размещения приходится на нерабочий день согласно законодательству, сведения размещаются в первый рабочий день, следующий за нерабочими днями.</w:t>
      </w:r>
    </w:p>
    <w:p>
      <w:pPr>
        <w:pStyle w:val="Style28"/>
        <w:ind w:firstLine="567"/>
        <w:rPr/>
      </w:pPr>
      <w:r>
        <w:rPr>
          <w:b/>
          <w:bCs/>
        </w:rPr>
        <w:t>Переторжка</w:t>
      </w:r>
      <w:r>
        <w:rPr/>
        <w:t xml:space="preserve"> – опциональный этап закупки, представляющий собой процедуру подачи Участниками дополнительных предложений с целью повысить их предпочтительность для Заказчика.</w:t>
      </w:r>
    </w:p>
    <w:p>
      <w:pPr>
        <w:pStyle w:val="Style28"/>
        <w:ind w:firstLine="567"/>
        <w:rPr>
          <w:szCs w:val="26"/>
        </w:rPr>
      </w:pPr>
      <w:r>
        <w:rPr>
          <w:b/>
          <w:bCs/>
          <w:szCs w:val="26"/>
        </w:rPr>
        <w:t>Победитель</w:t>
      </w:r>
      <w:r>
        <w:rPr>
          <w:szCs w:val="26"/>
        </w:rPr>
        <w:t xml:space="preserve"> – Участник, заявка которого соответствует требованиям Документации о закупке и который предложил лучшие условия исполнения договора на основании критериев оценки (или единственного критерия оценки, если условия закупки не предполагают два и более критерия оценки) в соответствии с Документацией о закупке. В случае признания закупки несостоявшейся Единственный участник такой закупки, с которым Заказчик принял решение заключить договор по результатам закупки, в оговоренных Положением о закупке случаях приобретает обязательства Победителя по заключению договора.</w:t>
      </w:r>
    </w:p>
    <w:p>
      <w:pPr>
        <w:pStyle w:val="Style28"/>
        <w:ind w:firstLine="567"/>
        <w:rPr/>
      </w:pPr>
      <w:r>
        <w:rPr>
          <w:b/>
          <w:bCs/>
        </w:rPr>
        <w:t>Поставщик</w:t>
      </w:r>
      <w:r>
        <w:rPr/>
        <w:t xml:space="preserve"> – любое юридическое или физическое лицо, а также объединение этих лиц, способное на законных основаниях поставить Заказчику требуемую продукцию. Под поставщиком продукции при закупке работ / услуг понимается соответственно подрядчик / исполнитель.</w:t>
      </w:r>
    </w:p>
    <w:p>
      <w:pPr>
        <w:pStyle w:val="Style28"/>
        <w:ind w:firstLine="567"/>
        <w:rPr/>
      </w:pPr>
      <w:r>
        <w:rPr>
          <w:b/>
          <w:bCs/>
        </w:rPr>
        <w:t>Постквалификация</w:t>
      </w:r>
      <w:r>
        <w:rPr/>
        <w:t xml:space="preserve"> – процедура дополнительной проверки Участника перед выбором его Победителем на подтверждения его соответствия квалификационным требованиям, установленным в Документации о закупке.</w:t>
      </w:r>
    </w:p>
    <w:p>
      <w:pPr>
        <w:pStyle w:val="Style28"/>
        <w:ind w:firstLine="567"/>
        <w:rPr/>
      </w:pPr>
      <w:r>
        <w:rPr>
          <w:b/>
          <w:bCs/>
        </w:rPr>
        <w:t>Предмет закупки / предмет договора</w:t>
      </w:r>
      <w:r>
        <w:rPr/>
        <w:t xml:space="preserve"> – конкретная продукция, которую предполагается закупить в объеме и на условиях, определенных Заказчиком.</w:t>
      </w:r>
    </w:p>
    <w:p>
      <w:pPr>
        <w:pStyle w:val="Style28"/>
        <w:ind w:firstLine="567"/>
        <w:rPr/>
      </w:pPr>
      <w:r>
        <w:rPr>
          <w:b/>
          <w:bCs/>
        </w:rPr>
        <w:t>Преференция</w:t>
      </w:r>
      <w:r>
        <w:rPr/>
        <w:t xml:space="preserve"> – преимущество, которое Заказчик предоставляет определенным группам поставщиков при проведении закупок в соответствии с Единым Положением о закупке продукции для нужд Группы РусГидро.</w:t>
      </w:r>
    </w:p>
    <w:p>
      <w:pPr>
        <w:pStyle w:val="Style28"/>
        <w:ind w:firstLine="567"/>
        <w:rPr/>
      </w:pPr>
      <w:r>
        <w:rPr>
          <w:b/>
          <w:bCs/>
        </w:rPr>
        <w:t>Применение законодательства о национальном режиме</w:t>
      </w:r>
      <w:r>
        <w:rPr/>
        <w:t xml:space="preserve"> – обеспечение (либо необеспечение)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в соответствии с нормами, установленными законодательством.</w:t>
      </w:r>
    </w:p>
    <w:p>
      <w:pPr>
        <w:pStyle w:val="Style28"/>
        <w:ind w:firstLine="567"/>
        <w:rPr/>
      </w:pPr>
      <w:r>
        <w:rPr>
          <w:b/>
          <w:bCs/>
        </w:rPr>
        <w:t>Программное обеспечение</w:t>
      </w:r>
      <w:r>
        <w:rPr/>
        <w:t xml:space="preserve"> – программное обеспечение, включенное в единый реестр Минцифры России российских программ для электронных вычислительных машин и баз данных, используемое в качестве компонента интеллектуальных систем управления электросетевым хозяйством.</w:t>
      </w:r>
    </w:p>
    <w:p>
      <w:pPr>
        <w:pStyle w:val="Style28"/>
        <w:ind w:firstLine="567"/>
        <w:rPr/>
      </w:pPr>
      <w:r>
        <w:rPr>
          <w:b/>
          <w:bCs/>
        </w:rPr>
        <w:t>Продукция</w:t>
      </w:r>
      <w:r>
        <w:rPr/>
        <w:t xml:space="preserve"> – товары, работы, услуги, приобретаемые Заказчиком на возмездной основе; в том числе в контексте «поставка продукции»: поставка товаров, выполнение работ, оказание услуг.</w:t>
      </w:r>
    </w:p>
    <w:p>
      <w:pPr>
        <w:pStyle w:val="Style28"/>
        <w:ind w:firstLine="567"/>
        <w:rPr/>
      </w:pPr>
      <w:r>
        <w:rPr>
          <w:b/>
          <w:bCs/>
        </w:rPr>
        <w:t>Реестр аккредитации</w:t>
      </w:r>
      <w:r>
        <w:rPr/>
        <w:t xml:space="preserve"> – перечень лиц – Заявителей, подававших Заявки на аккредитацию с указанием в отношении них результатов процедуры аккредитации.</w:t>
      </w:r>
    </w:p>
    <w:p>
      <w:pPr>
        <w:pStyle w:val="Style28"/>
        <w:ind w:firstLine="567"/>
        <w:rPr/>
      </w:pPr>
      <w:r>
        <w:rPr>
          <w:b/>
          <w:bCs/>
        </w:rPr>
        <w:t>Субъект малого и среднего предпринимательства</w:t>
      </w:r>
      <w:r>
        <w:rPr/>
        <w:t xml:space="preserve"> – определяется в соответствии с Законом 209-ФЗ. Все условия и требования данной Документации о закупке, относящиеся к субъектам МСП, распространяются также на физических лиц, не являющихся индивидуальными предпринимателями и применяющих специальный налоговый режим «Налог на профессиональный доход»</w:t>
      </w:r>
      <w:r>
        <w:rPr>
          <w:rStyle w:val="FootnoteReference"/>
        </w:rPr>
        <w:footnoteReference w:id="3"/>
      </w:r>
      <w:r>
        <w:rPr/>
        <w:t>, если иное не установлено в Документации о закупке.</w:t>
      </w:r>
    </w:p>
    <w:p>
      <w:pPr>
        <w:pStyle w:val="Style28"/>
        <w:ind w:firstLine="567"/>
        <w:rPr/>
      </w:pPr>
      <w:r>
        <w:rPr>
          <w:b/>
          <w:bCs/>
        </w:rPr>
        <w:t>Уполномоченное лицо</w:t>
      </w:r>
      <w:r>
        <w:rPr/>
        <w:t xml:space="preserve"> – руководитель организации, действующий на основании устава, или уполномоченное им лицо, действующее на основании доверенности на осуществление действий от имени организации, полномочия которых подтверждены соответствующими документами.</w:t>
      </w:r>
    </w:p>
    <w:p>
      <w:pPr>
        <w:pStyle w:val="Style28"/>
        <w:ind w:firstLine="567"/>
        <w:rPr/>
      </w:pPr>
      <w:r>
        <w:rPr>
          <w:b/>
          <w:bCs/>
        </w:rPr>
        <w:t>Участник</w:t>
      </w:r>
      <w:r>
        <w:rPr/>
        <w:t xml:space="preserve">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Законом 255-ФЗ),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Законом 255-ФЗ), выразившее заинтересованность в участии в закупке (посредством получения Документации о закупке, направления запроса о разъяснении Документации о закупке, внесения обеспечения заявки или подачи заявки на участие в закупке).</w:t>
      </w:r>
    </w:p>
    <w:p>
      <w:pPr>
        <w:pStyle w:val="Style22"/>
        <w:rPr/>
      </w:pPr>
      <w:bookmarkStart w:id="2" w:name="_Toc188004656"/>
      <w:bookmarkStart w:id="3" w:name="_Ref125359988"/>
      <w:r>
        <w:rPr/>
        <w:t>Основные сведения о закупке</w:t>
      </w:r>
      <w:bookmarkEnd w:id="2"/>
      <w:bookmarkEnd w:id="3"/>
    </w:p>
    <w:p>
      <w:pPr>
        <w:pStyle w:val="Style23"/>
        <w:rPr/>
      </w:pPr>
      <w:bookmarkStart w:id="4" w:name="_Toc188004657"/>
      <w:r>
        <w:rPr/>
        <w:t>Статус настоящего раздела</w:t>
      </w:r>
      <w:bookmarkEnd w:id="4"/>
    </w:p>
    <w:p>
      <w:pPr>
        <w:pStyle w:val="Style24"/>
        <w:rPr/>
      </w:pPr>
      <w:r>
        <w:rPr/>
        <w:t>В настоящем разделе содержатся основные сведения о предмете, способе и иных ключевых условиях проводимой закупки.</w:t>
      </w:r>
    </w:p>
    <w:p>
      <w:pPr>
        <w:pStyle w:val="Style24"/>
        <w:rPr/>
      </w:pPr>
      <w:r>
        <w:rPr/>
        <w:t xml:space="preserve">Здесь и далее все используемые ссылки относятся к соответствующим пунктам, разделам и подразделам Документации о закупке, если прямо не указано иное; ссылки на приложения относятся к соответствующим приложениям к Документации о закупке, если прямо не указано иное. Ссылки на статьи, пункты и разделы, используемые в </w:t>
      </w:r>
      <w:hyperlink w:anchor="Прил01_ТехТребования">
        <w:r>
          <w:rPr>
            <w:rStyle w:val="Style13"/>
          </w:rPr>
          <w:t>Технических требованиях (Приложение № 1)</w:t>
        </w:r>
      </w:hyperlink>
      <w:r>
        <w:rPr>
          <w:rStyle w:val="Style13"/>
        </w:rPr>
        <w:t>,</w:t>
      </w:r>
      <w:r>
        <w:rPr/>
        <w:t xml:space="preserve"> в </w:t>
      </w:r>
      <w:hyperlink w:anchor="Прил02_ПроектДоговора">
        <w:r>
          <w:rPr>
            <w:rStyle w:val="Style13"/>
          </w:rPr>
          <w:t>Проекте договора (Приложение № 2)</w:t>
        </w:r>
      </w:hyperlink>
      <w:r>
        <w:rPr/>
        <w:t xml:space="preserve"> и иных приложениях к Документации о закупке, относятся соответственно к статьям, пунктам и разделам этих приложений к Документации о закупке. Все приложения к Документации о закупке являются ее неотъемлемыми частями.</w:t>
      </w:r>
    </w:p>
    <w:p>
      <w:pPr>
        <w:pStyle w:val="Style24"/>
        <w:rPr/>
      </w:pPr>
      <w:bookmarkStart w:id="5" w:name="_Ref136768031"/>
      <w:r>
        <w:rPr/>
        <w:t>Информация о проводимой закупке, указанная в подразделе </w:t>
      </w:r>
      <w:r>
        <w:rPr/>
        <w:fldChar w:fldCharType="begin"/>
      </w:r>
      <w:r>
        <w:rPr/>
        <w:instrText xml:space="preserve"> REF _Ref125359973 \r \h </w:instrText>
      </w:r>
      <w:r>
        <w:rPr/>
        <w:fldChar w:fldCharType="separate"/>
      </w:r>
      <w:r>
        <w:rPr/>
        <w:t>1.2</w:t>
      </w:r>
      <w:r>
        <w:rPr/>
        <w:fldChar w:fldCharType="end"/>
      </w:r>
      <w:r>
        <w:rPr/>
        <w:t>, в объеме, определенном частью 9 статьи 4 Закона 223-ФЗ, составляет Извещение о закупке.</w:t>
      </w:r>
      <w:bookmarkEnd w:id="5"/>
    </w:p>
    <w:p>
      <w:pPr>
        <w:pStyle w:val="Style23"/>
        <w:spacing w:before="360" w:after="120"/>
        <w:rPr/>
      </w:pPr>
      <w:bookmarkStart w:id="6" w:name="_Toc188004658"/>
      <w:bookmarkStart w:id="7" w:name="_Ref127270076"/>
      <w:bookmarkStart w:id="8" w:name="_Ref125359973"/>
      <w:r>
        <w:rPr/>
        <w:t>Информация о проводимой закупке</w:t>
      </w:r>
      <w:bookmarkEnd w:id="6"/>
      <w:bookmarkEnd w:id="7"/>
      <w:bookmarkEnd w:id="8"/>
    </w:p>
    <w:tbl>
      <w:tblPr>
        <w:tblStyle w:val="afff6"/>
        <w:tblW w:w="9982"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842"/>
        <w:gridCol w:w="3233"/>
        <w:gridCol w:w="5907"/>
      </w:tblGrid>
      <w:tr>
        <w:trPr>
          <w:cnfStyle w:val="100000000000" w:firstRow="1" w:lastRow="0" w:firstColumn="0" w:lastColumn="0" w:oddVBand="0" w:evenVBand="0" w:oddHBand="0" w:evenHBand="0" w:firstRowFirstColumn="0" w:firstRowLastColumn="0" w:lastRowFirstColumn="0" w:lastRowLastColumn="0"/>
        </w:trPr>
        <w:tc>
          <w:tcPr>
            <w:tcW w:w="842" w:type="dxa"/>
            <w:tcBorders/>
          </w:tcPr>
          <w:p>
            <w:pPr>
              <w:pStyle w:val="Style28"/>
              <w:keepNext w:val="true"/>
              <w:widowControl w:val="false"/>
              <w:suppressAutoHyphens w:val="true"/>
              <w:spacing w:before="60" w:after="60"/>
              <w:jc w:val="center"/>
              <w:rPr>
                <w:rFonts w:eastAsia="Calibri"/>
              </w:rPr>
            </w:pPr>
            <w:r>
              <w:rPr>
                <w:rFonts w:eastAsia="Calibri" w:cs=""/>
                <w:b/>
                <w:kern w:val="0"/>
                <w:sz w:val="26"/>
                <w:szCs w:val="22"/>
                <w:lang w:val="ru-RU" w:eastAsia="en-US" w:bidi="ar-SA"/>
              </w:rPr>
              <w:t>№</w:t>
            </w:r>
            <w:r>
              <w:rPr>
                <w:rFonts w:eastAsia="Calibri" w:cs=""/>
                <w:b/>
                <w:kern w:val="0"/>
                <w:sz w:val="26"/>
                <w:szCs w:val="22"/>
                <w:lang w:val="ru-RU" w:eastAsia="en-US" w:bidi="ar-SA"/>
              </w:rPr>
              <w:br/>
              <w:t>п/п</w:t>
            </w:r>
          </w:p>
        </w:tc>
        <w:tc>
          <w:tcPr>
            <w:tcW w:w="3233" w:type="dxa"/>
            <w:tcBorders/>
          </w:tcPr>
          <w:p>
            <w:pPr>
              <w:pStyle w:val="Style28"/>
              <w:keepNext w:val="true"/>
              <w:widowControl w:val="false"/>
              <w:suppressAutoHyphens w:val="true"/>
              <w:spacing w:before="60" w:after="60"/>
              <w:jc w:val="center"/>
              <w:rPr>
                <w:rFonts w:eastAsia="Calibri"/>
              </w:rPr>
            </w:pPr>
            <w:r>
              <w:rPr>
                <w:rFonts w:eastAsia="Calibri" w:cs=""/>
                <w:b/>
                <w:kern w:val="0"/>
                <w:sz w:val="26"/>
                <w:szCs w:val="22"/>
                <w:lang w:val="ru-RU" w:eastAsia="en-US" w:bidi="ar-SA"/>
              </w:rPr>
              <w:t>Наименование пункта</w:t>
            </w:r>
          </w:p>
        </w:tc>
        <w:tc>
          <w:tcPr>
            <w:tcW w:w="5907" w:type="dxa"/>
            <w:tcBorders/>
          </w:tcPr>
          <w:p>
            <w:pPr>
              <w:pStyle w:val="Style28"/>
              <w:keepNext w:val="true"/>
              <w:widowControl w:val="false"/>
              <w:suppressAutoHyphens w:val="true"/>
              <w:spacing w:before="60" w:after="60"/>
              <w:jc w:val="center"/>
              <w:rPr>
                <w:rFonts w:eastAsia="Calibri"/>
              </w:rPr>
            </w:pPr>
            <w:r>
              <w:rPr>
                <w:rFonts w:eastAsia="Calibri" w:cs=""/>
                <w:b/>
                <w:kern w:val="0"/>
                <w:sz w:val="26"/>
                <w:szCs w:val="22"/>
                <w:lang w:val="ru-RU" w:eastAsia="en-US" w:bidi="ar-SA"/>
              </w:rPr>
              <w:t>Содержание пункта</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9" w:name="_Ref125360980"/>
            <w:bookmarkStart w:id="10" w:name="_Ref125360980"/>
            <w:bookmarkEnd w:id="10"/>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Способ закупки:</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Состязательный отбор в электронной форме, участниками которого могут быть только субъекты МСП.</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11" w:name="_Ref125360996"/>
            <w:bookmarkStart w:id="12" w:name="_Ref125360996"/>
            <w:bookmarkEnd w:id="12"/>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Предмет Договора</w:t>
              <w:br/>
              <w:t>(в том числе номер лота):</w:t>
            </w:r>
          </w:p>
        </w:tc>
        <w:tc>
          <w:tcPr>
            <w:tcW w:w="5907"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Лот № </w:t>
            </w:r>
            <w:r>
              <w:rPr>
                <w:rFonts w:eastAsia="Calibri" w:cs="" w:cstheme="minorBidi" w:eastAsiaTheme="minorHAnsi"/>
                <w:color w:val="auto"/>
                <w:kern w:val="0"/>
                <w:sz w:val="26"/>
                <w:szCs w:val="22"/>
                <w:lang w:val="ru-RU" w:eastAsia="en-US" w:bidi="ar-SA"/>
              </w:rPr>
              <w:t>3-ТпиР-ПИР-2026-ЗагГАЭС</w:t>
            </w:r>
          </w:p>
          <w:p>
            <w:pPr>
              <w:pStyle w:val="Style28"/>
              <w:widowControl w:val="false"/>
              <w:suppressAutoHyphens w:val="true"/>
              <w:spacing w:before="60" w:after="60"/>
              <w:jc w:val="both"/>
              <w:rPr/>
            </w:pPr>
            <w:r>
              <w:rPr>
                <w:rFonts w:eastAsia="Calibri" w:cs="" w:cstheme="minorBidi" w:eastAsiaTheme="minorHAnsi"/>
                <w:color w:val="auto"/>
                <w:kern w:val="0"/>
                <w:sz w:val="26"/>
                <w:szCs w:val="22"/>
                <w:lang w:val="ru-RU" w:eastAsia="en-US" w:bidi="ar-SA"/>
              </w:rPr>
              <w:t>ОКПД2 71.12.19 Разработка рабочей документации по техническому перевооружению системы вентиляции здания Водоприемника Загорской ГАЭС, в рамках инвестиционного проекта K_T-1100-068</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13" w:name="_Ref135729276"/>
            <w:bookmarkStart w:id="14" w:name="_Ref135729276"/>
            <w:bookmarkEnd w:id="14"/>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Описание</w:t>
              <w:br/>
              <w:t>предмета закупки:</w:t>
            </w:r>
          </w:p>
        </w:tc>
        <w:tc>
          <w:tcPr>
            <w:tcW w:w="5907" w:type="dxa"/>
            <w:tcBorders/>
          </w:tcPr>
          <w:p>
            <w:pPr>
              <w:pStyle w:val="ListParagraph"/>
              <w:widowControl w:val="false"/>
              <w:tabs>
                <w:tab w:val="clear" w:pos="708"/>
                <w:tab w:val="left" w:pos="295" w:leader="none"/>
              </w:tabs>
              <w:spacing w:before="60" w:after="60"/>
              <w:ind w:left="27" w:hanging="0"/>
              <w:contextualSpacing w:val="false"/>
              <w:jc w:val="both"/>
              <w:rPr>
                <w:rFonts w:ascii="Times New Roman" w:hAnsi="Times New Roman" w:eastAsia="Calibri" w:cs=""/>
                <w:kern w:val="0"/>
                <w:sz w:val="26"/>
                <w:szCs w:val="22"/>
                <w:lang w:val="ru-RU" w:eastAsia="en-US" w:bidi="ar-SA"/>
              </w:rPr>
            </w:pPr>
            <w:r>
              <w:rPr>
                <w:rFonts w:eastAsia="Calibri" w:cs=""/>
                <w:kern w:val="0"/>
                <w:sz w:val="26"/>
                <w:szCs w:val="22"/>
                <w:lang w:val="ru-RU" w:eastAsia="en-US" w:bidi="ar-SA"/>
              </w:rPr>
              <w:t>Согласие (декларация) Участника на оказание услуг на условиях, указанных в Документации о закупке и не подлежащих изменению по результатам проведения закупки, без направления Участником собственных подробных предложений – по форме Технического предложения, установленной в Документации о закупке</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15" w:name="_Ref125367124"/>
            <w:bookmarkStart w:id="16" w:name="_Ref125367124"/>
            <w:bookmarkEnd w:id="16"/>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Многолотовая закупка:</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Нет.</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17" w:name="_Ref125360764"/>
            <w:bookmarkStart w:id="18" w:name="_Ref125360764"/>
            <w:bookmarkEnd w:id="18"/>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Наименование и адрес ЭП, на которой проводится закупка:</w:t>
            </w:r>
          </w:p>
        </w:tc>
        <w:tc>
          <w:tcPr>
            <w:tcW w:w="5907" w:type="dxa"/>
            <w:tcBorders/>
          </w:tcPr>
          <w:p>
            <w:pPr>
              <w:pStyle w:val="Normal"/>
              <w:widowControl w:val="false"/>
              <w:suppressAutoHyphens w:val="true"/>
              <w:spacing w:before="60" w:after="60"/>
              <w:jc w:val="left"/>
              <w:rPr/>
            </w:pPr>
            <w:r>
              <w:rPr>
                <w:rFonts w:eastAsia="Calibri" w:cs=""/>
                <w:kern w:val="0"/>
                <w:sz w:val="26"/>
                <w:szCs w:val="22"/>
                <w:lang w:val="ru-RU" w:eastAsia="en-US" w:bidi="ar-SA"/>
              </w:rPr>
              <w:t xml:space="preserve">Электронная площадка: </w:t>
            </w:r>
            <w:r>
              <w:rPr>
                <w:rStyle w:val="Hyperlink"/>
                <w:rFonts w:eastAsia="Calibri" w:cs=""/>
                <w:kern w:val="0"/>
                <w:sz w:val="26"/>
                <w:szCs w:val="22"/>
                <w:lang w:val="ru-RU" w:eastAsia="en-US" w:bidi="ar-SA"/>
              </w:rPr>
              <w:t>https://tender.lot-online.ru</w:t>
            </w:r>
            <w:r>
              <w:rPr>
                <w:rFonts w:eastAsia="Calibri" w:cs=""/>
                <w:kern w:val="0"/>
                <w:sz w:val="26"/>
                <w:szCs w:val="22"/>
                <w:lang w:val="ru-RU" w:eastAsia="en-US" w:bidi="ar-SA"/>
              </w:rPr>
              <w:t>.</w:t>
            </w:r>
          </w:p>
          <w:p>
            <w:pPr>
              <w:pStyle w:val="Style28"/>
              <w:widowControl w:val="false"/>
              <w:suppressAutoHyphens w:val="true"/>
              <w:spacing w:before="60" w:after="60"/>
              <w:rPr/>
            </w:pPr>
            <w:r>
              <w:rPr>
                <w:rFonts w:eastAsia="Calibri" w:cs=""/>
                <w:kern w:val="0"/>
                <w:sz w:val="26"/>
                <w:szCs w:val="22"/>
                <w:lang w:val="ru-RU" w:eastAsia="en-US" w:bidi="ar-SA"/>
              </w:rPr>
              <w:t xml:space="preserve">Регламент ЭП, в соответствии с которым проводится закупка, размещен по адресу: </w:t>
            </w:r>
            <w:hyperlink r:id="rId3">
              <w:r>
                <w:rPr>
                  <w:rStyle w:val="Hyperlink"/>
                  <w:rFonts w:eastAsia="Calibri" w:cs=""/>
                  <w:kern w:val="0"/>
                  <w:sz w:val="26"/>
                  <w:szCs w:val="22"/>
                  <w:lang w:val="ru-RU" w:eastAsia="en-US" w:bidi="ar-SA"/>
                </w:rPr>
                <w:t>https://tender.lot-online.ru/app/EtpDocList/page</w:t>
              </w:r>
            </w:hyperlink>
            <w:r>
              <w:rPr>
                <w:rFonts w:eastAsia="Calibri" w:cs=""/>
                <w:kern w:val="0"/>
                <w:sz w:val="26"/>
                <w:szCs w:val="22"/>
                <w:lang w:val="ru-RU" w:eastAsia="en-US" w:bidi="ar-SA"/>
              </w:rPr>
              <w:t>.</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19" w:name="_Ref125360970"/>
            <w:bookmarkStart w:id="20" w:name="_Ref125360970"/>
            <w:bookmarkEnd w:id="20"/>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Участники:</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Участвовать в закупке могут только субъекты МСП, а также физические лица, не являющихся индивидуальными предпринимателями и применяющих специальный налоговый режим «Налог на профессиональный доход».</w:t>
            </w:r>
          </w:p>
          <w:p>
            <w:pPr>
              <w:pStyle w:val="Style28"/>
              <w:widowControl w:val="false"/>
              <w:suppressAutoHyphens w:val="true"/>
              <w:spacing w:before="60" w:after="60"/>
              <w:rPr/>
            </w:pPr>
            <w:r>
              <w:rPr>
                <w:rFonts w:eastAsia="Calibri" w:cs=""/>
                <w:kern w:val="0"/>
                <w:sz w:val="26"/>
                <w:szCs w:val="22"/>
                <w:lang w:val="ru-RU" w:eastAsia="en-US" w:bidi="ar-SA"/>
              </w:rPr>
              <w:t xml:space="preserve">При этом Участник вправе привлекать субподрядчиков (соисполнителей), в том числе не являющихся субъектами МСП, а также указанными выше физическими лицами (в случае отсутствия в условиях </w:t>
            </w:r>
            <w:hyperlink w:anchor="Прил02_ПроектДоговора">
              <w:r>
                <w:rPr>
                  <w:rStyle w:val="Style13"/>
                  <w:rFonts w:eastAsia="Calibri" w:cs=""/>
                  <w:kern w:val="0"/>
                  <w:sz w:val="26"/>
                  <w:szCs w:val="22"/>
                  <w:lang w:val="ru-RU" w:eastAsia="en-US" w:bidi="ar-SA"/>
                </w:rPr>
                <w:t>Проекта Договора (Приложение № 2)</w:t>
              </w:r>
            </w:hyperlink>
            <w:r>
              <w:rPr>
                <w:rFonts w:eastAsia="Calibri" w:cs=""/>
                <w:kern w:val="0"/>
                <w:sz w:val="26"/>
                <w:szCs w:val="22"/>
                <w:lang w:val="ru-RU" w:eastAsia="en-US" w:bidi="ar-SA"/>
              </w:rPr>
              <w:t xml:space="preserve"> прямого запрета на привлечение к исполнению обязательств по Договору третьих лиц).</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21" w:name="_Ref125360988"/>
            <w:bookmarkStart w:id="22" w:name="_Ref125360988"/>
            <w:bookmarkEnd w:id="22"/>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Заказчик:</w:t>
            </w:r>
          </w:p>
        </w:tc>
        <w:tc>
          <w:tcPr>
            <w:tcW w:w="5907" w:type="dxa"/>
            <w:tcBorders/>
          </w:tcPr>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Наименование (полное):</w:t>
            </w:r>
          </w:p>
          <w:p>
            <w:pPr>
              <w:pStyle w:val="Style28"/>
              <w:widowControl w:val="false"/>
              <w:suppressAutoHyphens w:val="true"/>
              <w:spacing w:before="60" w:after="60"/>
              <w:rPr>
                <w:rFonts w:eastAsia="Calibri"/>
              </w:rPr>
            </w:pPr>
            <w:r>
              <w:rPr>
                <w:rFonts w:eastAsia="Calibri" w:cs=""/>
                <w:kern w:val="0"/>
                <w:sz w:val="26"/>
                <w:szCs w:val="22"/>
                <w:lang w:val="ru-RU" w:eastAsia="en-US" w:bidi="ar-SA"/>
              </w:rPr>
              <w:t>Публичное акционерное общество «Федеральная гидрогенерирующая компания РусГидро».</w:t>
            </w:r>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Наименование (сокращенное):</w:t>
            </w:r>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ПАО «РусГидро»</w:t>
            </w:r>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Место нахождения:</w:t>
            </w:r>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660049, Красноярский край, г.о. Красноярск, г. Красноярск, ул. Перенсона, зд. 2а, помещ. 1</w:t>
            </w:r>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Почтовый адрес: 660049, Красноярский край, г. Красноярск, ул. Перенсона, д. 2а, пом.1</w:t>
            </w:r>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Адрес электронной почты:</w:t>
            </w:r>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 xml:space="preserve">office@rushydro.ru </w:t>
            </w:r>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Контактный телефон:</w:t>
            </w:r>
          </w:p>
          <w:p>
            <w:pPr>
              <w:pStyle w:val="Style28"/>
              <w:widowControl w:val="false"/>
              <w:suppressAutoHyphens w:val="true"/>
              <w:spacing w:before="60" w:after="60"/>
              <w:rPr>
                <w:rFonts w:eastAsia="Calibri"/>
              </w:rPr>
            </w:pPr>
            <w:r>
              <w:rPr>
                <w:rFonts w:eastAsia="Calibri" w:cs=""/>
                <w:kern w:val="0"/>
                <w:sz w:val="26"/>
                <w:szCs w:val="22"/>
                <w:lang w:val="ru-RU" w:eastAsia="en-US" w:bidi="ar-SA"/>
              </w:rPr>
              <w:t>+7 (495) 122-05-55</w:t>
            </w:r>
          </w:p>
          <w:p>
            <w:pPr>
              <w:pStyle w:val="Style28"/>
              <w:widowControl w:val="false"/>
              <w:suppressAutoHyphens w:val="true"/>
              <w:spacing w:before="60" w:after="60"/>
              <w:rPr>
                <w:rFonts w:eastAsia="Calibri"/>
              </w:rPr>
            </w:pPr>
            <w:r>
              <w:rPr>
                <w:rFonts w:eastAsia="Calibri" w:cs=""/>
                <w:kern w:val="0"/>
                <w:sz w:val="26"/>
                <w:szCs w:val="22"/>
                <w:lang w:val="ru-RU" w:eastAsia="en-US" w:bidi="ar-SA"/>
              </w:rPr>
              <w:t>+7 800 333 80 00</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23" w:name="_Ref125360954"/>
            <w:bookmarkStart w:id="24" w:name="_Ref125360954"/>
            <w:bookmarkEnd w:id="24"/>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Организатор:</w:t>
            </w:r>
          </w:p>
        </w:tc>
        <w:tc>
          <w:tcPr>
            <w:tcW w:w="5907" w:type="dxa"/>
            <w:tcBorders/>
          </w:tcPr>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Наименование (полное):</w:t>
            </w:r>
          </w:p>
          <w:p>
            <w:pPr>
              <w:pStyle w:val="Style28"/>
              <w:keepNext w:val="true"/>
              <w:widowControl w:val="false"/>
              <w:suppressAutoHyphens w:val="true"/>
              <w:spacing w:before="60" w:after="60"/>
              <w:rPr>
                <w:szCs w:val="26"/>
              </w:rPr>
            </w:pPr>
            <w:r>
              <w:rPr>
                <w:rFonts w:eastAsia="Calibri" w:cs=""/>
                <w:kern w:val="0"/>
                <w:sz w:val="26"/>
                <w:szCs w:val="26"/>
                <w:lang w:val="ru-RU" w:eastAsia="en-US" w:bidi="ar-SA"/>
              </w:rPr>
              <w:t xml:space="preserve">Филиал Публичного акционерного общества "Федеральная гидрогенерирующая компания - РусГидро" - "Загорская ГАЭС" </w:t>
            </w:r>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Наименование (сокращенное):</w:t>
            </w:r>
          </w:p>
          <w:p>
            <w:pPr>
              <w:pStyle w:val="Style28"/>
              <w:keepNext w:val="true"/>
              <w:widowControl w:val="false"/>
              <w:suppressAutoHyphens w:val="true"/>
              <w:spacing w:before="60" w:after="60"/>
              <w:rPr>
                <w:szCs w:val="26"/>
              </w:rPr>
            </w:pPr>
            <w:r>
              <w:rPr>
                <w:rFonts w:eastAsia="Calibri" w:cs=""/>
                <w:kern w:val="0"/>
                <w:sz w:val="26"/>
                <w:szCs w:val="26"/>
                <w:lang w:val="ru-RU" w:eastAsia="en-US" w:bidi="ar-SA"/>
              </w:rPr>
              <w:t>Филиал ПАО "РусГидро" - "Загорская ГАЭС"</w:t>
            </w:r>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Место нахождения:</w:t>
            </w:r>
          </w:p>
          <w:p>
            <w:pPr>
              <w:pStyle w:val="Style28"/>
              <w:keepNext w:val="true"/>
              <w:widowControl w:val="false"/>
              <w:suppressAutoHyphens w:val="true"/>
              <w:spacing w:before="60" w:after="60"/>
              <w:rPr>
                <w:szCs w:val="26"/>
              </w:rPr>
            </w:pPr>
            <w:r>
              <w:rPr>
                <w:rFonts w:eastAsia="Calibri" w:cs=""/>
                <w:kern w:val="0"/>
                <w:sz w:val="26"/>
                <w:szCs w:val="26"/>
                <w:lang w:val="ru-RU" w:eastAsia="en-US" w:bidi="ar-SA"/>
              </w:rPr>
              <w:t>141342, Московская обл., г.о. Сергиево-Посадский, пгт Богородское, д. 100</w:t>
            </w:r>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Почтовый адрес:</w:t>
            </w:r>
          </w:p>
          <w:p>
            <w:pPr>
              <w:pStyle w:val="Tableheader"/>
              <w:widowControl w:val="false"/>
              <w:suppressAutoHyphens w:val="true"/>
              <w:spacing w:before="60" w:after="60"/>
              <w:rPr>
                <w:b w:val="false"/>
                <w:sz w:val="26"/>
                <w:szCs w:val="26"/>
              </w:rPr>
            </w:pPr>
            <w:r>
              <w:rPr>
                <w:b w:val="false"/>
                <w:kern w:val="0"/>
                <w:sz w:val="26"/>
                <w:szCs w:val="26"/>
                <w:lang w:val="ru-RU" w:bidi="ar-SA"/>
              </w:rPr>
              <w:t>141342, Московская обл., г.о. Сергиево-Посадский, пгт Богородское, д. 100</w:t>
            </w:r>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Адрес электронной почты:</w:t>
            </w:r>
          </w:p>
          <w:p>
            <w:pPr>
              <w:pStyle w:val="Style28"/>
              <w:keepNext w:val="true"/>
              <w:widowControl w:val="false"/>
              <w:suppressAutoHyphens w:val="true"/>
              <w:spacing w:before="60" w:after="60"/>
              <w:rPr>
                <w:rFonts w:eastAsia="Calibri"/>
              </w:rPr>
            </w:pPr>
            <w:r>
              <w:rPr>
                <w:rFonts w:eastAsia="Calibri" w:cs=""/>
                <w:kern w:val="0"/>
                <w:sz w:val="26"/>
                <w:szCs w:val="26"/>
                <w:lang w:val="ru-RU" w:eastAsia="en-US" w:bidi="ar-SA"/>
              </w:rPr>
              <w:t>zagaes@rushydro.ru</w:t>
            </w:r>
            <w:r>
              <w:rPr>
                <w:rFonts w:eastAsia="Calibri" w:cs=""/>
                <w:kern w:val="0"/>
                <w:sz w:val="26"/>
                <w:szCs w:val="22"/>
                <w:lang w:val="ru-RU" w:eastAsia="en-US" w:bidi="ar-SA"/>
              </w:rPr>
              <w:t xml:space="preserve"> </w:t>
            </w:r>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Контактный телефон:</w:t>
            </w:r>
          </w:p>
          <w:p>
            <w:pPr>
              <w:pStyle w:val="Style28"/>
              <w:widowControl w:val="false"/>
              <w:suppressAutoHyphens w:val="true"/>
              <w:spacing w:before="60" w:after="60"/>
              <w:rPr>
                <w:rFonts w:eastAsia="Calibri"/>
              </w:rPr>
            </w:pPr>
            <w:r>
              <w:rPr>
                <w:rFonts w:eastAsia="Calibri" w:cs=""/>
                <w:kern w:val="0"/>
                <w:sz w:val="26"/>
                <w:szCs w:val="22"/>
                <w:lang w:val="ru-RU" w:eastAsia="en-US" w:bidi="ar-SA"/>
              </w:rPr>
              <w:t xml:space="preserve">+ 7 (496) 554 7500 </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25" w:name="_Ref125361238"/>
            <w:bookmarkStart w:id="26" w:name="_Ref125361238"/>
            <w:bookmarkEnd w:id="26"/>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Представитель Организатора:</w:t>
            </w:r>
          </w:p>
        </w:tc>
        <w:tc>
          <w:tcPr>
            <w:tcW w:w="5907" w:type="dxa"/>
            <w:tcBorders/>
          </w:tcPr>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Контактное лицо (Ф.И.О.):</w:t>
            </w:r>
          </w:p>
          <w:p>
            <w:pPr>
              <w:pStyle w:val="Style28"/>
              <w:keepNext w:val="true"/>
              <w:widowControl w:val="false"/>
              <w:suppressAutoHyphens w:val="true"/>
              <w:spacing w:before="60" w:after="60"/>
              <w:rPr>
                <w:szCs w:val="26"/>
              </w:rPr>
            </w:pPr>
            <w:r>
              <w:rPr>
                <w:rFonts w:eastAsia="Calibri" w:cs=""/>
                <w:kern w:val="0"/>
                <w:sz w:val="26"/>
                <w:szCs w:val="26"/>
                <w:lang w:val="ru-RU" w:eastAsia="en-US" w:bidi="ar-SA"/>
              </w:rPr>
              <w:t xml:space="preserve">Кузьмин Андрей Валерьевич </w:t>
            </w:r>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Адрес электронной почты:</w:t>
            </w:r>
          </w:p>
          <w:p>
            <w:pPr>
              <w:pStyle w:val="Style28"/>
              <w:keepNext w:val="true"/>
              <w:widowControl w:val="false"/>
              <w:suppressAutoHyphens w:val="true"/>
              <w:spacing w:before="60" w:after="60"/>
              <w:rPr>
                <w:rStyle w:val="Hyperlink"/>
                <w:szCs w:val="26"/>
              </w:rPr>
            </w:pPr>
            <w:hyperlink r:id="rId4">
              <w:r>
                <w:rPr>
                  <w:rStyle w:val="Hyperlink"/>
                  <w:rFonts w:eastAsia="Calibri" w:cs=""/>
                  <w:kern w:val="0"/>
                  <w:sz w:val="26"/>
                  <w:szCs w:val="26"/>
                  <w:lang w:val="ru-RU" w:eastAsia="en-US" w:bidi="ar-SA"/>
                </w:rPr>
                <w:t>KuzminAV@rushydro.ru</w:t>
              </w:r>
            </w:hyperlink>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Контактный телефон:</w:t>
            </w:r>
          </w:p>
          <w:p>
            <w:pPr>
              <w:pStyle w:val="Style28"/>
              <w:widowControl w:val="false"/>
              <w:suppressAutoHyphens w:val="true"/>
              <w:spacing w:before="60" w:after="60"/>
              <w:rPr>
                <w:lang w:val="en-US"/>
              </w:rPr>
            </w:pPr>
            <w:r>
              <w:rPr>
                <w:rFonts w:eastAsia="Calibri" w:cs=""/>
                <w:kern w:val="0"/>
                <w:sz w:val="26"/>
                <w:szCs w:val="22"/>
                <w:lang w:val="ru-RU" w:eastAsia="en-US" w:bidi="ar-SA"/>
              </w:rPr>
              <w:t>+ 7 (496) 554 7500</w:t>
            </w:r>
            <w:r>
              <w:rPr>
                <w:rFonts w:eastAsia="Calibri" w:cs=""/>
                <w:kern w:val="0"/>
                <w:sz w:val="26"/>
                <w:szCs w:val="22"/>
                <w:lang w:val="en-US" w:eastAsia="en-US" w:bidi="ar-SA"/>
              </w:rPr>
              <w:t xml:space="preserve"> доб. 2800</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27" w:name="_Ref125362694"/>
            <w:bookmarkStart w:id="28" w:name="_Ref125362694"/>
            <w:bookmarkEnd w:id="28"/>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Официальный источник размещения информации о проведении закупки / срок, место и порядок предоставления Документации о закупке:</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Документация о закупке официально размещена на ЭП и доступна для ознакомления любым заинтересованным лицам. Официальным источником информации о ходе проведения закупки является ЭП, указанная в пункте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_Ref125360764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1.2.5</w:t>
            </w:r>
            <w:r>
              <w:rPr>
                <w:sz w:val="26"/>
                <w:kern w:val="0"/>
                <w:szCs w:val="22"/>
                <w:rFonts w:eastAsia="Calibri" w:cs=""/>
                <w:lang w:val="ru-RU" w:eastAsia="en-US" w:bidi="ar-SA"/>
              </w:rPr>
              <w:fldChar w:fldCharType="end"/>
            </w:r>
            <w:r>
              <w:rPr>
                <w:rFonts w:eastAsia="Calibri" w:cs=""/>
                <w:kern w:val="0"/>
                <w:sz w:val="26"/>
                <w:szCs w:val="22"/>
                <w:lang w:val="ru-RU" w:eastAsia="en-US" w:bidi="ar-SA"/>
              </w:rPr>
              <w:t>.</w:t>
            </w:r>
          </w:p>
          <w:p>
            <w:pPr>
              <w:pStyle w:val="Style28"/>
              <w:widowControl w:val="false"/>
              <w:suppressAutoHyphens w:val="true"/>
              <w:spacing w:before="60" w:after="60"/>
              <w:rPr>
                <w:rFonts w:eastAsia="Calibri"/>
              </w:rPr>
            </w:pPr>
            <w:r>
              <w:rPr>
                <w:rFonts w:eastAsia="Calibri" w:cs=""/>
                <w:kern w:val="0"/>
                <w:sz w:val="26"/>
                <w:szCs w:val="22"/>
                <w:lang w:val="ru-RU" w:eastAsia="en-US" w:bidi="ar-SA"/>
              </w:rPr>
              <w:t>Документация о закупке доступна (без взимания платы) в форме электронного документа в любое время с момента официального размещения Извещения. Предоставление Документации о закупке на бумажном носителе не предусмотрено.</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29" w:name="_Ref125360963"/>
            <w:bookmarkStart w:id="30" w:name="_Ref125360963"/>
            <w:bookmarkEnd w:id="30"/>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Дата размещения Извещения о проведении закупки:</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 xml:space="preserve">«28» </w:t>
            </w:r>
            <w:r>
              <w:rPr>
                <w:rFonts w:eastAsia="Calibri" w:cs=""/>
                <w:kern w:val="0"/>
                <w:sz w:val="26"/>
                <w:szCs w:val="22"/>
                <w:lang w:val="en-US" w:eastAsia="en-US" w:bidi="ar-SA"/>
              </w:rPr>
              <w:t>мая</w:t>
            </w:r>
            <w:r>
              <w:rPr>
                <w:rFonts w:eastAsia="Calibri" w:cs=""/>
                <w:kern w:val="0"/>
                <w:sz w:val="26"/>
                <w:szCs w:val="22"/>
                <w:lang w:val="ru-RU" w:eastAsia="en-US" w:bidi="ar-SA"/>
              </w:rPr>
              <w:t xml:space="preserve"> 2026г.</w:t>
            </w:r>
          </w:p>
          <w:p>
            <w:pPr>
              <w:pStyle w:val="Style28"/>
              <w:widowControl w:val="false"/>
              <w:suppressAutoHyphens w:val="true"/>
              <w:spacing w:before="60" w:after="60"/>
              <w:rPr>
                <w:rStyle w:val="Style10"/>
              </w:rPr>
            </w:pPr>
            <w:r>
              <w:rPr/>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31" w:name="_Ref125362837"/>
            <w:bookmarkStart w:id="32" w:name="_Ref125362837"/>
            <w:bookmarkEnd w:id="32"/>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Начальная (максимальная) цена договора (цена лота):</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 xml:space="preserve">НМЦ составляет </w:t>
            </w:r>
            <w:r>
              <w:rPr>
                <w:rFonts w:eastAsia="Calibri" w:cs="" w:cstheme="minorBidi" w:eastAsiaTheme="minorHAnsi"/>
                <w:color w:val="auto"/>
                <w:kern w:val="0"/>
                <w:sz w:val="26"/>
                <w:szCs w:val="22"/>
                <w:lang w:val="ru-RU" w:eastAsia="en-US" w:bidi="ar-SA"/>
              </w:rPr>
              <w:t>3 768 864,52</w:t>
            </w:r>
            <w:r>
              <w:rPr>
                <w:rFonts w:eastAsia="Calibri" w:cs=""/>
                <w:kern w:val="0"/>
                <w:sz w:val="26"/>
                <w:szCs w:val="22"/>
                <w:lang w:val="ru-RU" w:eastAsia="en-US" w:bidi="ar-SA"/>
              </w:rPr>
              <w:t> руб., без учета НДС.</w:t>
            </w:r>
          </w:p>
          <w:p>
            <w:pPr>
              <w:pStyle w:val="Style28"/>
              <w:widowControl w:val="false"/>
              <w:suppressAutoHyphens w:val="true"/>
              <w:spacing w:before="60" w:after="60"/>
              <w:rPr/>
            </w:pPr>
            <w:r>
              <w:rPr>
                <w:rFonts w:eastAsia="Calibri" w:cs=""/>
                <w:kern w:val="0"/>
                <w:sz w:val="26"/>
                <w:szCs w:val="22"/>
                <w:lang w:val="ru-RU" w:eastAsia="en-US" w:bidi="ar-SA"/>
              </w:rPr>
              <w:t>Сведения о начальной (максимальной) цене единицы продукции, необходимые для применения законодательства о национальном режиме (представлена в форме Коммерческого предложения (форма 3) (</w:t>
            </w:r>
            <w:hyperlink w:anchor="Прил04_ФормыЗаявки">
              <w:r>
                <w:rPr>
                  <w:rStyle w:val="Style13"/>
                  <w:rFonts w:eastAsia="Calibri" w:cs=""/>
                  <w:kern w:val="0"/>
                  <w:sz w:val="26"/>
                  <w:szCs w:val="22"/>
                  <w:lang w:val="ru-RU" w:eastAsia="en-US" w:bidi="ar-SA"/>
                </w:rPr>
                <w:t>Приложение № 4</w:t>
              </w:r>
            </w:hyperlink>
            <w:r>
              <w:rPr>
                <w:rFonts w:eastAsia="Calibri" w:cs=""/>
                <w:kern w:val="0"/>
                <w:sz w:val="26"/>
                <w:szCs w:val="22"/>
                <w:lang w:val="ru-RU" w:eastAsia="en-US" w:bidi="ar-SA"/>
              </w:rPr>
              <w:t>)).</w:t>
            </w:r>
          </w:p>
          <w:p>
            <w:pPr>
              <w:pStyle w:val="Style28"/>
              <w:widowControl w:val="false"/>
              <w:suppressAutoHyphens w:val="true"/>
              <w:spacing w:before="60" w:after="60"/>
              <w:rPr>
                <w:rStyle w:val="Style10"/>
                <w:i w:val="false"/>
                <w:i w:val="false"/>
                <w:iCs w:val="false"/>
                <w:shd w:fill="auto" w:val="clear"/>
              </w:rPr>
            </w:pPr>
            <w:r>
              <w:rPr>
                <w:rFonts w:eastAsia="Calibri" w:cs=""/>
                <w:kern w:val="0"/>
                <w:sz w:val="26"/>
                <w:szCs w:val="22"/>
                <w:lang w:val="ru-RU" w:eastAsia="en-US" w:bidi="ar-SA"/>
              </w:rPr>
              <w:t xml:space="preserve">Обоснование НМЦ представлено в </w:t>
            </w:r>
            <w:hyperlink w:anchor="Прил09_ОбоснованиеНМЦ">
              <w:r>
                <w:rPr>
                  <w:rStyle w:val="Style13"/>
                  <w:rFonts w:eastAsia="Calibri" w:cs=""/>
                  <w:kern w:val="0"/>
                  <w:sz w:val="26"/>
                  <w:szCs w:val="22"/>
                  <w:lang w:val="ru-RU" w:eastAsia="en-US" w:bidi="ar-SA"/>
                </w:rPr>
                <w:t>Приложении № 9</w:t>
              </w:r>
            </w:hyperlink>
            <w:r>
              <w:rPr>
                <w:rFonts w:eastAsia="Calibri" w:cs=""/>
                <w:kern w:val="0"/>
                <w:sz w:val="26"/>
                <w:szCs w:val="22"/>
                <w:lang w:val="ru-RU" w:eastAsia="en-US" w:bidi="ar-SA"/>
              </w:rPr>
              <w:t>.</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33" w:name="_Ref125363076"/>
            <w:bookmarkStart w:id="34" w:name="_Ref125363076"/>
            <w:bookmarkEnd w:id="34"/>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Обеспечение заявки на участие в закупке:</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Не требуется.</w:t>
            </w:r>
          </w:p>
          <w:p>
            <w:pPr>
              <w:pStyle w:val="Style28"/>
              <w:widowControl w:val="false"/>
              <w:suppressAutoHyphens w:val="true"/>
              <w:spacing w:before="60" w:after="60"/>
              <w:rPr>
                <w:rFonts w:eastAsia="Calibri"/>
              </w:rPr>
            </w:pPr>
            <w:r>
              <w:rPr>
                <w:rFonts w:eastAsia="Calibri" w:cs=""/>
                <w:kern w:val="0"/>
                <w:sz w:val="26"/>
                <w:szCs w:val="22"/>
                <w:lang w:val="ru-RU" w:eastAsia="en-US" w:bidi="ar-SA"/>
              </w:rPr>
              <w:t>Внимание! Для того, чтобы иметь возможность подать заявку на участие в закупке, в соответствии с Регламентом ЭП на индивидуальный счет Участника, открытом ему Оператором ЭП, должна быть внесена сумма в размере не менее установленной платы, в соответствии с тарифами Оператора ЭП.</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35" w:name="_Ref125362995"/>
            <w:bookmarkStart w:id="36" w:name="_Ref125362995"/>
            <w:bookmarkEnd w:id="36"/>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Требования</w:t>
              <w:br/>
              <w:t>к описанию продукции:</w:t>
            </w:r>
          </w:p>
        </w:tc>
        <w:tc>
          <w:tcPr>
            <w:tcW w:w="5907" w:type="dxa"/>
            <w:tcBorders/>
          </w:tcPr>
          <w:p>
            <w:pPr>
              <w:pStyle w:val="Style31"/>
              <w:widowControl w:val="false"/>
              <w:suppressAutoHyphens w:val="true"/>
              <w:spacing w:before="60" w:after="60"/>
              <w:rPr>
                <w:rFonts w:eastAsia="Calibri"/>
              </w:rPr>
            </w:pPr>
            <w:r>
              <w:rPr>
                <w:rFonts w:eastAsia="Calibri" w:cs=""/>
                <w:i w:val="false"/>
                <w:kern w:val="0"/>
                <w:sz w:val="26"/>
                <w:szCs w:val="22"/>
                <w:shd w:fill="auto" w:val="clear"/>
                <w:lang w:val="ru-RU" w:eastAsia="en-US" w:bidi="ar-SA"/>
              </w:rPr>
              <w:t>Согласие (декларация) Участника на поставку продукции по установленной форме Технического предложения (форма 4) (Приложение № 4) на условиях, указанных в Документации о закупке и не подлежащих изменению по результатам проведения закупки, без направления Участником собственных подробных предложений.</w:t>
            </w:r>
          </w:p>
        </w:tc>
      </w:tr>
      <w:tr>
        <w:trPr/>
        <w:tc>
          <w:tcPr>
            <w:tcW w:w="842" w:type="dxa"/>
            <w:tcBorders/>
          </w:tcPr>
          <w:p>
            <w:pPr>
              <w:pStyle w:val="Style24"/>
              <w:widowControl w:val="false"/>
              <w:suppressAutoHyphens w:val="true"/>
              <w:spacing w:before="60" w:after="60"/>
              <w:rPr>
                <w:color w:val="000000" w:themeColor="text1"/>
              </w:rPr>
            </w:pPr>
            <w:r>
              <w:rPr>
                <w:color w:val="000000" w:themeColor="text1"/>
              </w:rPr>
            </w:r>
          </w:p>
        </w:tc>
        <w:tc>
          <w:tcPr>
            <w:tcW w:w="3233" w:type="dxa"/>
            <w:tcBorders/>
          </w:tcPr>
          <w:p>
            <w:pPr>
              <w:pStyle w:val="Style28"/>
              <w:widowControl w:val="false"/>
              <w:suppressAutoHyphens w:val="true"/>
              <w:spacing w:before="60" w:after="60"/>
              <w:jc w:val="left"/>
              <w:rPr>
                <w:color w:val="000000" w:themeColor="text1"/>
              </w:rPr>
            </w:pPr>
            <w:r>
              <w:rPr>
                <w:rFonts w:eastAsia="Calibri" w:cs=""/>
                <w:color w:val="000000" w:themeColor="text1"/>
                <w:kern w:val="0"/>
                <w:sz w:val="26"/>
                <w:szCs w:val="22"/>
                <w:lang w:val="ru-RU" w:eastAsia="en-US" w:bidi="ar-SA"/>
              </w:rPr>
              <w:t>Применение законодательства о национальном режиме:</w:t>
            </w:r>
          </w:p>
        </w:tc>
        <w:tc>
          <w:tcPr>
            <w:tcW w:w="5907" w:type="dxa"/>
            <w:tcBorders/>
          </w:tcPr>
          <w:p>
            <w:pPr>
              <w:pStyle w:val="Style28"/>
              <w:widowControl w:val="false"/>
              <w:suppressAutoHyphens w:val="true"/>
              <w:spacing w:before="120" w:after="60"/>
              <w:rPr>
                <w:rFonts w:ascii="Times New Roman" w:hAnsi="Times New Roman" w:eastAsia="Calibri" w:cs=""/>
                <w:kern w:val="0"/>
                <w:sz w:val="26"/>
                <w:szCs w:val="22"/>
                <w:lang w:val="ru-RU" w:eastAsia="en-US" w:bidi="ar-SA"/>
              </w:rPr>
            </w:pPr>
            <w:r>
              <w:rPr>
                <w:rFonts w:eastAsia="Calibri" w:cs=""/>
                <w:kern w:val="0"/>
                <w:sz w:val="26"/>
                <w:szCs w:val="22"/>
                <w:lang w:val="ru-RU" w:eastAsia="en-US" w:bidi="ar-SA"/>
              </w:rPr>
              <w:t>Национальный режим предоставляется.</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37" w:name="_Ref125533737"/>
            <w:bookmarkStart w:id="38" w:name="_Ref125533737"/>
            <w:bookmarkEnd w:id="38"/>
          </w:p>
        </w:tc>
        <w:tc>
          <w:tcPr>
            <w:tcW w:w="3233" w:type="dxa"/>
            <w:tcBorders/>
          </w:tcPr>
          <w:p>
            <w:pPr>
              <w:pStyle w:val="Normal"/>
              <w:widowControl w:val="false"/>
              <w:suppressAutoHyphens w:val="true"/>
              <w:spacing w:before="60" w:after="60"/>
              <w:jc w:val="left"/>
              <w:rPr>
                <w:rFonts w:eastAsia="Calibri"/>
              </w:rPr>
            </w:pPr>
            <w:r>
              <w:rPr>
                <w:rFonts w:eastAsia="Calibri" w:cs=""/>
                <w:kern w:val="0"/>
                <w:sz w:val="26"/>
                <w:szCs w:val="22"/>
                <w:lang w:val="ru-RU" w:eastAsia="en-US" w:bidi="ar-SA"/>
              </w:rPr>
              <w:t>Возможность подачи альтернативных предложений:</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Не предусмотрена.</w:t>
            </w:r>
          </w:p>
          <w:p>
            <w:pPr>
              <w:pStyle w:val="Style31"/>
              <w:widowControl w:val="false"/>
              <w:suppressAutoHyphens w:val="true"/>
              <w:spacing w:before="60" w:after="60"/>
              <w:rPr>
                <w:rFonts w:eastAsia="Calibri"/>
              </w:rPr>
            </w:pPr>
            <w:r>
              <w:rPr>
                <w:rFonts w:eastAsia="Calibri"/>
              </w:rPr>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39" w:name="_Ref125475086"/>
            <w:bookmarkStart w:id="40" w:name="_Ref125475086"/>
            <w:bookmarkEnd w:id="40"/>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Место и порядок подачи заявок:</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Заявки подаются посредством функционала ЭП, по адресу ЭП, указанному в пункте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_Ref125360764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1.2.5</w:t>
            </w:r>
            <w:r>
              <w:rPr>
                <w:sz w:val="26"/>
                <w:kern w:val="0"/>
                <w:szCs w:val="22"/>
                <w:rFonts w:eastAsia="Calibri" w:cs=""/>
                <w:lang w:val="ru-RU" w:eastAsia="en-US" w:bidi="ar-SA"/>
              </w:rPr>
              <w:fldChar w:fldCharType="end"/>
            </w:r>
            <w:r>
              <w:rPr>
                <w:rFonts w:eastAsia="Calibri" w:cs=""/>
                <w:kern w:val="0"/>
                <w:sz w:val="26"/>
                <w:szCs w:val="22"/>
                <w:lang w:val="ru-RU" w:eastAsia="en-US" w:bidi="ar-SA"/>
              </w:rPr>
              <w:t>.</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41" w:name="_Ref125360779"/>
            <w:bookmarkStart w:id="42" w:name="_Ref125360779"/>
            <w:bookmarkEnd w:id="42"/>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Дата начала; дата и время окончания срока подачи заявок:</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Дата начала подачи заявок:</w:t>
            </w:r>
          </w:p>
          <w:p>
            <w:pPr>
              <w:pStyle w:val="Style28"/>
              <w:widowControl w:val="false"/>
              <w:suppressAutoHyphens w:val="true"/>
              <w:spacing w:before="60" w:after="60"/>
              <w:rPr>
                <w:rFonts w:eastAsia="Calibri"/>
              </w:rPr>
            </w:pPr>
            <w:r>
              <w:rPr>
                <w:rFonts w:eastAsia="Calibri" w:cs=""/>
                <w:kern w:val="0"/>
                <w:sz w:val="26"/>
                <w:szCs w:val="22"/>
                <w:lang w:val="ru-RU" w:eastAsia="en-US" w:bidi="ar-SA"/>
              </w:rPr>
              <w:t>«28» мая 2026 г.</w:t>
            </w:r>
          </w:p>
          <w:p>
            <w:pPr>
              <w:pStyle w:val="Style28"/>
              <w:widowControl w:val="false"/>
              <w:suppressAutoHyphens w:val="true"/>
              <w:spacing w:before="60" w:after="60"/>
              <w:rPr>
                <w:rFonts w:eastAsia="Calibri"/>
              </w:rPr>
            </w:pPr>
            <w:r>
              <w:rPr>
                <w:rFonts w:eastAsia="Calibri" w:cs=""/>
                <w:kern w:val="0"/>
                <w:sz w:val="26"/>
                <w:szCs w:val="22"/>
                <w:lang w:val="ru-RU" w:eastAsia="en-US" w:bidi="ar-SA"/>
              </w:rPr>
              <w:t>Дата и время окончания срока подачи заявок:</w:t>
            </w:r>
          </w:p>
          <w:p>
            <w:pPr>
              <w:pStyle w:val="Style28"/>
              <w:widowControl w:val="false"/>
              <w:suppressAutoHyphens w:val="true"/>
              <w:spacing w:before="60" w:after="60"/>
              <w:rPr>
                <w:rFonts w:eastAsia="Calibri"/>
              </w:rPr>
            </w:pPr>
            <w:r>
              <w:rPr>
                <w:rFonts w:eastAsia="Calibri" w:cs=""/>
                <w:kern w:val="0"/>
                <w:sz w:val="26"/>
                <w:szCs w:val="22"/>
                <w:lang w:val="ru-RU" w:eastAsia="en-US" w:bidi="ar-SA"/>
              </w:rPr>
              <w:t>«08» июня 2026 г. в 14 ч. 00 мин.</w:t>
            </w:r>
          </w:p>
          <w:p>
            <w:pPr>
              <w:pStyle w:val="Style28"/>
              <w:widowControl w:val="false"/>
              <w:suppressAutoHyphens w:val="true"/>
              <w:spacing w:before="60" w:after="60"/>
              <w:rPr>
                <w:rFonts w:eastAsia="Calibri"/>
              </w:rPr>
            </w:pPr>
            <w:r>
              <w:rPr>
                <w:rFonts w:eastAsia="Calibri" w:cs=""/>
                <w:kern w:val="0"/>
                <w:sz w:val="26"/>
                <w:szCs w:val="22"/>
                <w:lang w:val="ru-RU" w:eastAsia="en-US" w:bidi="ar-SA"/>
              </w:rPr>
              <w:t xml:space="preserve"> </w:t>
            </w:r>
            <w:r>
              <w:rPr>
                <w:rFonts w:eastAsia="Calibri" w:cs=""/>
                <w:kern w:val="0"/>
                <w:sz w:val="26"/>
                <w:szCs w:val="22"/>
                <w:lang w:val="ru-RU" w:eastAsia="en-US" w:bidi="ar-SA"/>
              </w:rPr>
              <w:t>(по московскому времени).</w:t>
            </w:r>
          </w:p>
        </w:tc>
      </w:tr>
      <w:tr>
        <w:trPr/>
        <w:tc>
          <w:tcPr>
            <w:tcW w:w="842" w:type="dxa"/>
            <w:tcBorders/>
          </w:tcPr>
          <w:p>
            <w:pPr>
              <w:pStyle w:val="Style24"/>
              <w:widowControl w:val="false"/>
              <w:suppressAutoHyphens w:val="true"/>
              <w:spacing w:before="60" w:after="60"/>
              <w:rPr>
                <w:rFonts w:eastAsia="Calibri"/>
              </w:rPr>
            </w:pPr>
            <w:r>
              <w:rPr>
                <w:rFonts w:eastAsia="Calibri"/>
              </w:rPr>
            </w:r>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Срок предоставления Участникам разъяснений Документации о закупке:</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Дата и время окончания срока предоставления разъяснений:</w:t>
            </w:r>
          </w:p>
          <w:p>
            <w:pPr>
              <w:pStyle w:val="Style28"/>
              <w:widowControl w:val="false"/>
              <w:suppressAutoHyphens w:val="true"/>
              <w:spacing w:before="60" w:after="60"/>
              <w:rPr>
                <w:rFonts w:eastAsia="Calibri"/>
              </w:rPr>
            </w:pPr>
            <w:r>
              <w:rPr>
                <w:rFonts w:eastAsia="Calibri" w:cs=""/>
                <w:kern w:val="0"/>
                <w:sz w:val="26"/>
                <w:szCs w:val="22"/>
                <w:lang w:val="ru-RU" w:eastAsia="en-US" w:bidi="ar-SA"/>
              </w:rPr>
              <w:t>«08» июня 2026 г. в 14 ч. 00 мин.</w:t>
            </w:r>
          </w:p>
          <w:p>
            <w:pPr>
              <w:pStyle w:val="Style28"/>
              <w:widowControl w:val="false"/>
              <w:suppressAutoHyphens w:val="true"/>
              <w:spacing w:before="60" w:after="60"/>
              <w:rPr>
                <w:rFonts w:eastAsia="Calibri"/>
              </w:rPr>
            </w:pPr>
            <w:r>
              <w:rPr>
                <w:rFonts w:eastAsia="Calibri" w:cs=""/>
                <w:kern w:val="0"/>
                <w:sz w:val="26"/>
                <w:szCs w:val="22"/>
                <w:lang w:val="ru-RU" w:eastAsia="en-US" w:bidi="ar-SA"/>
              </w:rPr>
              <w:t xml:space="preserve"> </w:t>
            </w:r>
            <w:r>
              <w:rPr>
                <w:rFonts w:eastAsia="Calibri" w:cs=""/>
                <w:kern w:val="0"/>
                <w:sz w:val="26"/>
                <w:szCs w:val="22"/>
                <w:lang w:val="ru-RU" w:eastAsia="en-US" w:bidi="ar-SA"/>
              </w:rPr>
              <w:t>(по московскому времени).</w:t>
            </w:r>
          </w:p>
          <w:p>
            <w:pPr>
              <w:pStyle w:val="Style28"/>
              <w:widowControl w:val="false"/>
              <w:suppressAutoHyphens w:val="true"/>
              <w:spacing w:before="60" w:after="60"/>
              <w:rPr>
                <w:rFonts w:eastAsia="Calibri"/>
              </w:rPr>
            </w:pPr>
            <w:r>
              <w:rPr>
                <w:rFonts w:eastAsia="Calibri" w:cs=""/>
                <w:kern w:val="0"/>
                <w:sz w:val="26"/>
                <w:szCs w:val="22"/>
                <w:lang w:val="ru-RU" w:eastAsia="en-US" w:bidi="ar-SA"/>
              </w:rPr>
              <w:t>Организатор вправе не предоставлять разъяснение, если запрос от Участника поступил позднее чем за 3 (три) рабочих дня до даты окончания срока подачи заявок, установленной в пункте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_Ref125360779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1.2.18</w:t>
            </w:r>
            <w:r>
              <w:rPr>
                <w:sz w:val="26"/>
                <w:kern w:val="0"/>
                <w:szCs w:val="22"/>
                <w:rFonts w:eastAsia="Calibri" w:cs=""/>
                <w:lang w:val="ru-RU" w:eastAsia="en-US" w:bidi="ar-SA"/>
              </w:rPr>
              <w:fldChar w:fldCharType="end"/>
            </w:r>
            <w:r>
              <w:rPr>
                <w:rFonts w:eastAsia="Calibri" w:cs=""/>
                <w:kern w:val="0"/>
                <w:sz w:val="26"/>
                <w:szCs w:val="22"/>
                <w:lang w:val="ru-RU" w:eastAsia="en-US" w:bidi="ar-SA"/>
              </w:rPr>
              <w:t>.</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43" w:name="_Ref125476197"/>
            <w:bookmarkStart w:id="44" w:name="_Ref125476197"/>
            <w:bookmarkEnd w:id="44"/>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Место открытия</w:t>
              <w:br/>
              <w:t>доступа к заявкам:</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Открытие доступа к заявкам осуществляется автоматически на ЭП, расположенной по адресу согласно пункту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_Ref125360764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1.2.5</w:t>
            </w:r>
            <w:r>
              <w:rPr>
                <w:sz w:val="26"/>
                <w:kern w:val="0"/>
                <w:szCs w:val="22"/>
                <w:rFonts w:eastAsia="Calibri" w:cs=""/>
                <w:lang w:val="ru-RU" w:eastAsia="en-US" w:bidi="ar-SA"/>
              </w:rPr>
              <w:fldChar w:fldCharType="end"/>
            </w:r>
            <w:r>
              <w:rPr>
                <w:rFonts w:eastAsia="Calibri" w:cs=""/>
                <w:kern w:val="0"/>
                <w:sz w:val="26"/>
                <w:szCs w:val="22"/>
                <w:lang w:val="ru-RU" w:eastAsia="en-US" w:bidi="ar-SA"/>
              </w:rPr>
              <w:t>.</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45" w:name="_Ref125362733"/>
            <w:bookmarkStart w:id="46" w:name="_Ref125362733"/>
            <w:bookmarkEnd w:id="46"/>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Дата окончания рассмотрения заявок:</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 xml:space="preserve">«23» </w:t>
            </w:r>
            <w:r>
              <w:rPr>
                <w:rFonts w:eastAsia="Calibri" w:cs=""/>
                <w:kern w:val="0"/>
                <w:sz w:val="26"/>
                <w:szCs w:val="22"/>
                <w:lang w:val="en-US" w:eastAsia="en-US" w:bidi="ar-SA"/>
              </w:rPr>
              <w:t>июня</w:t>
            </w:r>
            <w:r>
              <w:rPr>
                <w:rFonts w:eastAsia="Calibri" w:cs=""/>
                <w:kern w:val="0"/>
                <w:sz w:val="26"/>
                <w:szCs w:val="22"/>
                <w:lang w:val="ru-RU" w:eastAsia="en-US" w:bidi="ar-SA"/>
              </w:rPr>
              <w:t xml:space="preserve"> 202</w:t>
            </w:r>
            <w:r>
              <w:rPr>
                <w:rFonts w:eastAsia="Calibri" w:cs=""/>
                <w:kern w:val="0"/>
                <w:sz w:val="26"/>
                <w:szCs w:val="22"/>
                <w:lang w:val="en-US" w:eastAsia="en-US" w:bidi="ar-SA"/>
              </w:rPr>
              <w:t>6</w:t>
            </w:r>
            <w:r>
              <w:rPr>
                <w:rFonts w:eastAsia="Calibri" w:cs=""/>
                <w:kern w:val="0"/>
                <w:sz w:val="26"/>
                <w:szCs w:val="22"/>
                <w:lang w:val="ru-RU" w:eastAsia="en-US" w:bidi="ar-SA"/>
              </w:rPr>
              <w:t> г.</w:t>
            </w:r>
          </w:p>
          <w:p>
            <w:pPr>
              <w:pStyle w:val="Style28"/>
              <w:widowControl w:val="false"/>
              <w:suppressAutoHyphens w:val="true"/>
              <w:spacing w:before="60" w:after="60"/>
              <w:rPr>
                <w:rStyle w:val="Style10"/>
              </w:rPr>
            </w:pPr>
            <w:r>
              <w:rPr/>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47" w:name="_Ref125362757"/>
            <w:bookmarkStart w:id="48" w:name="_Ref125362757"/>
            <w:bookmarkEnd w:id="48"/>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Дата подведения</w:t>
              <w:br/>
              <w:t>итогов закупки:</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«23» июня 202</w:t>
            </w:r>
            <w:r>
              <w:rPr>
                <w:rFonts w:eastAsia="Calibri" w:cs=""/>
                <w:kern w:val="0"/>
                <w:sz w:val="26"/>
                <w:szCs w:val="22"/>
                <w:lang w:val="en-US" w:eastAsia="en-US" w:bidi="ar-SA"/>
              </w:rPr>
              <w:t>6</w:t>
            </w:r>
            <w:r>
              <w:rPr>
                <w:rFonts w:eastAsia="Calibri" w:cs=""/>
                <w:kern w:val="0"/>
                <w:sz w:val="26"/>
                <w:szCs w:val="22"/>
                <w:lang w:val="ru-RU" w:eastAsia="en-US" w:bidi="ar-SA"/>
              </w:rPr>
              <w:t> г.</w:t>
            </w:r>
          </w:p>
          <w:p>
            <w:pPr>
              <w:pStyle w:val="Style28"/>
              <w:widowControl w:val="false"/>
              <w:suppressAutoHyphens w:val="true"/>
              <w:spacing w:before="60" w:after="60"/>
              <w:rPr>
                <w:rStyle w:val="Style10"/>
              </w:rPr>
            </w:pPr>
            <w:r>
              <w:rPr/>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49" w:name="_Ref125361769"/>
            <w:bookmarkStart w:id="50" w:name="_Ref125361769"/>
            <w:bookmarkEnd w:id="50"/>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Рассмотрение, оценка и сопоставление заявок Участников с учетом привлекаемых субподрядчиков:</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Не предусмотрено.</w:t>
            </w:r>
          </w:p>
          <w:p>
            <w:pPr>
              <w:pStyle w:val="Style31"/>
              <w:widowControl w:val="false"/>
              <w:suppressAutoHyphens w:val="true"/>
              <w:spacing w:before="60" w:after="60"/>
              <w:rPr>
                <w:rFonts w:eastAsia="Calibri"/>
              </w:rPr>
            </w:pPr>
            <w:r>
              <w:rPr>
                <w:rFonts w:eastAsia="Calibri"/>
              </w:rPr>
            </w:r>
          </w:p>
        </w:tc>
      </w:tr>
      <w:tr>
        <w:trPr/>
        <w:tc>
          <w:tcPr>
            <w:tcW w:w="842" w:type="dxa"/>
            <w:tcBorders/>
          </w:tcPr>
          <w:p>
            <w:pPr>
              <w:pStyle w:val="Style24"/>
              <w:widowControl w:val="false"/>
              <w:suppressAutoHyphens w:val="true"/>
              <w:spacing w:before="60" w:after="60"/>
              <w:rPr>
                <w:rFonts w:eastAsia="Calibri"/>
              </w:rPr>
            </w:pPr>
            <w:r>
              <w:rPr>
                <w:rFonts w:eastAsia="Calibri"/>
              </w:rPr>
            </w:r>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Порядок подведения</w:t>
              <w:br/>
              <w:t>итогов закупки:</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Победителем закупки признается Участник, заявка которого соответствует требованиям Документации о закупке и содержит лучшие условия исполнения Договора на основании установленных критериев оценки согласно Документации о закупке.</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51" w:name="_Ref125366606"/>
            <w:bookmarkStart w:id="52" w:name="_Ref125366606"/>
            <w:bookmarkEnd w:id="52"/>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Количество победителей закупки (в рамках одного лота):</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Один победитель.</w:t>
            </w:r>
          </w:p>
          <w:p>
            <w:pPr>
              <w:pStyle w:val="Style31"/>
              <w:widowControl w:val="false"/>
              <w:suppressAutoHyphens w:val="true"/>
              <w:spacing w:before="60" w:after="60"/>
              <w:rPr>
                <w:rFonts w:eastAsia="Calibri"/>
              </w:rPr>
            </w:pPr>
            <w:r>
              <w:rPr>
                <w:rFonts w:eastAsia="Calibri"/>
              </w:rPr>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53" w:name="_Ref125533374"/>
            <w:bookmarkStart w:id="54" w:name="_Ref125533374"/>
            <w:bookmarkEnd w:id="54"/>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Форма заключения Договора:</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В бумажной или электронной форме (подробный порядок заключения Договора содержится в разделе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_Ref126142429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5</w:t>
            </w:r>
            <w:r>
              <w:rPr>
                <w:sz w:val="26"/>
                <w:kern w:val="0"/>
                <w:szCs w:val="22"/>
                <w:rFonts w:eastAsia="Calibri" w:cs=""/>
                <w:lang w:val="ru-RU" w:eastAsia="en-US" w:bidi="ar-SA"/>
              </w:rPr>
              <w:fldChar w:fldCharType="end"/>
            </w:r>
            <w:r>
              <w:rPr>
                <w:rFonts w:eastAsia="Calibri" w:cs=""/>
                <w:kern w:val="0"/>
                <w:sz w:val="26"/>
                <w:szCs w:val="22"/>
                <w:lang w:val="ru-RU" w:eastAsia="en-US" w:bidi="ar-SA"/>
              </w:rPr>
              <w:t>).</w:t>
            </w:r>
          </w:p>
          <w:p>
            <w:pPr>
              <w:pStyle w:val="Style28"/>
              <w:widowControl w:val="false"/>
              <w:suppressAutoHyphens w:val="true"/>
              <w:spacing w:before="60" w:after="60"/>
              <w:rPr>
                <w:rFonts w:eastAsia="Calibri"/>
              </w:rPr>
            </w:pPr>
            <w:r>
              <w:rPr>
                <w:rFonts w:eastAsia="Calibri" w:cs=""/>
                <w:kern w:val="0"/>
                <w:sz w:val="26"/>
                <w:szCs w:val="22"/>
                <w:lang w:val="ru-RU" w:eastAsia="en-US" w:bidi="ar-SA"/>
              </w:rPr>
              <w:t xml:space="preserve">Если договор будет заключаться в электронной форме посредством информационной системы электронного документооборота </w:t>
            </w:r>
            <w:r>
              <w:rPr>
                <w:rFonts w:eastAsia="Calibri" w:cs=""/>
                <w:color w:val="000000"/>
                <w:kern w:val="0"/>
                <w:sz w:val="26"/>
                <w:szCs w:val="22"/>
                <w:lang w:val="ru-RU" w:eastAsia="en-US" w:bidi="ar-SA"/>
              </w:rPr>
              <w:t>ЭДО – СКБ Контур.Диадок,</w:t>
            </w:r>
            <w:r>
              <w:rPr>
                <w:rFonts w:eastAsia="Calibri" w:cs=""/>
                <w:kern w:val="0"/>
                <w:sz w:val="26"/>
                <w:szCs w:val="22"/>
                <w:lang w:val="ru-RU" w:eastAsia="en-US" w:bidi="ar-SA"/>
              </w:rPr>
              <w:t xml:space="preserve"> то Победителю будет необходимо заключить соглашение с оператором информационной системы электронного документооборота, посредством которой Победитель будет осуществлять обмен договорными документами в электронной форме. Для заключения договора необходимо наличие у Победителя усиленной квалифицированной электронной подписи, выданной аккредитованным удостоверяющим центром. Победителю будет необходимо принять приглашение о переходе на электронный юридически значимый документооборот посредством акцепта полученного от используемой Заказчиком системы электронного документооборота соответствующего соглашения, направленного Заказчиком.</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55" w:name="_Ref125366813"/>
            <w:bookmarkStart w:id="56" w:name="_Ref125366813"/>
            <w:bookmarkEnd w:id="56"/>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Место подачи документов в отношении цепочки собственников, включая конечных бенефициаров:</w:t>
            </w:r>
          </w:p>
        </w:tc>
        <w:tc>
          <w:tcPr>
            <w:tcW w:w="5907" w:type="dxa"/>
            <w:tcBorders/>
          </w:tcPr>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Контактное лицо (Ф.И.О.):</w:t>
            </w:r>
          </w:p>
          <w:p>
            <w:pPr>
              <w:pStyle w:val="Style28"/>
              <w:keepNext w:val="true"/>
              <w:widowControl w:val="false"/>
              <w:suppressAutoHyphens w:val="true"/>
              <w:spacing w:before="60" w:after="60"/>
              <w:rPr>
                <w:rFonts w:eastAsia="Calibri"/>
              </w:rPr>
            </w:pPr>
            <w:r>
              <w:rPr>
                <w:rFonts w:eastAsia="Calibri" w:cs=""/>
                <w:kern w:val="0"/>
                <w:sz w:val="26"/>
                <w:szCs w:val="26"/>
                <w:lang w:val="ru-RU" w:eastAsia="en-US" w:bidi="ar-SA"/>
              </w:rPr>
              <w:t>Кузьмин Андрей Валерьевич</w:t>
            </w:r>
            <w:r>
              <w:rPr>
                <w:rFonts w:eastAsia="Calibri" w:cs=""/>
                <w:kern w:val="0"/>
                <w:sz w:val="26"/>
                <w:szCs w:val="22"/>
                <w:lang w:val="ru-RU" w:eastAsia="en-US" w:bidi="ar-SA"/>
              </w:rPr>
              <w:t xml:space="preserve"> </w:t>
            </w:r>
          </w:p>
          <w:p>
            <w:pPr>
              <w:pStyle w:val="Style28"/>
              <w:keepNext w:val="true"/>
              <w:widowControl w:val="false"/>
              <w:suppressAutoHyphens w:val="true"/>
              <w:spacing w:before="60" w:after="60"/>
              <w:rPr>
                <w:rFonts w:eastAsia="Calibri"/>
              </w:rPr>
            </w:pPr>
            <w:r>
              <w:rPr>
                <w:rFonts w:eastAsia="Calibri" w:cs=""/>
                <w:kern w:val="0"/>
                <w:sz w:val="26"/>
                <w:szCs w:val="22"/>
                <w:lang w:val="ru-RU" w:eastAsia="en-US" w:bidi="ar-SA"/>
              </w:rPr>
              <w:t>Почтовый адрес:</w:t>
            </w:r>
          </w:p>
          <w:p>
            <w:pPr>
              <w:pStyle w:val="Style28"/>
              <w:widowControl w:val="false"/>
              <w:suppressAutoHyphens w:val="true"/>
              <w:spacing w:before="60" w:after="60"/>
              <w:rPr>
                <w:rFonts w:eastAsia="Calibri"/>
              </w:rPr>
            </w:pPr>
            <w:r>
              <w:rPr>
                <w:rFonts w:eastAsia="Calibri" w:cs=""/>
                <w:kern w:val="0"/>
                <w:sz w:val="26"/>
                <w:szCs w:val="26"/>
                <w:lang w:val="ru-RU" w:eastAsia="en-US" w:bidi="ar-SA"/>
              </w:rPr>
              <w:t>141342, Московская обл., г.о. Сергиево-Посадский, пгт Богородское, д. 100</w:t>
            </w:r>
          </w:p>
        </w:tc>
      </w:tr>
      <w:tr>
        <w:trPr/>
        <w:tc>
          <w:tcPr>
            <w:tcW w:w="842" w:type="dxa"/>
            <w:tcBorders/>
          </w:tcPr>
          <w:p>
            <w:pPr>
              <w:pStyle w:val="Style24"/>
              <w:widowControl w:val="false"/>
              <w:suppressAutoHyphens w:val="true"/>
              <w:spacing w:before="60" w:after="60"/>
              <w:rPr>
                <w:rFonts w:eastAsia="Calibri"/>
              </w:rPr>
            </w:pPr>
            <w:r>
              <w:rPr>
                <w:rFonts w:eastAsia="Calibri"/>
              </w:rPr>
            </w:r>
            <w:bookmarkStart w:id="57" w:name="_Ref125368490"/>
            <w:bookmarkStart w:id="58" w:name="_Ref125368490"/>
            <w:bookmarkEnd w:id="58"/>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Некритичные пункты Проекта договора:</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Отсутствуют.</w:t>
            </w:r>
          </w:p>
          <w:p>
            <w:pPr>
              <w:pStyle w:val="Style31"/>
              <w:widowControl w:val="false"/>
              <w:suppressAutoHyphens w:val="true"/>
              <w:spacing w:before="60" w:after="60"/>
              <w:rPr>
                <w:rFonts w:eastAsia="Calibri"/>
              </w:rPr>
            </w:pPr>
            <w:r>
              <w:rPr>
                <w:rFonts w:eastAsia="Calibri"/>
              </w:rPr>
            </w:r>
          </w:p>
        </w:tc>
      </w:tr>
      <w:tr>
        <w:trPr/>
        <w:tc>
          <w:tcPr>
            <w:tcW w:w="842" w:type="dxa"/>
            <w:tcBorders/>
          </w:tcPr>
          <w:p>
            <w:pPr>
              <w:pStyle w:val="Style24"/>
              <w:widowControl w:val="false"/>
              <w:suppressAutoHyphens w:val="true"/>
              <w:spacing w:before="60" w:after="60"/>
              <w:rPr>
                <w:rFonts w:eastAsia="Calibri"/>
              </w:rPr>
            </w:pPr>
            <w:r>
              <w:rPr>
                <w:rFonts w:eastAsia="Calibri"/>
              </w:rPr>
            </w:r>
          </w:p>
        </w:tc>
        <w:tc>
          <w:tcPr>
            <w:tcW w:w="3233" w:type="dxa"/>
            <w:tcBorders/>
          </w:tcPr>
          <w:p>
            <w:pPr>
              <w:pStyle w:val="Style28"/>
              <w:widowControl w:val="false"/>
              <w:suppressAutoHyphens w:val="true"/>
              <w:spacing w:before="60" w:after="60"/>
              <w:jc w:val="left"/>
              <w:rPr>
                <w:rFonts w:eastAsia="Calibri"/>
              </w:rPr>
            </w:pPr>
            <w:r>
              <w:rPr>
                <w:rFonts w:eastAsia="Calibri" w:cs=""/>
                <w:kern w:val="0"/>
                <w:sz w:val="26"/>
                <w:szCs w:val="22"/>
                <w:lang w:val="ru-RU" w:eastAsia="en-US" w:bidi="ar-SA"/>
              </w:rPr>
              <w:t>Обеспечение</w:t>
              <w:br/>
              <w:t>исполнения Договора:</w:t>
            </w:r>
          </w:p>
        </w:tc>
        <w:tc>
          <w:tcPr>
            <w:tcW w:w="590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Не требуется.</w:t>
            </w:r>
          </w:p>
          <w:p>
            <w:pPr>
              <w:pStyle w:val="Style31"/>
              <w:widowControl w:val="false"/>
              <w:suppressAutoHyphens w:val="true"/>
              <w:spacing w:before="60" w:after="60"/>
              <w:rPr>
                <w:rFonts w:eastAsia="Calibri"/>
              </w:rPr>
            </w:pPr>
            <w:r>
              <w:rPr>
                <w:rFonts w:eastAsia="Calibri"/>
              </w:rPr>
            </w:r>
          </w:p>
        </w:tc>
      </w:tr>
      <w:tr>
        <w:trPr/>
        <w:tc>
          <w:tcPr>
            <w:tcW w:w="842" w:type="dxa"/>
            <w:tcBorders/>
          </w:tcPr>
          <w:p>
            <w:pPr>
              <w:pStyle w:val="Style24"/>
              <w:widowControl w:val="false"/>
              <w:suppressAutoHyphens w:val="true"/>
              <w:spacing w:before="60" w:after="60"/>
              <w:rPr>
                <w:rFonts w:eastAsia="Calibri"/>
              </w:rPr>
            </w:pPr>
            <w:r>
              <w:rPr>
                <w:rFonts w:eastAsia="Calibri"/>
              </w:rPr>
            </w:r>
          </w:p>
        </w:tc>
        <w:tc>
          <w:tcPr>
            <w:tcW w:w="3233" w:type="dxa"/>
            <w:tcBorders/>
          </w:tcPr>
          <w:p>
            <w:pPr>
              <w:pStyle w:val="Style28"/>
              <w:widowControl w:val="false"/>
              <w:suppressAutoHyphens w:val="true"/>
              <w:spacing w:before="60" w:after="60"/>
              <w:jc w:val="left"/>
              <w:rPr>
                <w:rFonts w:eastAsia="Calibri"/>
                <w:color w:val="000000"/>
              </w:rPr>
            </w:pPr>
            <w:r>
              <w:rPr>
                <w:rFonts w:eastAsia="Calibri" w:cs=""/>
                <w:color w:val="000000"/>
                <w:kern w:val="0"/>
                <w:sz w:val="26"/>
                <w:szCs w:val="22"/>
                <w:lang w:val="ru-RU" w:eastAsia="en-US" w:bidi="ar-SA"/>
              </w:rPr>
              <w:t xml:space="preserve">Проведение переторжки </w:t>
            </w:r>
          </w:p>
        </w:tc>
        <w:tc>
          <w:tcPr>
            <w:tcW w:w="5907" w:type="dxa"/>
            <w:tcBorders/>
          </w:tcPr>
          <w:p>
            <w:pPr>
              <w:pStyle w:val="Style28"/>
              <w:widowControl w:val="false"/>
              <w:suppressAutoHyphens w:val="true"/>
              <w:spacing w:before="60" w:after="60"/>
              <w:rPr>
                <w:rFonts w:eastAsia="Calibri"/>
                <w:color w:val="000000"/>
              </w:rPr>
            </w:pPr>
            <w:r>
              <w:rPr>
                <w:rFonts w:eastAsia="Calibri" w:cs=""/>
                <w:color w:val="000000"/>
                <w:kern w:val="0"/>
                <w:sz w:val="26"/>
                <w:szCs w:val="22"/>
                <w:lang w:val="ru-RU" w:eastAsia="en-US" w:bidi="ar-SA"/>
              </w:rPr>
              <w:t>Не предусмотрено.</w:t>
            </w:r>
          </w:p>
        </w:tc>
      </w:tr>
    </w:tbl>
    <w:p>
      <w:pPr>
        <w:pStyle w:val="Style22"/>
        <w:rPr/>
      </w:pPr>
      <w:bookmarkStart w:id="59" w:name="_Toc188004659"/>
      <w:bookmarkStart w:id="60" w:name="_Ref125360337"/>
      <w:bookmarkStart w:id="61" w:name="_Ref125360073"/>
      <w:r>
        <w:rPr/>
        <w:t>Общие положения</w:t>
      </w:r>
      <w:bookmarkEnd w:id="59"/>
      <w:bookmarkEnd w:id="60"/>
      <w:bookmarkEnd w:id="61"/>
    </w:p>
    <w:p>
      <w:pPr>
        <w:pStyle w:val="Style23"/>
        <w:rPr/>
      </w:pPr>
      <w:bookmarkStart w:id="62" w:name="_Toc188004660"/>
      <w:r>
        <w:rPr/>
        <w:t>Общие сведения о закупке</w:t>
      </w:r>
      <w:bookmarkEnd w:id="62"/>
    </w:p>
    <w:p>
      <w:pPr>
        <w:pStyle w:val="Style24"/>
        <w:rPr/>
      </w:pPr>
      <w:r>
        <w:rPr/>
        <w:t>Организатор официально размещенным Извещением приглашает лиц, указанных в подразделе </w:t>
      </w:r>
      <w:r>
        <w:rPr/>
        <w:fldChar w:fldCharType="begin"/>
      </w:r>
      <w:r>
        <w:rPr/>
        <w:instrText xml:space="preserve"> REF _Ref125359973 \r \h </w:instrText>
      </w:r>
      <w:r>
        <w:rPr/>
        <w:fldChar w:fldCharType="separate"/>
      </w:r>
      <w:r>
        <w:rPr/>
        <w:t>1.2</w:t>
      </w:r>
      <w:r>
        <w:rPr/>
        <w:fldChar w:fldCharType="end"/>
      </w:r>
      <w:r>
        <w:rPr/>
        <w:t>, к участию в закупке на право заключения договора, предмет которого указан в том же подразделе.</w:t>
      </w:r>
    </w:p>
    <w:p>
      <w:pPr>
        <w:pStyle w:val="Style24"/>
        <w:rPr/>
      </w:pPr>
      <w:r>
        <w:rPr/>
        <w:t>Требования к Участникам, а также к документам, подтверждающим соответствие установленным требованиям, приведены в разделе </w:t>
      </w:r>
      <w:r>
        <w:rPr/>
        <w:fldChar w:fldCharType="begin"/>
      </w:r>
      <w:r>
        <w:rPr/>
        <w:instrText xml:space="preserve"> REF _Ref125361210 \r \h </w:instrText>
      </w:r>
      <w:r>
        <w:rPr/>
        <w:fldChar w:fldCharType="separate"/>
      </w:r>
      <w:r>
        <w:rPr/>
        <w:t>3</w:t>
      </w:r>
      <w:r>
        <w:rPr/>
        <w:fldChar w:fldCharType="end"/>
      </w:r>
      <w:r>
        <w:rPr/>
        <w:t xml:space="preserve"> Документации о закупке.</w:t>
      </w:r>
    </w:p>
    <w:p>
      <w:pPr>
        <w:pStyle w:val="Style24"/>
        <w:rPr/>
      </w:pPr>
      <w:r>
        <w:rPr/>
        <w:t xml:space="preserve">Требования к поставляемой продукции, включая срок, объем и место поставки продукции, изложены в </w:t>
      </w:r>
      <w:hyperlink w:anchor="Прил01_ТехТребования">
        <w:r>
          <w:rPr>
            <w:rStyle w:val="Style13"/>
          </w:rPr>
          <w:t>Технических требованиях (Приложение № 1)</w:t>
        </w:r>
      </w:hyperlink>
      <w:r>
        <w:rPr/>
        <w:t xml:space="preserve">. </w:t>
      </w:r>
      <w:hyperlink w:anchor="Прил02_ПроектДоговора">
        <w:r>
          <w:rPr>
            <w:rStyle w:val="Style13"/>
          </w:rPr>
          <w:t>Проект договора</w:t>
        </w:r>
      </w:hyperlink>
      <w:r>
        <w:rPr/>
        <w:t>, который планируется заключить по результатам закупки, в том числе содержащий условия по форме, срокам и порядку оплаты, приведен в </w:t>
      </w:r>
      <w:hyperlink w:anchor="Прил02_ПроектДоговора">
        <w:r>
          <w:rPr>
            <w:rStyle w:val="Style13"/>
          </w:rPr>
          <w:t>Приложении № 2</w:t>
        </w:r>
      </w:hyperlink>
      <w:r>
        <w:rPr/>
        <w:t>.</w:t>
      </w:r>
    </w:p>
    <w:p>
      <w:pPr>
        <w:pStyle w:val="Style24"/>
        <w:rPr/>
      </w:pPr>
      <w:r>
        <w:rPr/>
        <w:t>Подробная информация о порядке проведения закупки и участия в ней, а также о порядке заключения Договора, приведены в разделах </w:t>
      </w:r>
      <w:r>
        <w:rPr/>
        <w:fldChar w:fldCharType="begin"/>
      </w:r>
      <w:r>
        <w:rPr/>
        <w:instrText xml:space="preserve"> REF _Ref125361211 \r \h </w:instrText>
      </w:r>
      <w:r>
        <w:rPr/>
        <w:fldChar w:fldCharType="separate"/>
      </w:r>
      <w:r>
        <w:rPr/>
        <w:t>4</w:t>
      </w:r>
      <w:r>
        <w:rPr/>
        <w:fldChar w:fldCharType="end"/>
      </w:r>
      <w:r>
        <w:rPr/>
        <w:t xml:space="preserve">, </w:t>
      </w:r>
      <w:r>
        <w:rPr/>
        <w:fldChar w:fldCharType="begin"/>
      </w:r>
      <w:r>
        <w:rPr/>
        <w:instrText xml:space="preserve"> REF _Ref126142429 \r \h </w:instrText>
      </w:r>
      <w:r>
        <w:rPr/>
        <w:fldChar w:fldCharType="separate"/>
      </w:r>
      <w:r>
        <w:rPr/>
        <w:t>5</w:t>
      </w:r>
      <w:r>
        <w:rPr/>
        <w:fldChar w:fldCharType="end"/>
      </w:r>
      <w:r>
        <w:rPr/>
        <w:t xml:space="preserve">, образцы основных форм документов, включаемых в заявку или предоставляемых Победителем, приведены в Приложениях </w:t>
      </w:r>
      <w:hyperlink w:anchor="Прил04_ФормыЗаявки">
        <w:r>
          <w:rPr>
            <w:rStyle w:val="Style13"/>
          </w:rPr>
          <w:t>№ 4</w:t>
        </w:r>
      </w:hyperlink>
      <w:r>
        <w:rPr/>
        <w:t xml:space="preserve">, </w:t>
      </w:r>
      <w:hyperlink w:anchor="Прил05_ФормыПобедителя">
        <w:r>
          <w:rPr>
            <w:rStyle w:val="Style13"/>
          </w:rPr>
          <w:t>№ 5</w:t>
        </w:r>
      </w:hyperlink>
      <w:r>
        <w:rPr/>
        <w:t>.</w:t>
      </w:r>
    </w:p>
    <w:p>
      <w:pPr>
        <w:pStyle w:val="Style23"/>
        <w:rPr/>
      </w:pPr>
      <w:bookmarkStart w:id="63" w:name="_Toc188004661"/>
      <w:r>
        <w:rPr/>
        <w:t>Правовой статус документов</w:t>
      </w:r>
      <w:bookmarkEnd w:id="63"/>
    </w:p>
    <w:p>
      <w:pPr>
        <w:pStyle w:val="Style24"/>
        <w:rPr/>
      </w:pPr>
      <w:r>
        <w:rPr/>
        <w:t>Состязательный отбор не является конкурентной процедурой в соответствии с действующим законодательством.</w:t>
      </w:r>
    </w:p>
    <w:p>
      <w:pPr>
        <w:pStyle w:val="Style24"/>
        <w:rPr/>
      </w:pPr>
      <w:r>
        <w:rPr/>
        <w:t>Документация о закупке вместе с Извещением, являющимся ее неотъемлемой частью, являются приглашением Организатора делать оферты и должны рассматриваться Участниками в соответствии с этим. При наличии противоречий между положениями Извещения и Документации о закупке применяются положения Извещения.</w:t>
      </w:r>
    </w:p>
    <w:p>
      <w:pPr>
        <w:pStyle w:val="Style24"/>
        <w:rPr/>
      </w:pPr>
      <w:r>
        <w:rPr/>
        <w:t>Заявка Участника имеет правовой статус оферты и будет рассматриваться Организатором в течение указанного в ней срока ее действия.</w:t>
      </w:r>
    </w:p>
    <w:p>
      <w:pPr>
        <w:pStyle w:val="Style24"/>
        <w:keepNext w:val="true"/>
        <w:rPr/>
      </w:pPr>
      <w:bookmarkStart w:id="64" w:name="_Ref125366985"/>
      <w:r>
        <w:rPr/>
        <w:t>При определении условий Договора по результатам закупки используется иерархия документов, установленная в пункте </w:t>
      </w:r>
      <w:r>
        <w:rPr/>
        <w:fldChar w:fldCharType="begin"/>
      </w:r>
      <w:r>
        <w:rPr/>
        <w:instrText xml:space="preserve"> REF _Ref132288402 \r \h </w:instrText>
      </w:r>
      <w:r>
        <w:rPr/>
        <w:fldChar w:fldCharType="separate"/>
      </w:r>
      <w:r>
        <w:rPr/>
        <w:t>5.2.8</w:t>
      </w:r>
      <w:r>
        <w:rPr/>
        <w:fldChar w:fldCharType="end"/>
      </w:r>
      <w:bookmarkEnd w:id="64"/>
      <w:r>
        <w:rPr/>
        <w:t>.</w:t>
      </w:r>
    </w:p>
    <w:p>
      <w:pPr>
        <w:pStyle w:val="Style24"/>
        <w:rPr/>
      </w:pPr>
      <w:r>
        <w:rPr/>
        <w:t>Заключенный по результатам закупки Договор, в том числе, фиксирует все достигнутые сторонами в результате преддоговорных переговоров договоренности (при проведении таковых).</w:t>
      </w:r>
    </w:p>
    <w:p>
      <w:pPr>
        <w:pStyle w:val="Style24"/>
        <w:rPr/>
      </w:pPr>
      <w:r>
        <w:rPr/>
        <w:t>Во всем, что не урегулировано Извещением и Документацией о закупке, стороны руководствуются Положением о закупке (в редакции, действующей на дату официального размещения Извещения).</w:t>
      </w:r>
    </w:p>
    <w:p>
      <w:pPr>
        <w:pStyle w:val="Style24"/>
        <w:rPr/>
      </w:pPr>
      <w:r>
        <w:rPr/>
        <w:t>Если в отношении сторон Договора, заключаемого по результатам закупки, действуют также специальные нормативные правовые акты, зарегистрированные в установленном порядке, Документация о закупке и заявка Победителя будут считаться приоритетными по отношению к диспозитивным нормам указанных документов.</w:t>
      </w:r>
    </w:p>
    <w:p>
      <w:pPr>
        <w:pStyle w:val="Style24"/>
        <w:rPr/>
      </w:pPr>
      <w:r>
        <w:rPr/>
        <w:t>Иные документы Организатора и Участников не определяют права и обязанности сторон в связи с данной закупкой.</w:t>
      </w:r>
    </w:p>
    <w:p>
      <w:pPr>
        <w:pStyle w:val="Style24"/>
        <w:rPr/>
      </w:pPr>
      <w:r>
        <w:rPr/>
        <w:t>Любые уведомления, письма, предложения, иная переписка и действия председателя, заместителя председателя, членов, секретаря Закупочной комиссии и иных работников Заказчика и Организатора относительно условий, сроков проведения, предмета настоящей закупки (за исключением информации, представляемой Участникам в соответствии с Положением о закупке), носят исключительно информационный характер и не являются офертой либо акцептом Организатора или Заказчика.</w:t>
      </w:r>
    </w:p>
    <w:p>
      <w:pPr>
        <w:pStyle w:val="Style23"/>
        <w:rPr/>
      </w:pPr>
      <w:bookmarkStart w:id="65" w:name="_Toc188004662"/>
      <w:bookmarkStart w:id="66" w:name="_Ref125363536"/>
      <w:r>
        <w:rPr/>
        <w:t>Обжалование</w:t>
      </w:r>
      <w:bookmarkEnd w:id="65"/>
      <w:bookmarkEnd w:id="66"/>
    </w:p>
    <w:p>
      <w:pPr>
        <w:pStyle w:val="Style24"/>
        <w:rPr/>
      </w:pPr>
      <w:r>
        <w:rPr/>
        <w:t>Любой Участник, который заявляет, что понес или может понести убытки в результате нарушения его прав Заказчиком и (или) Организатором, отдельными членами Закупочной комиссии или Оператором ЭП, имеет право подать заявление о рассмотрении разногласий, связанных с проведением закупки.</w:t>
      </w:r>
    </w:p>
    <w:p>
      <w:pPr>
        <w:pStyle w:val="Style24"/>
        <w:rPr/>
      </w:pPr>
      <w:r>
        <w:rPr/>
        <w:t>До заключения Договора с Победителем заявления о рассмотрении разногласий направляются Участниками через круглосуточную «Линию доверия», посредством заполнения специальной формы на корпоративном сайте ПАО «РусГидро» (вкладка «Линия доверия»), или сообщения информации по указанному на корпоративном сайте телефону. На время рассмотрения разногласий процедура проведения закупки приостанавливается до вынесения решения, если тому нет явных препятствий юридического или экономического характера.</w:t>
      </w:r>
    </w:p>
    <w:p>
      <w:pPr>
        <w:pStyle w:val="Style24"/>
        <w:keepNext w:val="true"/>
        <w:rPr/>
      </w:pPr>
      <w:r>
        <w:rPr/>
        <w:t>Если разногласия не разрешены по взаимному согласию представившего их Участника и Заказчика, может быть принято одно из следующих решений:</w:t>
      </w:r>
    </w:p>
    <w:p>
      <w:pPr>
        <w:pStyle w:val="Style25"/>
        <w:rPr/>
      </w:pPr>
      <w:r>
        <w:rPr/>
        <w:t>обязать Заказчика, Организатора, членов Закупочной комиссии, совершивших неправомерные действия, применивших неправомерные процедуры либо принявших незаконное решение, совершить действия, соответствующие законодательству и Положению о закупке (в том числе, но не ограничиваясь, отменить составленные в ходе закупки протоколы, повторно рассмотреть заявки Участников);</w:t>
      </w:r>
    </w:p>
    <w:p>
      <w:pPr>
        <w:pStyle w:val="Style25"/>
        <w:rPr/>
      </w:pPr>
      <w:r>
        <w:rPr/>
        <w:t>признать заявление Участника необоснованным.</w:t>
      </w:r>
    </w:p>
    <w:p>
      <w:pPr>
        <w:pStyle w:val="Style24"/>
        <w:rPr/>
      </w:pPr>
      <w:r>
        <w:rPr/>
        <w:t>Участник вправе обжаловать действия (бездействие) Заказчика и (или) Организатора, Закупочной комиссии, Оператора ЭП при проведении настоящей закупки в антимонопольном органе в порядке, установленном законодательством, с учетом того, что настоящая закупка не является торгами. Если обжалуемые действия (бездействие) совершены после окончания установленного срока подачи заявок (подраздел </w:t>
      </w:r>
      <w:r>
        <w:rPr/>
        <w:fldChar w:fldCharType="begin"/>
      </w:r>
      <w:r>
        <w:rPr/>
        <w:instrText xml:space="preserve"> REF _Ref125359973 \r \h </w:instrText>
      </w:r>
      <w:r>
        <w:rPr/>
        <w:fldChar w:fldCharType="separate"/>
      </w:r>
      <w:r>
        <w:rPr/>
        <w:t>1.2</w:t>
      </w:r>
      <w:r>
        <w:rPr/>
        <w:fldChar w:fldCharType="end"/>
      </w:r>
      <w:r>
        <w:rPr/>
        <w:t>), обжалование таких действий (бездействия) может осуществляться только Участником, подавшим заявку на участие в такой закупке.</w:t>
      </w:r>
    </w:p>
    <w:p>
      <w:pPr>
        <w:pStyle w:val="Style24"/>
        <w:rPr/>
      </w:pPr>
      <w:r>
        <w:rPr/>
        <w:t>Все споры и разногласия, возникающие в связи с проведением закупки, касающиеся исполнения Организатором, Заказчиком и Участниками своих обязательств, в том числе не урегулированные путем обращения на «Линию доверия» и (или) антимонопольные органы, подлежат разрешению следующим образом:</w:t>
      </w:r>
    </w:p>
    <w:p>
      <w:pPr>
        <w:pStyle w:val="Style25"/>
        <w:rPr/>
      </w:pPr>
      <w:r>
        <w:rPr/>
        <w:t>по закупкам, проводимым закупочными комиссиями 1-го уровня – в Арбитражном суде по месту нахождения Заказчика (либо соответствующего филиала Заказчика, для нужд которого проводится настоящая закупка);</w:t>
      </w:r>
    </w:p>
    <w:p>
      <w:pPr>
        <w:pStyle w:val="Style25"/>
        <w:rPr/>
      </w:pPr>
      <w:r>
        <w:rPr/>
        <w:t>по закупкам, проводимым закупочными комиссиями 2-го уровня, специальными закупочными комиссиями, закупочными комиссиями исполнительного аппарата ПАО «РусГидро» – в Арбитражном суде г. Москвы.</w:t>
      </w:r>
    </w:p>
    <w:p>
      <w:pPr>
        <w:pStyle w:val="Style28"/>
        <w:ind w:left="1134" w:hanging="0"/>
        <w:rPr/>
      </w:pPr>
      <w:r>
        <w:rPr/>
        <w:t>Закупочная комиссия определяется в соответствии с Положением о закупке.</w:t>
      </w:r>
    </w:p>
    <w:p>
      <w:pPr>
        <w:pStyle w:val="Style23"/>
        <w:rPr/>
      </w:pPr>
      <w:bookmarkStart w:id="67" w:name="_Toc188004663"/>
      <w:bookmarkStart w:id="68" w:name="_Ref125472658"/>
      <w:r>
        <w:rPr/>
        <w:t>Особые положения при проведении закупки с использованием ЭП</w:t>
      </w:r>
      <w:bookmarkEnd w:id="67"/>
      <w:bookmarkEnd w:id="68"/>
    </w:p>
    <w:p>
      <w:pPr>
        <w:pStyle w:val="Style24"/>
        <w:rPr/>
      </w:pPr>
      <w:r>
        <w:rPr/>
        <w:t>Наименование ЭП, посредством которой проводится закупка, указано в подразделе </w:t>
      </w:r>
      <w:r>
        <w:rPr/>
        <w:fldChar w:fldCharType="begin"/>
      </w:r>
      <w:r>
        <w:rPr/>
        <w:instrText xml:space="preserve"> REF _Ref125359973 \r \h </w:instrText>
      </w:r>
      <w:r>
        <w:rPr/>
        <w:fldChar w:fldCharType="separate"/>
      </w:r>
      <w:r>
        <w:rPr/>
        <w:t>1.2</w:t>
      </w:r>
      <w:r>
        <w:rPr/>
        <w:fldChar w:fldCharType="end"/>
      </w:r>
      <w:r>
        <w:rPr/>
        <w:t>. До подачи заявки Участник обязан ознакомиться с Регламентом ЭП, опубликованными на сайте соответствующей ЭП.</w:t>
      </w:r>
    </w:p>
    <w:p>
      <w:pPr>
        <w:pStyle w:val="Style24"/>
        <w:rPr/>
      </w:pPr>
      <w:r>
        <w:rPr/>
        <w:t>Для участия в закупке Участник должен пройти процедуру регистрации на ЭП. Регистрация осуществляется Оператором ЭП, и Организатор (Заказчик) не несет ответственности за результат ее прохождения Участником, в том числе понесенные им затраты.</w:t>
      </w:r>
    </w:p>
    <w:p>
      <w:pPr>
        <w:pStyle w:val="Style24"/>
        <w:rPr/>
      </w:pPr>
      <w:bookmarkStart w:id="69" w:name="_Ref135748672"/>
      <w:r>
        <w:rPr/>
        <w:t>Обмен всей информацией, связанной с проведением закупки (между Участником, Организатором (Заказчиком) и Оператором ЭП) осуществляется на ЭП в форме электронных документов, подписанных усиленной квалифицированной электронной подписью уполномоченного лица.</w:t>
      </w:r>
      <w:bookmarkEnd w:id="69"/>
    </w:p>
    <w:p>
      <w:pPr>
        <w:pStyle w:val="Style24"/>
        <w:rPr/>
      </w:pPr>
      <w:bookmarkStart w:id="70" w:name="_Ref135748741"/>
      <w:r>
        <w:rPr/>
        <w:t>Стоимость заявки (цена Договора) и иные условия закупки, указанные Участниками в специальных электронных формах на ЭП, имеют преимущество перед сведениями, указанными в загруженных на ЭП электронных документах.</w:t>
      </w:r>
      <w:bookmarkEnd w:id="70"/>
    </w:p>
    <w:p>
      <w:pPr>
        <w:pStyle w:val="Style23"/>
        <w:rPr/>
      </w:pPr>
      <w:bookmarkStart w:id="71" w:name="_Toc188004664"/>
      <w:r>
        <w:rPr/>
        <w:t>Прочие положения</w:t>
      </w:r>
      <w:bookmarkEnd w:id="71"/>
    </w:p>
    <w:p>
      <w:pPr>
        <w:pStyle w:val="Style24"/>
        <w:rPr/>
      </w:pPr>
      <w:r>
        <w:rPr/>
        <w:t>Заказчик, Организатор и Оператор ЭП обеспечивают конфиденциальность относительно всех полученных от Участников сведений, в том числе содержащихся в заявках. Предоставление этой информации другим Участникам или третьим лицам возможно только в случаях, прямо предусмотренных законодательством или Документацией о закупке.</w:t>
      </w:r>
    </w:p>
    <w:p>
      <w:pPr>
        <w:pStyle w:val="Style24"/>
        <w:rPr/>
      </w:pPr>
      <w:bookmarkStart w:id="72" w:name="_Ref136257236"/>
      <w:r>
        <w:rPr/>
        <w:t>Организатор (по решению Закупочной комиссии), вправе отклонить заявку, если будет установлено, что Участник каким-либо способом повлиял на рассмотрение заявок, их оценку и сопоставление, подведение итогов закупки (определение Победителя), в том числе прямо или косвенно дал, согласился дать или предложил работнику Организатора, Заказчика, члену Закупочной комиссии или эксперту, осуществлявшему экспертизу заявок, вознаграждение в любой форме: работу, услугу, какую-либо ценность в качестве стимула, и (или) оказал каким-либо иным образом давление на указанных лиц.</w:t>
      </w:r>
      <w:bookmarkEnd w:id="72"/>
    </w:p>
    <w:p>
      <w:pPr>
        <w:pStyle w:val="Style24"/>
        <w:rPr/>
      </w:pPr>
      <w:r>
        <w:rPr/>
        <w:t>С целью предупреждения и противодействия противоправным действиям в Группе РусГидро организована круглосуточная «Линия доверия», обратиться на которую можно по телефону +7 (495) 785 09 37 (круглосуточно), или заполнив соответствующую форму на корпоративном сайте ПАО «РусГидро», вкладка «Линия доверия».</w:t>
      </w:r>
    </w:p>
    <w:p>
      <w:pPr>
        <w:pStyle w:val="Style22"/>
        <w:rPr/>
      </w:pPr>
      <w:bookmarkStart w:id="73" w:name="_Toc188004665"/>
      <w:bookmarkStart w:id="74" w:name="_Ref125361210"/>
      <w:r>
        <w:rPr/>
        <w:t>Требования к Участникам</w:t>
      </w:r>
      <w:bookmarkEnd w:id="73"/>
      <w:bookmarkEnd w:id="74"/>
    </w:p>
    <w:p>
      <w:pPr>
        <w:pStyle w:val="Style23"/>
        <w:rPr/>
      </w:pPr>
      <w:bookmarkStart w:id="75" w:name="_Toc188004666"/>
      <w:bookmarkStart w:id="76" w:name="_Ref127524530"/>
      <w:r>
        <w:rPr/>
        <w:t>Общие требования к Участникам</w:t>
      </w:r>
      <w:bookmarkEnd w:id="75"/>
      <w:bookmarkEnd w:id="76"/>
    </w:p>
    <w:p>
      <w:pPr>
        <w:pStyle w:val="Style24"/>
        <w:rPr/>
      </w:pPr>
      <w:bookmarkStart w:id="77" w:name="_Ref125361514"/>
      <w:r>
        <w:rPr/>
        <w:t>Из лиц, указанных в подразделе </w:t>
      </w:r>
      <w:r>
        <w:rPr/>
        <w:fldChar w:fldCharType="begin"/>
      </w:r>
      <w:r>
        <w:rPr/>
        <w:instrText xml:space="preserve"> REF _Ref125359973 \r \h </w:instrText>
      </w:r>
      <w:r>
        <w:rPr/>
        <w:fldChar w:fldCharType="separate"/>
      </w:r>
      <w:r>
        <w:rPr/>
        <w:t>1.2</w:t>
      </w:r>
      <w:r>
        <w:rPr/>
        <w:fldChar w:fldCharType="end"/>
      </w:r>
      <w:r>
        <w:rPr/>
        <w:t>, участвовать в закупке может любое юридическое / физическое лицо (в том числе индивидуальный предприниматель), или несколько юридических / физических лиц, в том числе несколько индивидуальных предпринимателей, выступающих на стороне одного участника закупки, независимо от их организационно-правовой формы, формы собственности, места нахождения и места происхождения капитала. Исключение составляют юридические / физические лица, являющиеся иностранным агентом в соответствии с Законом 255-ФЗ – они не могут быть Участником, в том числе в составе группы лиц.</w:t>
      </w:r>
      <w:bookmarkEnd w:id="77"/>
    </w:p>
    <w:p>
      <w:pPr>
        <w:pStyle w:val="Style24"/>
        <w:rPr/>
      </w:pPr>
      <w:r>
        <w:rPr/>
        <w:t>Однако, чтобы претендовать на победу в закупке Участник самостоятельно или Коллективный участник (подраздел </w:t>
      </w:r>
      <w:r>
        <w:rPr/>
        <w:fldChar w:fldCharType="begin"/>
      </w:r>
      <w:r>
        <w:rPr/>
        <w:instrText xml:space="preserve"> REF _Ref130308062 \r \h </w:instrText>
      </w:r>
      <w:r>
        <w:rPr/>
        <w:fldChar w:fldCharType="separate"/>
      </w:r>
      <w:r>
        <w:rPr/>
        <w:t>3.2</w:t>
      </w:r>
      <w:r>
        <w:rPr/>
        <w:fldChar w:fldCharType="end"/>
      </w:r>
      <w:r>
        <w:rPr/>
        <w:t>) в целом должен отвечать требованиям, установленным в Документации о закупке.</w:t>
      </w:r>
    </w:p>
    <w:p>
      <w:pPr>
        <w:pStyle w:val="Style24"/>
        <w:rPr/>
      </w:pPr>
      <w:r>
        <w:rPr/>
        <w:t xml:space="preserve">Требования к Участникам установлены с учетом предмета договора, </w:t>
      </w:r>
      <w:hyperlink w:anchor="Прил01_ТехТребования">
        <w:r>
          <w:rPr>
            <w:rStyle w:val="Style13"/>
          </w:rPr>
          <w:t>Технических требований (Приложение № 1)</w:t>
        </w:r>
      </w:hyperlink>
      <w:r>
        <w:rPr/>
        <w:t xml:space="preserve"> и </w:t>
      </w:r>
      <w:hyperlink w:anchor="Прил02_ПроектДоговора">
        <w:r>
          <w:rPr>
            <w:rStyle w:val="Style13"/>
          </w:rPr>
          <w:t>Проекта договора (Приложение № 2)</w:t>
        </w:r>
      </w:hyperlink>
      <w:r>
        <w:rPr/>
        <w:t>.</w:t>
      </w:r>
    </w:p>
    <w:p>
      <w:pPr>
        <w:pStyle w:val="Style24"/>
        <w:keepNext w:val="true"/>
        <w:rPr/>
      </w:pPr>
      <w:r>
        <w:rPr/>
        <w:t>Установлены следующие требования к Участникам, которые приведены в </w:t>
      </w:r>
      <w:hyperlink w:anchor="Прил03_ТребованияУчастникам">
        <w:r>
          <w:rPr>
            <w:rStyle w:val="Style13"/>
          </w:rPr>
          <w:t>Приложении № 3</w:t>
        </w:r>
      </w:hyperlink>
      <w:r>
        <w:rPr/>
        <w:t>:</w:t>
      </w:r>
    </w:p>
    <w:p>
      <w:pPr>
        <w:pStyle w:val="Style25"/>
        <w:rPr/>
      </w:pPr>
      <w:r>
        <w:rPr/>
        <w:t>обязательные требования (подраздел </w:t>
      </w:r>
      <w:r>
        <w:rPr/>
        <w:fldChar w:fldCharType="begin"/>
      </w:r>
      <w:r>
        <w:rPr/>
        <w:instrText xml:space="preserve"> REF _Ref125361435 \r \h </w:instrText>
      </w:r>
      <w:r>
        <w:rPr/>
        <w:fldChar w:fldCharType="separate"/>
      </w:r>
      <w:r>
        <w:rPr/>
        <w:t>8.2</w:t>
      </w:r>
      <w:r>
        <w:rPr/>
        <w:fldChar w:fldCharType="end"/>
      </w:r>
      <w:r>
        <w:rPr/>
        <w:t>) – Участники должны им соответствовать;</w:t>
      </w:r>
    </w:p>
    <w:p>
      <w:pPr>
        <w:pStyle w:val="Style25"/>
        <w:rPr/>
      </w:pPr>
      <w:r>
        <w:rPr/>
        <w:t>специальные требования – Участники должны им соответствовать, если они установлены (подраздел </w:t>
      </w:r>
      <w:r>
        <w:rPr/>
        <w:fldChar w:fldCharType="begin"/>
      </w:r>
      <w:r>
        <w:rPr/>
        <w:instrText xml:space="preserve"> REF _Ref125709153 \r \h </w:instrText>
      </w:r>
      <w:r>
        <w:rPr/>
        <w:fldChar w:fldCharType="separate"/>
      </w:r>
      <w:r>
        <w:rPr/>
        <w:t>8.3</w:t>
      </w:r>
      <w:r>
        <w:rPr/>
        <w:fldChar w:fldCharType="end"/>
      </w:r>
      <w:r>
        <w:rPr/>
        <w:t>);</w:t>
      </w:r>
    </w:p>
    <w:p>
      <w:pPr>
        <w:pStyle w:val="Style25"/>
        <w:rPr/>
      </w:pPr>
      <w:r>
        <w:rPr/>
        <w:t>квалификационные требования – Участники должны им соответствовать, если они установлены (подраздел </w:t>
      </w:r>
      <w:r>
        <w:rPr/>
        <w:fldChar w:fldCharType="begin"/>
      </w:r>
      <w:r>
        <w:rPr/>
        <w:instrText xml:space="preserve"> REF _Ref125709154 \r \h </w:instrText>
      </w:r>
      <w:r>
        <w:rPr/>
        <w:fldChar w:fldCharType="separate"/>
      </w:r>
      <w:r>
        <w:rPr/>
        <w:t>8.4</w:t>
      </w:r>
      <w:r>
        <w:rPr/>
        <w:fldChar w:fldCharType="end"/>
      </w:r>
      <w:r>
        <w:rPr/>
        <w:t>).</w:t>
      </w:r>
    </w:p>
    <w:p>
      <w:pPr>
        <w:pStyle w:val="Style24"/>
        <w:keepNext w:val="true"/>
        <w:rPr/>
      </w:pPr>
      <w:r>
        <w:rPr/>
        <w:t>В рамках требований к Участникам могут быть установлены дополнительные требования:</w:t>
      </w:r>
    </w:p>
    <w:p>
      <w:pPr>
        <w:pStyle w:val="Style25"/>
        <w:rPr/>
      </w:pPr>
      <w:r>
        <w:rPr/>
        <w:t>к Коллективным участникам (подраздел </w:t>
      </w:r>
      <w:r>
        <w:rPr/>
        <w:fldChar w:fldCharType="begin"/>
      </w:r>
      <w:r>
        <w:rPr/>
        <w:instrText xml:space="preserve"> REF _Ref130308111 \r \h </w:instrText>
      </w:r>
      <w:r>
        <w:rPr/>
        <w:fldChar w:fldCharType="separate"/>
      </w:r>
      <w:r>
        <w:rPr/>
        <w:t>3.2</w:t>
      </w:r>
      <w:r>
        <w:rPr/>
        <w:fldChar w:fldCharType="end"/>
      </w:r>
      <w:r>
        <w:rPr/>
        <w:t>);</w:t>
      </w:r>
    </w:p>
    <w:p>
      <w:pPr>
        <w:pStyle w:val="Style25"/>
        <w:rPr/>
      </w:pPr>
      <w:r>
        <w:rPr/>
        <w:t>к Генеральным подрядчикам (подраздел </w:t>
      </w:r>
      <w:r>
        <w:rPr/>
        <w:fldChar w:fldCharType="begin"/>
      </w:r>
      <w:r>
        <w:rPr/>
        <w:instrText xml:space="preserve"> REF _Ref125361702 \r \h </w:instrText>
      </w:r>
      <w:r>
        <w:rPr/>
        <w:fldChar w:fldCharType="separate"/>
      </w:r>
      <w:r>
        <w:rPr/>
        <w:t>3.3</w:t>
      </w:r>
      <w:r>
        <w:rPr/>
        <w:fldChar w:fldCharType="end"/>
      </w:r>
      <w:r>
        <w:rPr/>
        <w:t>).</w:t>
      </w:r>
    </w:p>
    <w:p>
      <w:pPr>
        <w:pStyle w:val="Style24"/>
        <w:rPr/>
      </w:pPr>
      <w:r>
        <w:rPr/>
        <w:t xml:space="preserve">Для подтверждения соответствия установленным требованиям Участник обязан приложить в составе заявки документы, перечисленные в </w:t>
      </w:r>
      <w:hyperlink w:anchor="Прил03_ТребованияУчастникам">
        <w:r>
          <w:rPr>
            <w:rStyle w:val="Style13"/>
          </w:rPr>
          <w:t>Требованиях к Участникам (Приложение № 3)</w:t>
        </w:r>
      </w:hyperlink>
      <w:r>
        <w:rPr/>
        <w:t>, если иное не установлено в Документации о закупке.</w:t>
      </w:r>
    </w:p>
    <w:p>
      <w:pPr>
        <w:pStyle w:val="Style23"/>
        <w:rPr/>
      </w:pPr>
      <w:bookmarkStart w:id="78" w:name="_Ref125361976"/>
      <w:bookmarkStart w:id="79" w:name="_Ref125361969"/>
      <w:bookmarkStart w:id="80" w:name="_Toc188004667"/>
      <w:bookmarkStart w:id="81" w:name="_Ref130308255"/>
      <w:bookmarkStart w:id="82" w:name="_Ref130308203"/>
      <w:bookmarkStart w:id="83" w:name="_Ref130308111"/>
      <w:bookmarkStart w:id="84" w:name="_Ref130308062"/>
      <w:bookmarkStart w:id="85" w:name="_Ref130305355"/>
      <w:r>
        <w:rPr/>
        <w:t>Коллективные участники</w:t>
      </w:r>
      <w:bookmarkEnd w:id="78"/>
      <w:bookmarkEnd w:id="79"/>
      <w:bookmarkEnd w:id="80"/>
      <w:bookmarkEnd w:id="81"/>
      <w:bookmarkEnd w:id="82"/>
      <w:bookmarkEnd w:id="83"/>
      <w:bookmarkEnd w:id="84"/>
      <w:bookmarkEnd w:id="85"/>
    </w:p>
    <w:p>
      <w:pPr>
        <w:pStyle w:val="Style24"/>
        <w:rPr/>
      </w:pPr>
      <w:r>
        <w:rPr/>
        <w:t>В закупке могут участвовать объединения юридических и (или) физических лиц (в том числе индивидуальные предприниматели), способные на законных основаниях выполнить требуемую поставку продукции – Коллективный участник.</w:t>
      </w:r>
    </w:p>
    <w:p>
      <w:pPr>
        <w:pStyle w:val="Style24"/>
        <w:rPr/>
      </w:pPr>
      <w:r>
        <w:rPr/>
        <w:t>Если заявка подается Коллективным участником, дополнительно должны быть выполнены требования настоящего подраздела, а также требования к дополнительным документам, предоставляемым Коллективными участниками в составе заявки, установленные в подразделе </w:t>
      </w:r>
      <w:r>
        <w:rPr/>
        <w:fldChar w:fldCharType="begin"/>
      </w:r>
      <w:r>
        <w:rPr/>
        <w:instrText xml:space="preserve"> REF _Ref125552455 \r \h </w:instrText>
      </w:r>
      <w:r>
        <w:rPr/>
        <w:fldChar w:fldCharType="separate"/>
      </w:r>
      <w:r>
        <w:rPr/>
        <w:t>8.5</w:t>
      </w:r>
      <w:r>
        <w:rPr/>
        <w:fldChar w:fldCharType="end"/>
      </w:r>
      <w:r>
        <w:rPr/>
        <w:t xml:space="preserve"> </w:t>
      </w:r>
      <w:hyperlink w:anchor="Прил03_ТребованияУчастникам">
        <w:r>
          <w:rPr>
            <w:rStyle w:val="Style13"/>
          </w:rPr>
          <w:t>Требований к Участникам (Приложение № 3)</w:t>
        </w:r>
      </w:hyperlink>
      <w:r>
        <w:rPr/>
        <w:t>.</w:t>
      </w:r>
    </w:p>
    <w:p>
      <w:pPr>
        <w:pStyle w:val="Style24"/>
        <w:keepNext w:val="true"/>
        <w:rPr/>
      </w:pPr>
      <w:bookmarkStart w:id="86" w:name="_Ref125366972"/>
      <w:r>
        <w:rPr/>
        <w:t>Члены Коллективного участника заключают между собой соглашение, соответствующее нормам ГК РФ, и отвечающее следующим требованиям:</w:t>
      </w:r>
      <w:bookmarkEnd w:id="86"/>
    </w:p>
    <w:p>
      <w:pPr>
        <w:pStyle w:val="Style25"/>
        <w:rPr/>
      </w:pPr>
      <w:r>
        <w:rPr/>
        <w:t>в соглашении должны быть определены права и обязанности сторон как в рамках участия в закупке, так и в рамках исполнения Договора;</w:t>
      </w:r>
    </w:p>
    <w:p>
      <w:pPr>
        <w:pStyle w:val="Style25"/>
        <w:rPr/>
      </w:pPr>
      <w:r>
        <w:rPr/>
        <w:t>в соглашении должно быть приведено распределение номенклатуры, объемов и стоимости, а также сроков поставки продукции между членами Коллективного участника;</w:t>
      </w:r>
    </w:p>
    <w:p>
      <w:pPr>
        <w:pStyle w:val="Style25"/>
        <w:rPr/>
      </w:pPr>
      <w:r>
        <w:rPr/>
        <w:t>в соглашении должен быть определен лидер, который в дальнейшем представляет интересы каждого члена Коллективного участника во взаимоотношениях с Организатором и Заказчиком;</w:t>
      </w:r>
    </w:p>
    <w:p>
      <w:pPr>
        <w:pStyle w:val="Style25"/>
        <w:rPr/>
      </w:pPr>
      <w:r>
        <w:rPr/>
        <w:t>в соглашении должна быть установлена солидарная ответственность каждого члена Коллективного участника по обязательствам, связанным с участием в закупке, заключением и последующим исполнением Договора;</w:t>
      </w:r>
    </w:p>
    <w:p>
      <w:pPr>
        <w:pStyle w:val="Style25"/>
        <w:rPr/>
      </w:pPr>
      <w:r>
        <w:rPr/>
        <w:t>срок действия соглашения должен быть не менее срока исполнения обязательств Участника по Договору, предлагаемого в составе заявки;</w:t>
      </w:r>
    </w:p>
    <w:p>
      <w:pPr>
        <w:pStyle w:val="Style25"/>
        <w:rPr/>
      </w:pPr>
      <w:r>
        <w:rPr/>
        <w:t>соглашением должно быть предусмотрено, что все операции по выполнению Договора в целом, включая платежи, совершаются исключительно с лидером, однако, по инициативе Заказчика и соглашению сторон, данная схема может быть изменена.</w:t>
      </w:r>
    </w:p>
    <w:p>
      <w:pPr>
        <w:pStyle w:val="Style24"/>
        <w:rPr/>
      </w:pPr>
      <w:r>
        <w:rPr/>
        <w:t>Заявка подготавливается и подается лидером от своего имени со ссылкой в Письме о подаче оферты (форма 2) (</w:t>
      </w:r>
      <w:hyperlink w:anchor="Прил04_ФормыЗаявки">
        <w:r>
          <w:rPr>
            <w:rStyle w:val="Style13"/>
          </w:rPr>
          <w:t>Приложение № 4</w:t>
        </w:r>
      </w:hyperlink>
      <w:r>
        <w:rPr/>
        <w:t>) на то, что он представляет интересы Коллективного участника.</w:t>
      </w:r>
    </w:p>
    <w:p>
      <w:pPr>
        <w:pStyle w:val="Style24"/>
        <w:rPr/>
      </w:pPr>
      <w:bookmarkStart w:id="87" w:name="_Ref125368791"/>
      <w:r>
        <w:rPr/>
        <w:t>Каждый член Коллективного участника (включая лидера Коллективного участника) должен отвечать всем обязательным требованиям к Участникам (подраздел </w:t>
      </w:r>
      <w:r>
        <w:rPr/>
        <w:fldChar w:fldCharType="begin"/>
      </w:r>
      <w:r>
        <w:rPr/>
        <w:instrText xml:space="preserve"> REF _Ref125361435 \r \h </w:instrText>
      </w:r>
      <w:r>
        <w:rPr/>
        <w:fldChar w:fldCharType="separate"/>
      </w:r>
      <w:r>
        <w:rPr/>
        <w:t>8.2</w:t>
      </w:r>
      <w:r>
        <w:rPr/>
        <w:fldChar w:fldCharType="end"/>
      </w:r>
      <w:r>
        <w:rPr/>
        <w:t>).</w:t>
      </w:r>
      <w:bookmarkEnd w:id="87"/>
    </w:p>
    <w:p>
      <w:pPr>
        <w:pStyle w:val="Style24"/>
        <w:rPr/>
      </w:pPr>
      <w:r>
        <w:rPr/>
        <w:t>При рассмотрении и оценке Коллективного участника на соответствие специальным требованиям к Участникам (подраздел </w:t>
      </w:r>
      <w:r>
        <w:rPr/>
        <w:fldChar w:fldCharType="begin"/>
      </w:r>
      <w:r>
        <w:rPr/>
        <w:instrText xml:space="preserve"> REF _Ref125709153 \r \h </w:instrText>
      </w:r>
      <w:r>
        <w:rPr/>
        <w:fldChar w:fldCharType="separate"/>
      </w:r>
      <w:r>
        <w:rPr/>
        <w:t>8.3</w:t>
      </w:r>
      <w:r>
        <w:rPr/>
        <w:fldChar w:fldCharType="end"/>
      </w:r>
      <w:r>
        <w:rPr/>
        <w:t>) показатели, в том числе относящиеся к наличию специальных допусков, лицензий, членства в саморегулируемых организациях, других разрешительных документов, должны быть в наличии у членов Коллективного участника, которым в соответствии с Планом распределения объемов поставки продукции (форма 11) (</w:t>
      </w:r>
      <w:hyperlink w:anchor="Прил04_ФормыЗаявки">
        <w:r>
          <w:rPr>
            <w:rStyle w:val="Style13"/>
          </w:rPr>
          <w:t>Приложение № 4</w:t>
        </w:r>
      </w:hyperlink>
      <w:r>
        <w:rPr/>
        <w:t>) будет поручена непосредственная поставка продукции, требующая наличия указанных специальных допусков, лицензий, разрешительных документов, членства в саморегулируемых организациях в соответствии с законодательством (с уровнем ответственности пропорционально порученному объему поставки продукции).</w:t>
      </w:r>
    </w:p>
    <w:p>
      <w:pPr>
        <w:pStyle w:val="Style24"/>
        <w:rPr/>
      </w:pPr>
      <w:bookmarkStart w:id="88" w:name="_Ref134705077"/>
      <w:r>
        <w:rPr/>
        <w:t>При рассмотрении и оценке Коллективного участника на соответствие квалификационным требованиям к Участникам (подраздел </w:t>
      </w:r>
      <w:r>
        <w:rPr/>
        <w:fldChar w:fldCharType="begin"/>
      </w:r>
      <w:r>
        <w:rPr/>
        <w:instrText xml:space="preserve"> REF _Ref125709154 \r \h </w:instrText>
      </w:r>
      <w:r>
        <w:rPr/>
        <w:fldChar w:fldCharType="separate"/>
      </w:r>
      <w:r>
        <w:rPr/>
        <w:t>8.4</w:t>
      </w:r>
      <w:r>
        <w:rPr/>
        <w:fldChar w:fldCharType="end"/>
      </w:r>
      <w:r>
        <w:rPr/>
        <w:t>), количественные параметры деятельности членов Коллективного участника (</w:t>
      </w:r>
      <w:bookmarkStart w:id="89" w:name="_Hlk132708323"/>
      <w:r>
        <w:rPr/>
        <w:t>наличие требуемого опыта, обеспеченность материально-техническими ресурсами и кадровыми ресурсами</w:t>
      </w:r>
      <w:bookmarkEnd w:id="89"/>
      <w:r>
        <w:rPr/>
        <w:t>) суммируются. Не подлежащие суммированию показатели, относящиеся к качественным характеристикам требуемого опыта, должны быть в наличии у членов Коллективного участника, которым в соответствии с Планом распределения объемов поставки продукции (форма 11) (</w:t>
      </w:r>
      <w:hyperlink w:anchor="Прил04_ФормыЗаявки">
        <w:r>
          <w:rPr>
            <w:rStyle w:val="Style13"/>
          </w:rPr>
          <w:t>Приложение № 4</w:t>
        </w:r>
      </w:hyperlink>
      <w:r>
        <w:rPr/>
        <w:t>) будет поручена непосредственная поставка продукции, требующая наличия указанного опыта и других показателей, не подлежащих суммированию.</w:t>
      </w:r>
      <w:bookmarkEnd w:id="88"/>
    </w:p>
    <w:p>
      <w:pPr>
        <w:pStyle w:val="Style24"/>
        <w:keepNext w:val="true"/>
        <w:rPr/>
      </w:pPr>
      <w:bookmarkStart w:id="90" w:name="_Ref125361726"/>
      <w:r>
        <w:rPr/>
        <w:t>Любое юридическое или физическое лицо (в том числе индивидуальный предприниматель) может входить в состав только одного Коллективного участника и при этом не имеет права одновременно:</w:t>
      </w:r>
      <w:bookmarkEnd w:id="90"/>
    </w:p>
    <w:p>
      <w:pPr>
        <w:pStyle w:val="Style25"/>
        <w:rPr/>
      </w:pPr>
      <w:r>
        <w:rPr/>
        <w:t>принимать участие в этой же закупке самостоятельно;</w:t>
      </w:r>
    </w:p>
    <w:p>
      <w:pPr>
        <w:pStyle w:val="Style25"/>
        <w:rPr/>
      </w:pPr>
      <w:r>
        <w:rPr/>
        <w:t>принимать участие в этой же закупке в качестве Генерального подрядчика или субподрядчика (подраздел </w:t>
      </w:r>
      <w:r>
        <w:rPr/>
        <w:fldChar w:fldCharType="begin"/>
      </w:r>
      <w:r>
        <w:rPr/>
        <w:instrText xml:space="preserve"> REF _Ref125361702 \r \h </w:instrText>
      </w:r>
      <w:r>
        <w:rPr/>
        <w:fldChar w:fldCharType="separate"/>
      </w:r>
      <w:r>
        <w:rPr/>
        <w:t>3.3</w:t>
      </w:r>
      <w:r>
        <w:rPr/>
        <w:fldChar w:fldCharType="end"/>
      </w:r>
      <w:r>
        <w:rPr/>
        <w:t>).</w:t>
      </w:r>
    </w:p>
    <w:p>
      <w:pPr>
        <w:pStyle w:val="Style28"/>
        <w:ind w:left="1134" w:hanging="0"/>
        <w:rPr/>
      </w:pPr>
      <w:r>
        <w:rPr/>
        <w:t>В случае невыполнения данного требования все заявки с участием таких лиц будут отклонены без рассмотрения по существу.</w:t>
      </w:r>
    </w:p>
    <w:p>
      <w:pPr>
        <w:pStyle w:val="Style24"/>
        <w:rPr/>
      </w:pPr>
      <w:r>
        <w:rPr/>
        <w:t>В случае несоответствия какого-либо из заявленных членов Коллективного участника установленным требованиям (</w:t>
      </w:r>
      <w:hyperlink w:anchor="Прил03_ТребованияУчастникам">
        <w:r>
          <w:rPr>
            <w:rStyle w:val="Style13"/>
          </w:rPr>
          <w:t>Приложение № 3</w:t>
        </w:r>
      </w:hyperlink>
      <w:r>
        <w:rPr>
          <w:rStyle w:val="Style13"/>
        </w:rPr>
        <w:t>)</w:t>
      </w:r>
      <w:r>
        <w:rPr/>
        <w:t>, а также при несоблюдении вышеуказанных норм настоящего подраздела, заявка такого Коллективного участника отклоняется.</w:t>
      </w:r>
    </w:p>
    <w:p>
      <w:pPr>
        <w:pStyle w:val="Style24"/>
        <w:rPr/>
      </w:pPr>
      <w:r>
        <w:rPr/>
        <w:t>Заявка, которую подает Коллективный участник, может быть отклонена, если в процессе закупки до выбора Победителя выяснится, что из состава Коллективного участника вышел один или несколько его членов.</w:t>
      </w:r>
    </w:p>
    <w:p>
      <w:pPr>
        <w:pStyle w:val="Style24"/>
        <w:rPr/>
      </w:pPr>
      <w:r>
        <w:rPr/>
        <w:t>Заказчик имеет право на одностороннее расторжение / незаключение Договора, если из состава Коллективного участника вышел один или несколько его членов.</w:t>
      </w:r>
    </w:p>
    <w:p>
      <w:pPr>
        <w:pStyle w:val="Style23"/>
        <w:rPr/>
      </w:pPr>
      <w:bookmarkStart w:id="91" w:name="_Toc188004668"/>
      <w:bookmarkStart w:id="92" w:name="_Ref125361702"/>
      <w:r>
        <w:rPr/>
        <w:t>Генеральные подрядчики</w:t>
      </w:r>
      <w:bookmarkEnd w:id="91"/>
      <w:bookmarkEnd w:id="92"/>
    </w:p>
    <w:p>
      <w:pPr>
        <w:pStyle w:val="Style24"/>
        <w:rPr/>
      </w:pPr>
      <w:r>
        <w:rPr/>
        <w:t>Нормы настоящего подраздела применяются только, если подразделом </w:t>
      </w:r>
      <w:r>
        <w:rPr/>
        <w:fldChar w:fldCharType="begin"/>
      </w:r>
      <w:r>
        <w:rPr/>
        <w:instrText xml:space="preserve"> REF _Ref125359973 \r \h </w:instrText>
      </w:r>
      <w:r>
        <w:rPr/>
        <w:fldChar w:fldCharType="separate"/>
      </w:r>
      <w:r>
        <w:rPr/>
        <w:t>1.2</w:t>
      </w:r>
      <w:r>
        <w:rPr/>
        <w:fldChar w:fldCharType="end"/>
      </w:r>
      <w:r>
        <w:rPr/>
        <w:t xml:space="preserve"> предусмотрено рассмотрение и оценка заявок Участников с учетом привлекаемых субподрядчиков.</w:t>
      </w:r>
    </w:p>
    <w:p>
      <w:pPr>
        <w:pStyle w:val="Style24"/>
        <w:rPr/>
      </w:pPr>
      <w:r>
        <w:rPr/>
        <w:t>Если заявка подается Участником от лица Генерального подрядчика, дополнительно должны быть выполнены требования настоящего подраздела, а также требования к дополнительным документам, предоставляемым таким Участником в составе заявки, установленные в подразделе </w:t>
      </w:r>
      <w:r>
        <w:rPr/>
        <w:fldChar w:fldCharType="begin"/>
      </w:r>
      <w:r>
        <w:rPr/>
        <w:instrText xml:space="preserve"> REF _Ref125709777 \r \h </w:instrText>
      </w:r>
      <w:r>
        <w:rPr/>
        <w:fldChar w:fldCharType="separate"/>
      </w:r>
      <w:r>
        <w:rPr/>
        <w:t>8.6</w:t>
      </w:r>
      <w:r>
        <w:rPr/>
        <w:fldChar w:fldCharType="end"/>
      </w:r>
      <w:r>
        <w:rPr/>
        <w:t xml:space="preserve"> </w:t>
      </w:r>
      <w:hyperlink w:anchor="Прил03_ТребованияУчастникам">
        <w:r>
          <w:rPr>
            <w:rStyle w:val="Style13"/>
          </w:rPr>
          <w:t>Требований к Участникам (Приложение № 3)</w:t>
        </w:r>
      </w:hyperlink>
      <w:r>
        <w:rPr/>
        <w:t>.</w:t>
      </w:r>
    </w:p>
    <w:p>
      <w:pPr>
        <w:pStyle w:val="Style24"/>
        <w:keepNext w:val="true"/>
        <w:rPr/>
      </w:pPr>
      <w:r>
        <w:rPr/>
        <w:t>Генеральный подрядчик:</w:t>
      </w:r>
    </w:p>
    <w:p>
      <w:pPr>
        <w:pStyle w:val="Style25"/>
        <w:rPr/>
      </w:pPr>
      <w:r>
        <w:rPr/>
        <w:t>должен самостоятельно отвечать всем обязательным требованиям к Участникам (подраздел </w:t>
      </w:r>
      <w:r>
        <w:rPr/>
        <w:fldChar w:fldCharType="begin"/>
      </w:r>
      <w:r>
        <w:rPr/>
        <w:instrText xml:space="preserve"> REF _Ref125361435 \r \h </w:instrText>
      </w:r>
      <w:r>
        <w:rPr/>
        <w:fldChar w:fldCharType="separate"/>
      </w:r>
      <w:r>
        <w:rPr/>
        <w:t>8.2</w:t>
      </w:r>
      <w:r>
        <w:rPr/>
        <w:fldChar w:fldCharType="end"/>
      </w:r>
      <w:r>
        <w:rPr/>
        <w:t>);</w:t>
      </w:r>
    </w:p>
    <w:p>
      <w:pPr>
        <w:pStyle w:val="Style25"/>
        <w:rPr/>
      </w:pPr>
      <w:r>
        <w:rPr/>
        <w:t>в рамках специальных требований (подраздел </w:t>
      </w:r>
      <w:r>
        <w:rPr/>
        <w:fldChar w:fldCharType="begin"/>
      </w:r>
      <w:r>
        <w:rPr/>
        <w:instrText xml:space="preserve"> REF _Ref125709153 \r \h </w:instrText>
      </w:r>
      <w:r>
        <w:rPr/>
        <w:fldChar w:fldCharType="separate"/>
      </w:r>
      <w:r>
        <w:rPr/>
        <w:t>8.3</w:t>
      </w:r>
      <w:r>
        <w:rPr/>
        <w:fldChar w:fldCharType="end"/>
      </w:r>
      <w:r>
        <w:rPr/>
        <w:t>), касающихся членства в саморегулируемых организациях (в случае их установления), должен иметь соответствующее членство с учетом требований законодательства к такому членству;</w:t>
      </w:r>
    </w:p>
    <w:p>
      <w:pPr>
        <w:pStyle w:val="Style25"/>
        <w:rPr/>
      </w:pPr>
      <w:r>
        <w:rPr/>
        <w:t>в рамках остальных специальных требований и квалификационных требований (подраздел </w:t>
      </w:r>
      <w:r>
        <w:rPr/>
        <w:fldChar w:fldCharType="begin"/>
      </w:r>
      <w:r>
        <w:rPr/>
        <w:instrText xml:space="preserve"> REF _Ref125709154 \r \h </w:instrText>
      </w:r>
      <w:r>
        <w:rPr/>
        <w:fldChar w:fldCharType="separate"/>
      </w:r>
      <w:r>
        <w:rPr/>
        <w:t>8.4</w:t>
      </w:r>
      <w:r>
        <w:rPr/>
        <w:fldChar w:fldCharType="end"/>
      </w:r>
      <w:r>
        <w:rPr/>
        <w:t>) (в случае их установления) должен отвечать им только в части объема поставки продукции, который ему предполагается поручить в соответствии с Планом распределения объемов поставки продукции (форма 11) (</w:t>
      </w:r>
      <w:hyperlink w:anchor="Прил04_ФормыЗаявки">
        <w:r>
          <w:rPr>
            <w:rStyle w:val="Style13"/>
          </w:rPr>
          <w:t>Приложение № 4</w:t>
        </w:r>
      </w:hyperlink>
      <w:r>
        <w:rPr/>
        <w:t>).</w:t>
      </w:r>
    </w:p>
    <w:p>
      <w:pPr>
        <w:pStyle w:val="Style24"/>
        <w:keepNext w:val="true"/>
        <w:rPr/>
      </w:pPr>
      <w:r>
        <w:rPr/>
        <w:t>Каждый субподрядчик из привлекаемых Генеральным подрядчиком должен отвечать:</w:t>
      </w:r>
    </w:p>
    <w:p>
      <w:pPr>
        <w:pStyle w:val="Style25"/>
        <w:rPr/>
      </w:pPr>
      <w:r>
        <w:rPr/>
        <w:t>обязательным требованиям (подраздел </w:t>
      </w:r>
      <w:r>
        <w:rPr/>
        <w:fldChar w:fldCharType="begin"/>
      </w:r>
      <w:r>
        <w:rPr/>
        <w:instrText xml:space="preserve"> REF _Ref125361435 \r \h </w:instrText>
      </w:r>
      <w:r>
        <w:rPr/>
        <w:fldChar w:fldCharType="separate"/>
      </w:r>
      <w:r>
        <w:rPr/>
        <w:t>8.2</w:t>
      </w:r>
      <w:r>
        <w:rPr/>
        <w:fldChar w:fldCharType="end"/>
      </w:r>
      <w:r>
        <w:rPr/>
        <w:t>);</w:t>
      </w:r>
    </w:p>
    <w:p>
      <w:pPr>
        <w:pStyle w:val="Style25"/>
        <w:rPr/>
      </w:pPr>
      <w:r>
        <w:rPr/>
        <w:t>специальным требованиям (подраздел </w:t>
      </w:r>
      <w:r>
        <w:rPr/>
        <w:fldChar w:fldCharType="begin"/>
      </w:r>
      <w:r>
        <w:rPr/>
        <w:instrText xml:space="preserve"> REF _Ref125709153 \r \h </w:instrText>
      </w:r>
      <w:r>
        <w:rPr/>
        <w:fldChar w:fldCharType="separate"/>
      </w:r>
      <w:r>
        <w:rPr/>
        <w:t>8.3</w:t>
      </w:r>
      <w:r>
        <w:rPr/>
        <w:fldChar w:fldCharType="end"/>
      </w:r>
      <w:r>
        <w:rPr/>
        <w:t>) (в случае их установления), за исключением требования о наличии членства в саморегулируемых организациях;</w:t>
      </w:r>
    </w:p>
    <w:p>
      <w:pPr>
        <w:pStyle w:val="Style25"/>
        <w:rPr/>
      </w:pPr>
      <w:r>
        <w:rPr/>
        <w:t>квалификационным требованиям (подраздел </w:t>
      </w:r>
      <w:r>
        <w:rPr/>
        <w:fldChar w:fldCharType="begin"/>
      </w:r>
      <w:r>
        <w:rPr/>
        <w:instrText xml:space="preserve"> REF _Ref125709154 \r \h </w:instrText>
      </w:r>
      <w:r>
        <w:rPr/>
        <w:fldChar w:fldCharType="separate"/>
      </w:r>
      <w:r>
        <w:rPr/>
        <w:t>8.4</w:t>
      </w:r>
      <w:r>
        <w:rPr/>
        <w:fldChar w:fldCharType="end"/>
      </w:r>
      <w:r>
        <w:rPr/>
        <w:t>) (в случае их установления).</w:t>
      </w:r>
    </w:p>
    <w:p>
      <w:pPr>
        <w:pStyle w:val="Style28"/>
        <w:ind w:left="1134" w:hanging="0"/>
        <w:rPr/>
      </w:pPr>
      <w:bookmarkStart w:id="93" w:name="_Ref125368863"/>
      <w:r>
        <w:rPr/>
        <w:t xml:space="preserve">При этом соответствовать специальным и квалификационным требованиям субподрядчик должен только в части объема поставки продукции, который ему поручен </w:t>
      </w:r>
      <w:bookmarkEnd w:id="93"/>
      <w:r>
        <w:rPr/>
        <w:t>в соответствии с Планом распределения объемов поставки продукции (форма 11) (</w:t>
      </w:r>
      <w:hyperlink w:anchor="Прил04_ФормыЗаявки">
        <w:r>
          <w:rPr>
            <w:rStyle w:val="Style13"/>
          </w:rPr>
          <w:t>Приложение № 4</w:t>
        </w:r>
      </w:hyperlink>
      <w:r>
        <w:rPr/>
        <w:t>).</w:t>
      </w:r>
    </w:p>
    <w:p>
      <w:pPr>
        <w:pStyle w:val="Style24"/>
        <w:rPr/>
      </w:pPr>
      <w:r>
        <w:rPr/>
        <w:t xml:space="preserve">При оценке и сопоставлении заявки Генерального подрядчика по квалификационным критериям (если они установлены в </w:t>
      </w:r>
      <w:hyperlink w:anchor="Прил08_ПорядокОценки">
        <w:r>
          <w:rPr>
            <w:rStyle w:val="Style13"/>
          </w:rPr>
          <w:t>Порядке и критериях оценки и сопоставления заявок (Приложение № 8)</w:t>
        </w:r>
      </w:hyperlink>
      <w:r>
        <w:rPr/>
        <w:t>) количественные параметры деятельности Генерального подрядчика и субподрядчиков суммируются (наличие требуемого опыта, обеспеченность материально-техническими ресурсами и кадровыми ресурсами).</w:t>
      </w:r>
    </w:p>
    <w:p>
      <w:pPr>
        <w:pStyle w:val="Style24"/>
        <w:rPr/>
      </w:pPr>
      <w:bookmarkStart w:id="94" w:name="_Ref125361799"/>
      <w:r>
        <w:rPr/>
        <w:t>Любое юридическое или физическое лицо (в том числе индивидуальный предприниматель) может являться субподрядчиком у произвольного числа Генеральных подрядчиков, а также имеет право самостоятельно принимать участие в закупке. При этом субподрядчики не могут входить в состав Коллективных участников (подраздел </w:t>
      </w:r>
      <w:r>
        <w:rPr/>
        <w:fldChar w:fldCharType="begin"/>
      </w:r>
      <w:r>
        <w:rPr/>
        <w:instrText xml:space="preserve"> REF _Ref130308203 \r \h </w:instrText>
      </w:r>
      <w:r>
        <w:rPr/>
        <w:fldChar w:fldCharType="separate"/>
      </w:r>
      <w:r>
        <w:rPr/>
        <w:t>3.2</w:t>
      </w:r>
      <w:r>
        <w:rPr/>
        <w:fldChar w:fldCharType="end"/>
      </w:r>
      <w:r>
        <w:rPr/>
        <w:t>). Каждый Генеральный подрядчик может подать только одну заявку и не может быть субподрядчиком у других Генеральных подрядчиков, а также не может входить в состав Коллективных участников. В случае невыполнения этих требований заявки с участием таких лиц будут отклонены без рассмотрения по существу.</w:t>
      </w:r>
      <w:bookmarkEnd w:id="94"/>
    </w:p>
    <w:p>
      <w:pPr>
        <w:sectPr>
          <w:headerReference w:type="default" r:id="rId5"/>
          <w:footerReference w:type="default" r:id="rId6"/>
          <w:footerReference w:type="first" r:id="rId7"/>
          <w:footnotePr>
            <w:numFmt w:val="decimal"/>
          </w:footnotePr>
          <w:type w:val="nextPage"/>
          <w:pgSz w:w="11906" w:h="16838"/>
          <w:pgMar w:left="1134" w:right="850" w:gutter="0" w:header="567" w:top="851" w:footer="567" w:bottom="851"/>
          <w:pgNumType w:fmt="decimal"/>
          <w:formProt w:val="false"/>
          <w:textDirection w:val="lrTb"/>
          <w:docGrid w:type="default" w:linePitch="360" w:charSpace="0"/>
        </w:sectPr>
        <w:pStyle w:val="Style24"/>
        <w:rPr/>
      </w:pPr>
      <w:r>
        <w:rPr/>
        <w:t>Если подразделом </w:t>
      </w:r>
      <w:r>
        <w:rPr/>
        <w:fldChar w:fldCharType="begin"/>
      </w:r>
      <w:r>
        <w:rPr/>
        <w:instrText xml:space="preserve"> REF _Ref125359973 \r \h </w:instrText>
      </w:r>
      <w:r>
        <w:rPr/>
        <w:fldChar w:fldCharType="separate"/>
      </w:r>
      <w:r>
        <w:rPr/>
        <w:t>1.2</w:t>
      </w:r>
      <w:r>
        <w:rPr/>
        <w:fldChar w:fldCharType="end"/>
      </w:r>
      <w:r>
        <w:rPr/>
        <w:t xml:space="preserve"> не предусмотрены рассмотрение и оценка заявок Участников с учетом привлекаемых субподрядчиков, то при рассмотрении и оценке заявок к учету принимаются исключительно сведения о самом Участнике, в связи с чем Участник не обязан предоставлять документы на привлекаемых им субподрядчиков, указанные в подразделе </w:t>
      </w:r>
      <w:r>
        <w:rPr/>
        <w:fldChar w:fldCharType="begin"/>
      </w:r>
      <w:r>
        <w:rPr/>
        <w:instrText xml:space="preserve"> REF _Ref125709973 \r \h </w:instrText>
      </w:r>
      <w:r>
        <w:rPr/>
        <w:fldChar w:fldCharType="separate"/>
      </w:r>
      <w:r>
        <w:rPr/>
        <w:t>8.6</w:t>
      </w:r>
      <w:r>
        <w:rPr/>
        <w:fldChar w:fldCharType="end"/>
      </w:r>
      <w:r>
        <w:rPr/>
        <w:t xml:space="preserve"> </w:t>
      </w:r>
      <w:hyperlink w:anchor="Прил03_ТребованияУчастникам">
        <w:r>
          <w:rPr>
            <w:rStyle w:val="Style13"/>
          </w:rPr>
          <w:t>Требований к Участникам (Приложение № 3)</w:t>
        </w:r>
      </w:hyperlink>
      <w:r>
        <w:rPr/>
        <w:t>.Ответственность за соответствие в ходе исполнения обязательств по Договору привлекаемых субподрядчиков требованиям Документации о закупке в этом случае возлагается на самого Участника.</w:t>
      </w:r>
    </w:p>
    <w:p>
      <w:pPr>
        <w:pStyle w:val="Style22"/>
        <w:rPr/>
      </w:pPr>
      <w:bookmarkStart w:id="95" w:name="_Toc188004669"/>
      <w:bookmarkStart w:id="96" w:name="_Ref125367974"/>
      <w:bookmarkStart w:id="97" w:name="_Ref125367107"/>
      <w:bookmarkStart w:id="98" w:name="_Ref125367098"/>
      <w:bookmarkStart w:id="99" w:name="_Ref125361211"/>
      <w:r>
        <w:rPr/>
        <w:t>Порядок проведения закупки</w:t>
      </w:r>
      <w:bookmarkEnd w:id="95"/>
      <w:bookmarkEnd w:id="96"/>
      <w:bookmarkEnd w:id="97"/>
      <w:bookmarkEnd w:id="98"/>
      <w:bookmarkEnd w:id="99"/>
    </w:p>
    <w:p>
      <w:pPr>
        <w:pStyle w:val="Style23"/>
        <w:rPr/>
      </w:pPr>
      <w:bookmarkStart w:id="100" w:name="_Toc188004670"/>
      <w:bookmarkStart w:id="101" w:name="_Ref126141932"/>
      <w:r>
        <w:rPr/>
        <w:t>Общий порядок проведения закупки</w:t>
      </w:r>
      <w:bookmarkEnd w:id="100"/>
      <w:bookmarkEnd w:id="101"/>
    </w:p>
    <w:p>
      <w:pPr>
        <w:pStyle w:val="Style24"/>
        <w:keepNext w:val="true"/>
        <w:spacing w:before="120" w:after="120"/>
        <w:rPr/>
      </w:pPr>
      <w:r>
        <w:rPr/>
        <w:t>Закупка проводится в следующем порядке:</w:t>
      </w:r>
    </w:p>
    <w:tbl>
      <w:tblPr>
        <w:tblStyle w:val="afff6"/>
        <w:tblW w:w="14003" w:type="dxa"/>
        <w:jc w:val="left"/>
        <w:tblInd w:w="1129" w:type="dxa"/>
        <w:tblLayout w:type="fixed"/>
        <w:tblCellMar>
          <w:top w:w="0" w:type="dxa"/>
          <w:left w:w="0" w:type="dxa"/>
          <w:bottom w:w="0" w:type="dxa"/>
          <w:right w:w="5" w:type="dxa"/>
        </w:tblCellMar>
        <w:tblLook w:noVBand="1" w:val="04a0" w:noHBand="0" w:lastColumn="0" w:firstColumn="1" w:lastRow="0" w:firstRow="1"/>
      </w:tblPr>
      <w:tblGrid>
        <w:gridCol w:w="428"/>
        <w:gridCol w:w="2221"/>
        <w:gridCol w:w="1113"/>
        <w:gridCol w:w="1109"/>
        <w:gridCol w:w="2225"/>
        <w:gridCol w:w="2410"/>
        <w:gridCol w:w="2266"/>
        <w:gridCol w:w="2230"/>
      </w:tblGrid>
      <w:tr>
        <w:trPr>
          <w:cnfStyle w:val="100000000000" w:firstRow="1" w:lastRow="0" w:firstColumn="0" w:lastColumn="0" w:oddVBand="0" w:evenVBand="0" w:oddHBand="0" w:evenHBand="0" w:firstRowFirstColumn="0" w:firstRowLastColumn="0" w:lastRowFirstColumn="0" w:lastRowLastColumn="0"/>
        </w:trPr>
        <w:tc>
          <w:tcPr>
            <w:tcW w:w="428" w:type="dxa"/>
            <w:tcBorders>
              <w:left w:val="nil"/>
            </w:tcBorders>
            <w:vAlign w:val="bottom"/>
          </w:tcPr>
          <w:p>
            <w:pPr>
              <w:pStyle w:val="Style28"/>
              <w:keepNext w:val="true"/>
              <w:widowControl w:val="false"/>
              <w:suppressAutoHyphens w:val="true"/>
              <w:spacing w:before="40" w:after="40"/>
              <w:jc w:val="center"/>
              <w:rPr>
                <w:b w:val="false"/>
                <w:bCs/>
                <w:sz w:val="24"/>
                <w:szCs w:val="24"/>
              </w:rPr>
            </w:pPr>
            <w:r>
              <w:rPr>
                <w:rFonts w:eastAsia="Wingdings 3" w:cs="Wingdings 3" w:ascii="Wingdings 3" w:hAnsi="Wingdings 3"/>
                <w:b w:val="false"/>
                <w:bCs/>
                <w:kern w:val="0"/>
                <w:sz w:val="24"/>
                <w:szCs w:val="24"/>
                <w:lang w:val="ru-RU" w:eastAsia="en-US" w:bidi="ar-SA"/>
              </w:rPr>
              <w:sym w:font="Wingdings 3" w:char="f0d4"/>
            </w:r>
          </w:p>
        </w:tc>
        <w:tc>
          <w:tcPr>
            <w:tcW w:w="13574" w:type="dxa"/>
            <w:gridSpan w:val="7"/>
            <w:tcBorders>
              <w:right w:val="nil"/>
            </w:tcBorders>
          </w:tcPr>
          <w:p>
            <w:pPr>
              <w:pStyle w:val="Style28"/>
              <w:keepNext w:val="true"/>
              <w:widowControl w:val="false"/>
              <w:suppressAutoHyphens w:val="true"/>
              <w:spacing w:before="40" w:after="40"/>
              <w:jc w:val="center"/>
              <w:rPr>
                <w:b w:val="false"/>
                <w:bCs/>
                <w:sz w:val="24"/>
                <w:szCs w:val="24"/>
              </w:rPr>
            </w:pPr>
            <w:r>
              <w:rPr>
                <w:rFonts w:eastAsia="Calibri" w:cs=""/>
                <w:b/>
                <w:bCs/>
                <w:kern w:val="0"/>
                <w:sz w:val="24"/>
                <w:szCs w:val="24"/>
                <w:lang w:val="ru-RU" w:eastAsia="en-US" w:bidi="ar-SA"/>
              </w:rPr>
              <w:t>Официальное размещение Извещения и Документации о закупке (подраздел </w:t>
            </w:r>
            <w:r>
              <w:rPr>
                <w:rFonts w:eastAsia="Calibri" w:cs=""/>
                <w:b/>
                <w:bCs/>
                <w:kern w:val="0"/>
                <w:sz w:val="24"/>
                <w:szCs w:val="24"/>
                <w:lang w:val="ru-RU" w:eastAsia="en-US" w:bidi="ar-SA"/>
              </w:rPr>
              <w:fldChar w:fldCharType="begin"/>
            </w:r>
            <w:r>
              <w:rPr>
                <w:sz w:val="24"/>
                <w:b/>
                <w:kern w:val="0"/>
                <w:szCs w:val="24"/>
                <w:bCs/>
                <w:rFonts w:eastAsia="Calibri" w:cs=""/>
                <w:lang w:val="ru-RU" w:eastAsia="en-US" w:bidi="ar-SA"/>
              </w:rPr>
              <w:instrText xml:space="preserve"> REF _Ref130286532 \r \h </w:instrText>
            </w:r>
            <w:r>
              <w:rPr>
                <w:sz w:val="24"/>
                <w:b/>
                <w:kern w:val="0"/>
                <w:szCs w:val="24"/>
                <w:bCs/>
                <w:rFonts w:eastAsia="Calibri" w:cs=""/>
                <w:lang w:val="ru-RU" w:eastAsia="en-US" w:bidi="ar-SA"/>
              </w:rPr>
              <w:fldChar w:fldCharType="separate"/>
            </w:r>
            <w:r>
              <w:rPr>
                <w:sz w:val="24"/>
                <w:b/>
                <w:kern w:val="0"/>
                <w:szCs w:val="24"/>
                <w:bCs/>
                <w:rFonts w:eastAsia="Calibri" w:cs=""/>
                <w:lang w:val="ru-RU" w:eastAsia="en-US" w:bidi="ar-SA"/>
              </w:rPr>
              <w:t>4.2</w:t>
            </w:r>
            <w:r>
              <w:rPr>
                <w:sz w:val="24"/>
                <w:b/>
                <w:kern w:val="0"/>
                <w:szCs w:val="24"/>
                <w:bCs/>
                <w:rFonts w:eastAsia="Calibri" w:cs=""/>
                <w:lang w:val="ru-RU" w:eastAsia="en-US" w:bidi="ar-SA"/>
              </w:rPr>
              <w:fldChar w:fldCharType="end"/>
            </w:r>
            <w:r>
              <w:rPr>
                <w:rFonts w:eastAsia="Calibri" w:cs=""/>
                <w:b/>
                <w:bCs/>
                <w:kern w:val="0"/>
                <w:sz w:val="24"/>
                <w:szCs w:val="24"/>
                <w:lang w:val="ru-RU" w:eastAsia="en-US" w:bidi="ar-SA"/>
              </w:rPr>
              <w:t>)</w:t>
            </w:r>
          </w:p>
        </w:tc>
      </w:tr>
      <w:tr>
        <w:trPr/>
        <w:tc>
          <w:tcPr>
            <w:tcW w:w="428" w:type="dxa"/>
            <w:tcBorders>
              <w:left w:val="nil"/>
            </w:tcBorders>
            <w:vAlign w:val="bottom"/>
          </w:tcPr>
          <w:p>
            <w:pPr>
              <w:pStyle w:val="Style28"/>
              <w:widowControl w:val="false"/>
              <w:suppressAutoHyphens w:val="true"/>
              <w:spacing w:before="40" w:after="40"/>
              <w:jc w:val="center"/>
              <w:rPr>
                <w:bCs/>
                <w:sz w:val="24"/>
                <w:szCs w:val="24"/>
              </w:rPr>
            </w:pPr>
            <w:r>
              <w:rPr>
                <w:rFonts w:eastAsia="Wingdings 3" w:cs="Wingdings 3" w:ascii="Wingdings 3" w:hAnsi="Wingdings 3"/>
                <w:bCs/>
                <w:kern w:val="0"/>
                <w:sz w:val="24"/>
                <w:szCs w:val="24"/>
                <w:lang w:val="ru-RU" w:eastAsia="en-US" w:bidi="ar-SA"/>
              </w:rPr>
              <w:sym w:font="Wingdings 3" w:char="f0d4"/>
            </w:r>
          </w:p>
        </w:tc>
        <w:tc>
          <w:tcPr>
            <w:tcW w:w="6668" w:type="dxa"/>
            <w:gridSpan w:val="4"/>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Подготовка заявки (раздел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_Ref130281199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4.3</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r>
          </w:p>
        </w:tc>
        <w:tc>
          <w:tcPr>
            <w:tcW w:w="2410" w:type="dxa"/>
            <w:vMerge w:val="restart"/>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Предоставление разъяснений положений Документации о закупке</w:t>
              <w:br/>
              <w:t>(подраздел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_Ref130394802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4.4</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br/>
            </w:r>
            <w:r>
              <w:rPr>
                <w:rFonts w:eastAsia="Calibri" w:cs=""/>
                <w:bCs/>
                <w:i/>
                <w:iCs/>
                <w:kern w:val="0"/>
                <w:sz w:val="24"/>
                <w:szCs w:val="24"/>
                <w:lang w:val="ru-RU" w:eastAsia="en-US" w:bidi="ar-SA"/>
              </w:rPr>
              <w:t>(опциональная процедура закупки)</w:t>
            </w:r>
          </w:p>
        </w:tc>
        <w:tc>
          <w:tcPr>
            <w:tcW w:w="2266" w:type="dxa"/>
            <w:vMerge w:val="restart"/>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Внесение изменений в Извещение и (или) Документацию о закупке</w:t>
              <w:br/>
              <w:t>(подраздел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_Ref125362076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4.5</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br/>
            </w:r>
            <w:r>
              <w:rPr>
                <w:rFonts w:eastAsia="Calibri" w:cs=""/>
                <w:bCs/>
                <w:i/>
                <w:iCs/>
                <w:kern w:val="0"/>
                <w:sz w:val="24"/>
                <w:szCs w:val="24"/>
                <w:lang w:val="ru-RU" w:eastAsia="en-US" w:bidi="ar-SA"/>
              </w:rPr>
              <w:t>(опциональная процедура закупки)</w:t>
            </w:r>
          </w:p>
        </w:tc>
        <w:tc>
          <w:tcPr>
            <w:tcW w:w="2230" w:type="dxa"/>
            <w:vMerge w:val="restart"/>
            <w:tcBorders>
              <w:right w:val="nil"/>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Отказ от проведения закупки (отмена закупки)</w:t>
              <w:br/>
              <w:t>(подраздел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_Ref126141962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4.16</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br/>
            </w:r>
            <w:r>
              <w:rPr>
                <w:rFonts w:eastAsia="Calibri" w:cs=""/>
                <w:bCs/>
                <w:i/>
                <w:iCs/>
                <w:kern w:val="0"/>
                <w:sz w:val="24"/>
                <w:szCs w:val="24"/>
                <w:lang w:val="ru-RU" w:eastAsia="en-US" w:bidi="ar-SA"/>
              </w:rPr>
              <w:t>(опциональная процедура закупки)</w:t>
            </w:r>
          </w:p>
        </w:tc>
      </w:tr>
      <w:tr>
        <w:trPr/>
        <w:tc>
          <w:tcPr>
            <w:tcW w:w="428" w:type="dxa"/>
            <w:tcBorders>
              <w:left w:val="nil"/>
            </w:tcBorders>
            <w:vAlign w:val="bottom"/>
          </w:tcPr>
          <w:p>
            <w:pPr>
              <w:pStyle w:val="Style28"/>
              <w:widowControl w:val="false"/>
              <w:suppressAutoHyphens w:val="true"/>
              <w:spacing w:before="40" w:after="40"/>
              <w:jc w:val="center"/>
              <w:rPr>
                <w:bCs/>
                <w:sz w:val="24"/>
                <w:szCs w:val="24"/>
              </w:rPr>
            </w:pPr>
            <w:r>
              <w:rPr>
                <w:rFonts w:eastAsia="Wingdings 3" w:cs="Wingdings 3" w:ascii="Wingdings 3" w:hAnsi="Wingdings 3"/>
                <w:bCs/>
                <w:kern w:val="0"/>
                <w:sz w:val="24"/>
                <w:szCs w:val="24"/>
                <w:lang w:val="ru-RU" w:eastAsia="en-US" w:bidi="ar-SA"/>
              </w:rPr>
              <w:sym w:font="Wingdings 3" w:char="f0d4"/>
            </w:r>
          </w:p>
        </w:tc>
        <w:tc>
          <w:tcPr>
            <w:tcW w:w="3334" w:type="dxa"/>
            <w:gridSpan w:val="2"/>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Подача заявок и их прием</w:t>
              <w:br/>
              <w:t>(подраздел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_Ref125362119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4.6</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r>
          </w:p>
        </w:tc>
        <w:tc>
          <w:tcPr>
            <w:tcW w:w="3334" w:type="dxa"/>
            <w:gridSpan w:val="2"/>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Изменение и отзыв заявок</w:t>
              <w:br/>
              <w:t>(подраздел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_Ref125362130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4.7</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br/>
            </w:r>
            <w:r>
              <w:rPr>
                <w:rFonts w:eastAsia="Calibri" w:cs=""/>
                <w:bCs/>
                <w:i/>
                <w:iCs/>
                <w:kern w:val="0"/>
                <w:sz w:val="24"/>
                <w:szCs w:val="24"/>
                <w:lang w:val="ru-RU" w:eastAsia="en-US" w:bidi="ar-SA"/>
              </w:rPr>
              <w:t>(опциональная процедура закупки)</w:t>
            </w:r>
          </w:p>
        </w:tc>
        <w:tc>
          <w:tcPr>
            <w:tcW w:w="2410" w:type="dxa"/>
            <w:vMerge w:val="continue"/>
            <w:tcBorders/>
          </w:tcPr>
          <w:p>
            <w:pPr>
              <w:pStyle w:val="Style28"/>
              <w:widowControl w:val="false"/>
              <w:suppressAutoHyphens w:val="true"/>
              <w:spacing w:before="40" w:after="40"/>
              <w:jc w:val="center"/>
              <w:rPr>
                <w:bCs/>
                <w:sz w:val="24"/>
                <w:szCs w:val="24"/>
              </w:rPr>
            </w:pPr>
            <w:r>
              <w:rPr>
                <w:bCs/>
                <w:sz w:val="24"/>
                <w:szCs w:val="24"/>
              </w:rPr>
            </w:r>
          </w:p>
        </w:tc>
        <w:tc>
          <w:tcPr>
            <w:tcW w:w="2266" w:type="dxa"/>
            <w:vMerge w:val="continue"/>
            <w:tcBorders/>
          </w:tcPr>
          <w:p>
            <w:pPr>
              <w:pStyle w:val="Style28"/>
              <w:widowControl w:val="false"/>
              <w:suppressAutoHyphens w:val="true"/>
              <w:spacing w:before="40" w:after="40"/>
              <w:jc w:val="center"/>
              <w:rPr>
                <w:bCs/>
                <w:sz w:val="24"/>
                <w:szCs w:val="24"/>
              </w:rPr>
            </w:pPr>
            <w:r>
              <w:rPr>
                <w:bCs/>
                <w:sz w:val="24"/>
                <w:szCs w:val="24"/>
              </w:rPr>
            </w:r>
          </w:p>
        </w:tc>
        <w:tc>
          <w:tcPr>
            <w:tcW w:w="2230" w:type="dxa"/>
            <w:vMerge w:val="continue"/>
            <w:tcBorders>
              <w:right w:val="nil"/>
            </w:tcBorders>
            <w:vAlign w:val="bottom"/>
          </w:tcPr>
          <w:p>
            <w:pPr>
              <w:pStyle w:val="Style28"/>
              <w:widowControl w:val="false"/>
              <w:suppressAutoHyphens w:val="true"/>
              <w:spacing w:before="40" w:after="40"/>
              <w:jc w:val="center"/>
              <w:rPr>
                <w:bCs/>
                <w:sz w:val="24"/>
                <w:szCs w:val="24"/>
              </w:rPr>
            </w:pPr>
            <w:r>
              <w:rPr>
                <w:bCs/>
                <w:sz w:val="24"/>
                <w:szCs w:val="24"/>
              </w:rPr>
            </w:r>
          </w:p>
        </w:tc>
      </w:tr>
      <w:tr>
        <w:trPr/>
        <w:tc>
          <w:tcPr>
            <w:tcW w:w="428" w:type="dxa"/>
            <w:tcBorders>
              <w:left w:val="nil"/>
            </w:tcBorders>
            <w:vAlign w:val="bottom"/>
          </w:tcPr>
          <w:p>
            <w:pPr>
              <w:pStyle w:val="Style28"/>
              <w:widowControl w:val="false"/>
              <w:suppressAutoHyphens w:val="true"/>
              <w:spacing w:before="40" w:after="40"/>
              <w:jc w:val="center"/>
              <w:rPr>
                <w:bCs/>
                <w:sz w:val="24"/>
                <w:szCs w:val="24"/>
              </w:rPr>
            </w:pPr>
            <w:r>
              <w:rPr>
                <w:rFonts w:eastAsia="Wingdings 3" w:cs="Wingdings 3" w:ascii="Wingdings 3" w:hAnsi="Wingdings 3"/>
                <w:bCs/>
                <w:kern w:val="0"/>
                <w:sz w:val="24"/>
                <w:szCs w:val="24"/>
                <w:lang w:val="ru-RU" w:eastAsia="en-US" w:bidi="ar-SA"/>
              </w:rPr>
              <w:sym w:font="Wingdings 3" w:char="f0d4"/>
            </w:r>
          </w:p>
        </w:tc>
        <w:tc>
          <w:tcPr>
            <w:tcW w:w="11344" w:type="dxa"/>
            <w:gridSpan w:val="6"/>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Открытие доступа к заявкам (подраздел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_Ref130221619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4.8</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r>
          </w:p>
        </w:tc>
        <w:tc>
          <w:tcPr>
            <w:tcW w:w="2230" w:type="dxa"/>
            <w:vMerge w:val="restart"/>
            <w:tcBorders>
              <w:right w:val="nil"/>
            </w:tcBorders>
            <w:vAlign w:val="center"/>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Отказ от проведения закупки (отмена закупки) по обстоятельствам непреодолимой силы в соответствии с гражданским законодательством</w:t>
              <w:br/>
              <w:t>(подраздел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_Ref126141962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4.16</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br/>
            </w:r>
            <w:r>
              <w:rPr>
                <w:rFonts w:eastAsia="Calibri" w:cs=""/>
                <w:bCs/>
                <w:i/>
                <w:iCs/>
                <w:kern w:val="0"/>
                <w:sz w:val="24"/>
                <w:szCs w:val="24"/>
                <w:lang w:val="ru-RU" w:eastAsia="en-US" w:bidi="ar-SA"/>
              </w:rPr>
              <w:t>(опциональная процедура закупки)</w:t>
            </w:r>
          </w:p>
        </w:tc>
      </w:tr>
      <w:tr>
        <w:trPr/>
        <w:tc>
          <w:tcPr>
            <w:tcW w:w="428" w:type="dxa"/>
            <w:tcBorders>
              <w:left w:val="nil"/>
            </w:tcBorders>
            <w:vAlign w:val="bottom"/>
          </w:tcPr>
          <w:p>
            <w:pPr>
              <w:pStyle w:val="Style28"/>
              <w:widowControl w:val="false"/>
              <w:suppressAutoHyphens w:val="true"/>
              <w:spacing w:before="40" w:after="40"/>
              <w:jc w:val="center"/>
              <w:rPr>
                <w:bCs/>
                <w:sz w:val="24"/>
                <w:szCs w:val="24"/>
              </w:rPr>
            </w:pPr>
            <w:r>
              <w:rPr>
                <w:rFonts w:eastAsia="Wingdings 3" w:cs="Wingdings 3" w:ascii="Wingdings 3" w:hAnsi="Wingdings 3"/>
                <w:bCs/>
                <w:kern w:val="0"/>
                <w:sz w:val="24"/>
                <w:szCs w:val="24"/>
                <w:lang w:val="ru-RU" w:eastAsia="en-US" w:bidi="ar-SA"/>
              </w:rPr>
              <w:sym w:font="Wingdings 3" w:char="f0d4"/>
            </w:r>
          </w:p>
        </w:tc>
        <w:tc>
          <w:tcPr>
            <w:tcW w:w="3334" w:type="dxa"/>
            <w:gridSpan w:val="2"/>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Рассмотрение заявок (отборочная стадия), в том числе (при необходимости) проведение аккредитации (подраздел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_Ref125362364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4.9</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r>
          </w:p>
        </w:tc>
        <w:tc>
          <w:tcPr>
            <w:tcW w:w="3334" w:type="dxa"/>
            <w:gridSpan w:val="2"/>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Применение законодательства о национальном режиме</w:t>
              <w:br/>
              <w:t>(предоставление национального режима или запрета)</w:t>
              <w:br/>
              <w:t>(подраздел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_Ref130985951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4.13</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r>
          </w:p>
        </w:tc>
        <w:tc>
          <w:tcPr>
            <w:tcW w:w="2410" w:type="dxa"/>
            <w:vMerge w:val="restart"/>
            <w:tcBorders/>
            <w:vAlign w:val="center"/>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Направление дополнительных запросов разъяснений заявок</w:t>
              <w:br/>
              <w:t>(подраздел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_Ref125362381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4.10</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br/>
            </w:r>
            <w:r>
              <w:rPr>
                <w:rFonts w:eastAsia="Calibri" w:cs=""/>
                <w:bCs/>
                <w:i/>
                <w:iCs/>
                <w:kern w:val="0"/>
                <w:sz w:val="24"/>
                <w:szCs w:val="24"/>
                <w:lang w:val="ru-RU" w:eastAsia="en-US" w:bidi="ar-SA"/>
              </w:rPr>
              <w:t>(опциональная процедура закупки)</w:t>
            </w:r>
          </w:p>
        </w:tc>
        <w:tc>
          <w:tcPr>
            <w:tcW w:w="2266" w:type="dxa"/>
            <w:vMerge w:val="restart"/>
            <w:tcBorders/>
            <w:vAlign w:val="center"/>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Признание закупки</w:t>
              <w:br/>
              <w:t>несостоявшейся</w:t>
              <w:br/>
              <w:t>(подраздел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_Ref125364149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4.15</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br/>
            </w:r>
            <w:r>
              <w:rPr>
                <w:rFonts w:eastAsia="Calibri" w:cs=""/>
                <w:bCs/>
                <w:i/>
                <w:iCs/>
                <w:kern w:val="0"/>
                <w:sz w:val="24"/>
                <w:szCs w:val="24"/>
                <w:lang w:val="ru-RU" w:eastAsia="en-US" w:bidi="ar-SA"/>
              </w:rPr>
              <w:t>(опциональная процедура закупки)</w:t>
            </w:r>
          </w:p>
        </w:tc>
        <w:tc>
          <w:tcPr>
            <w:tcW w:w="2230" w:type="dxa"/>
            <w:vMerge w:val="continue"/>
            <w:tcBorders>
              <w:right w:val="nil"/>
            </w:tcBorders>
          </w:tcPr>
          <w:p>
            <w:pPr>
              <w:pStyle w:val="Style28"/>
              <w:widowControl w:val="false"/>
              <w:suppressAutoHyphens w:val="true"/>
              <w:spacing w:before="40" w:after="40"/>
              <w:jc w:val="center"/>
              <w:rPr>
                <w:bCs/>
                <w:sz w:val="24"/>
                <w:szCs w:val="24"/>
              </w:rPr>
            </w:pPr>
            <w:r>
              <w:rPr>
                <w:bCs/>
                <w:sz w:val="24"/>
                <w:szCs w:val="24"/>
              </w:rPr>
            </w:r>
          </w:p>
        </w:tc>
      </w:tr>
      <w:tr>
        <w:trPr/>
        <w:tc>
          <w:tcPr>
            <w:tcW w:w="428" w:type="dxa"/>
            <w:tcBorders>
              <w:left w:val="nil"/>
            </w:tcBorders>
            <w:vAlign w:val="bottom"/>
          </w:tcPr>
          <w:p>
            <w:pPr>
              <w:pStyle w:val="Style28"/>
              <w:widowControl w:val="false"/>
              <w:suppressAutoHyphens w:val="true"/>
              <w:spacing w:before="40" w:after="40"/>
              <w:jc w:val="center"/>
              <w:rPr>
                <w:bCs/>
                <w:sz w:val="24"/>
                <w:szCs w:val="24"/>
              </w:rPr>
            </w:pPr>
            <w:r>
              <w:rPr>
                <w:rFonts w:eastAsia="Wingdings 3" w:cs="Wingdings 3" w:ascii="Wingdings 3" w:hAnsi="Wingdings 3"/>
                <w:bCs/>
                <w:kern w:val="0"/>
                <w:sz w:val="24"/>
                <w:szCs w:val="24"/>
                <w:lang w:val="ru-RU" w:eastAsia="en-US" w:bidi="ar-SA"/>
              </w:rPr>
              <w:sym w:font="Wingdings 3" w:char="f0d4"/>
            </w:r>
          </w:p>
        </w:tc>
        <w:tc>
          <w:tcPr>
            <w:tcW w:w="6668" w:type="dxa"/>
            <w:gridSpan w:val="4"/>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Переторжка (подраздел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_Ref127536359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4.11</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br/>
            </w:r>
            <w:r>
              <w:rPr>
                <w:rFonts w:eastAsia="Calibri" w:cs=""/>
                <w:bCs/>
                <w:i/>
                <w:iCs/>
                <w:kern w:val="0"/>
                <w:sz w:val="24"/>
                <w:szCs w:val="24"/>
                <w:lang w:val="ru-RU" w:eastAsia="en-US" w:bidi="ar-SA"/>
              </w:rPr>
              <w:t>(опциональная процедура закупки)</w:t>
            </w:r>
          </w:p>
        </w:tc>
        <w:tc>
          <w:tcPr>
            <w:tcW w:w="2410" w:type="dxa"/>
            <w:vMerge w:val="continue"/>
            <w:tcBorders/>
          </w:tcPr>
          <w:p>
            <w:pPr>
              <w:pStyle w:val="Style28"/>
              <w:widowControl w:val="false"/>
              <w:suppressAutoHyphens w:val="true"/>
              <w:spacing w:before="40" w:after="40"/>
              <w:jc w:val="center"/>
              <w:rPr>
                <w:bCs/>
                <w:sz w:val="24"/>
                <w:szCs w:val="24"/>
              </w:rPr>
            </w:pPr>
            <w:r>
              <w:rPr>
                <w:bCs/>
                <w:sz w:val="24"/>
                <w:szCs w:val="24"/>
              </w:rPr>
            </w:r>
          </w:p>
        </w:tc>
        <w:tc>
          <w:tcPr>
            <w:tcW w:w="2266" w:type="dxa"/>
            <w:vMerge w:val="continue"/>
            <w:tcBorders/>
          </w:tcPr>
          <w:p>
            <w:pPr>
              <w:pStyle w:val="Style28"/>
              <w:widowControl w:val="false"/>
              <w:suppressAutoHyphens w:val="true"/>
              <w:spacing w:before="40" w:after="40"/>
              <w:jc w:val="center"/>
              <w:rPr>
                <w:bCs/>
                <w:sz w:val="24"/>
                <w:szCs w:val="24"/>
              </w:rPr>
            </w:pPr>
            <w:r>
              <w:rPr>
                <w:bCs/>
                <w:sz w:val="24"/>
                <w:szCs w:val="24"/>
              </w:rPr>
            </w:r>
          </w:p>
        </w:tc>
        <w:tc>
          <w:tcPr>
            <w:tcW w:w="2230" w:type="dxa"/>
            <w:vMerge w:val="continue"/>
            <w:tcBorders>
              <w:right w:val="nil"/>
            </w:tcBorders>
          </w:tcPr>
          <w:p>
            <w:pPr>
              <w:pStyle w:val="Style28"/>
              <w:widowControl w:val="false"/>
              <w:suppressAutoHyphens w:val="true"/>
              <w:spacing w:before="40" w:after="40"/>
              <w:jc w:val="center"/>
              <w:rPr>
                <w:bCs/>
                <w:sz w:val="24"/>
                <w:szCs w:val="24"/>
              </w:rPr>
            </w:pPr>
            <w:r>
              <w:rPr>
                <w:bCs/>
                <w:sz w:val="24"/>
                <w:szCs w:val="24"/>
              </w:rPr>
            </w:r>
          </w:p>
        </w:tc>
      </w:tr>
      <w:tr>
        <w:trPr>
          <w:trHeight w:val="881" w:hRule="atLeast"/>
        </w:trPr>
        <w:tc>
          <w:tcPr>
            <w:tcW w:w="428" w:type="dxa"/>
            <w:tcBorders>
              <w:left w:val="nil"/>
            </w:tcBorders>
            <w:vAlign w:val="bottom"/>
          </w:tcPr>
          <w:p>
            <w:pPr>
              <w:pStyle w:val="Style28"/>
              <w:widowControl w:val="false"/>
              <w:suppressAutoHyphens w:val="true"/>
              <w:spacing w:before="40" w:after="40"/>
              <w:jc w:val="center"/>
              <w:rPr>
                <w:bCs/>
                <w:sz w:val="24"/>
                <w:szCs w:val="24"/>
              </w:rPr>
            </w:pPr>
            <w:r>
              <w:rPr>
                <w:rFonts w:eastAsia="Wingdings 3" w:cs="Wingdings 3" w:ascii="Wingdings 3" w:hAnsi="Wingdings 3"/>
                <w:bCs/>
                <w:kern w:val="0"/>
                <w:sz w:val="24"/>
                <w:szCs w:val="24"/>
                <w:lang w:val="ru-RU" w:eastAsia="en-US" w:bidi="ar-SA"/>
              </w:rPr>
              <w:sym w:font="Wingdings 3" w:char="f0d4"/>
            </w:r>
          </w:p>
        </w:tc>
        <w:tc>
          <w:tcPr>
            <w:tcW w:w="3334" w:type="dxa"/>
            <w:gridSpan w:val="2"/>
            <w:tcBorders/>
            <w:vAlign w:val="center"/>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Оценка и сопоставление заявок</w:t>
              <w:br/>
              <w:t>(подраздел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_Ref125362626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4.12</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r>
          </w:p>
        </w:tc>
        <w:tc>
          <w:tcPr>
            <w:tcW w:w="3334" w:type="dxa"/>
            <w:gridSpan w:val="2"/>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Применение законодательства о национальном режиме</w:t>
              <w:br/>
              <w:t>(в части учета установленного преимущества в цене предложения, если применимо)</w:t>
              <w:br/>
              <w:t>(подраздел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_Ref130985951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4.13</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r>
          </w:p>
        </w:tc>
        <w:tc>
          <w:tcPr>
            <w:tcW w:w="2410" w:type="dxa"/>
            <w:vMerge w:val="continue"/>
            <w:tcBorders/>
          </w:tcPr>
          <w:p>
            <w:pPr>
              <w:pStyle w:val="Style28"/>
              <w:widowControl w:val="false"/>
              <w:suppressAutoHyphens w:val="true"/>
              <w:spacing w:before="40" w:after="40"/>
              <w:jc w:val="center"/>
              <w:rPr>
                <w:bCs/>
                <w:sz w:val="24"/>
                <w:szCs w:val="24"/>
              </w:rPr>
            </w:pPr>
            <w:r>
              <w:rPr>
                <w:bCs/>
                <w:sz w:val="24"/>
                <w:szCs w:val="24"/>
              </w:rPr>
            </w:r>
          </w:p>
        </w:tc>
        <w:tc>
          <w:tcPr>
            <w:tcW w:w="2266" w:type="dxa"/>
            <w:vMerge w:val="continue"/>
            <w:tcBorders/>
          </w:tcPr>
          <w:p>
            <w:pPr>
              <w:pStyle w:val="Style28"/>
              <w:widowControl w:val="false"/>
              <w:suppressAutoHyphens w:val="true"/>
              <w:spacing w:before="40" w:after="40"/>
              <w:jc w:val="center"/>
              <w:rPr>
                <w:bCs/>
                <w:sz w:val="24"/>
                <w:szCs w:val="24"/>
              </w:rPr>
            </w:pPr>
            <w:r>
              <w:rPr>
                <w:bCs/>
                <w:sz w:val="24"/>
                <w:szCs w:val="24"/>
              </w:rPr>
            </w:r>
          </w:p>
        </w:tc>
        <w:tc>
          <w:tcPr>
            <w:tcW w:w="2230" w:type="dxa"/>
            <w:vMerge w:val="continue"/>
            <w:tcBorders>
              <w:right w:val="nil"/>
            </w:tcBorders>
          </w:tcPr>
          <w:p>
            <w:pPr>
              <w:pStyle w:val="Style28"/>
              <w:widowControl w:val="false"/>
              <w:suppressAutoHyphens w:val="true"/>
              <w:spacing w:before="40" w:after="40"/>
              <w:jc w:val="center"/>
              <w:rPr>
                <w:bCs/>
                <w:sz w:val="24"/>
                <w:szCs w:val="24"/>
              </w:rPr>
            </w:pPr>
            <w:r>
              <w:rPr>
                <w:bCs/>
                <w:sz w:val="24"/>
                <w:szCs w:val="24"/>
              </w:rPr>
            </w:r>
          </w:p>
        </w:tc>
      </w:tr>
      <w:tr>
        <w:trPr/>
        <w:tc>
          <w:tcPr>
            <w:tcW w:w="428" w:type="dxa"/>
            <w:tcBorders>
              <w:left w:val="nil"/>
            </w:tcBorders>
            <w:vAlign w:val="bottom"/>
          </w:tcPr>
          <w:p>
            <w:pPr>
              <w:pStyle w:val="Style28"/>
              <w:widowControl w:val="false"/>
              <w:suppressAutoHyphens w:val="true"/>
              <w:spacing w:before="40" w:after="40"/>
              <w:jc w:val="center"/>
              <w:rPr>
                <w:bCs/>
                <w:sz w:val="24"/>
                <w:szCs w:val="24"/>
              </w:rPr>
            </w:pPr>
            <w:r>
              <w:rPr>
                <w:rFonts w:eastAsia="Wingdings 3" w:cs="Wingdings 3" w:ascii="Wingdings 3" w:hAnsi="Wingdings 3"/>
                <w:bCs/>
                <w:kern w:val="0"/>
                <w:sz w:val="24"/>
                <w:szCs w:val="24"/>
                <w:lang w:val="ru-RU" w:eastAsia="en-US" w:bidi="ar-SA"/>
              </w:rPr>
              <w:sym w:font="Wingdings 3" w:char="f0d4"/>
            </w:r>
          </w:p>
        </w:tc>
        <w:tc>
          <w:tcPr>
            <w:tcW w:w="9078" w:type="dxa"/>
            <w:gridSpan w:val="5"/>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Подведение итогов закупки (определение Победителя) (подраздел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_Ref125362658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4.14</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r>
          </w:p>
        </w:tc>
        <w:tc>
          <w:tcPr>
            <w:tcW w:w="2266" w:type="dxa"/>
            <w:vMerge w:val="continue"/>
            <w:tcBorders/>
          </w:tcPr>
          <w:p>
            <w:pPr>
              <w:pStyle w:val="Style28"/>
              <w:widowControl w:val="false"/>
              <w:suppressAutoHyphens w:val="true"/>
              <w:spacing w:before="40" w:after="40"/>
              <w:jc w:val="center"/>
              <w:rPr>
                <w:bCs/>
                <w:sz w:val="24"/>
                <w:szCs w:val="24"/>
              </w:rPr>
            </w:pPr>
            <w:r>
              <w:rPr>
                <w:bCs/>
                <w:sz w:val="24"/>
                <w:szCs w:val="24"/>
              </w:rPr>
            </w:r>
          </w:p>
        </w:tc>
        <w:tc>
          <w:tcPr>
            <w:tcW w:w="2230" w:type="dxa"/>
            <w:vMerge w:val="continue"/>
            <w:tcBorders>
              <w:right w:val="nil"/>
            </w:tcBorders>
          </w:tcPr>
          <w:p>
            <w:pPr>
              <w:pStyle w:val="Style28"/>
              <w:widowControl w:val="false"/>
              <w:suppressAutoHyphens w:val="true"/>
              <w:spacing w:before="40" w:after="40"/>
              <w:jc w:val="center"/>
              <w:rPr>
                <w:bCs/>
                <w:sz w:val="24"/>
                <w:szCs w:val="24"/>
              </w:rPr>
            </w:pPr>
            <w:r>
              <w:rPr>
                <w:bCs/>
                <w:sz w:val="24"/>
                <w:szCs w:val="24"/>
              </w:rPr>
            </w:r>
          </w:p>
        </w:tc>
      </w:tr>
      <w:tr>
        <w:trPr/>
        <w:tc>
          <w:tcPr>
            <w:tcW w:w="428" w:type="dxa"/>
            <w:tcBorders>
              <w:left w:val="nil"/>
            </w:tcBorders>
            <w:vAlign w:val="bottom"/>
          </w:tcPr>
          <w:p>
            <w:pPr>
              <w:pStyle w:val="Style28"/>
              <w:widowControl w:val="false"/>
              <w:suppressAutoHyphens w:val="true"/>
              <w:spacing w:before="40" w:after="40"/>
              <w:jc w:val="center"/>
              <w:rPr>
                <w:bCs/>
                <w:sz w:val="24"/>
                <w:szCs w:val="24"/>
                <w:u w:val="single"/>
              </w:rPr>
            </w:pPr>
            <w:r>
              <w:rPr>
                <w:rFonts w:eastAsia="Wingdings 3" w:cs="Wingdings 3" w:ascii="Wingdings 3" w:hAnsi="Wingdings 3"/>
                <w:bCs/>
                <w:kern w:val="0"/>
                <w:sz w:val="24"/>
                <w:szCs w:val="24"/>
                <w:u w:val="single"/>
                <w:lang w:val="ru-RU" w:eastAsia="en-US" w:bidi="ar-SA"/>
              </w:rPr>
              <w:sym w:font="Wingdings 3" w:char="f0d4"/>
            </w:r>
          </w:p>
        </w:tc>
        <w:tc>
          <w:tcPr>
            <w:tcW w:w="2221" w:type="dxa"/>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Заключение Договора</w:t>
              <w:br/>
              <w:t>(подраздел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_Ref138232981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5.2</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r>
          </w:p>
        </w:tc>
        <w:tc>
          <w:tcPr>
            <w:tcW w:w="2222" w:type="dxa"/>
            <w:gridSpan w:val="2"/>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Применение законодательства о национальном режиме</w:t>
              <w:br/>
              <w:t>(в части ограничения на стадии заключения договора)</w:t>
              <w:br/>
              <w:t>(подраздел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_Ref130985951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4.13</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r>
          </w:p>
        </w:tc>
        <w:tc>
          <w:tcPr>
            <w:tcW w:w="4635" w:type="dxa"/>
            <w:gridSpan w:val="2"/>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Проведение преддоговорных переговоров</w:t>
              <w:br/>
              <w:t>(подраздел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_Ref125552570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5.3</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br/>
            </w:r>
            <w:r>
              <w:rPr>
                <w:rFonts w:eastAsia="Calibri" w:cs=""/>
                <w:bCs/>
                <w:i/>
                <w:iCs/>
                <w:kern w:val="0"/>
                <w:sz w:val="24"/>
                <w:szCs w:val="24"/>
                <w:lang w:val="ru-RU" w:eastAsia="en-US" w:bidi="ar-SA"/>
              </w:rPr>
              <w:t>(опциональная процедура закупки)</w:t>
            </w:r>
          </w:p>
        </w:tc>
        <w:tc>
          <w:tcPr>
            <w:tcW w:w="4496" w:type="dxa"/>
            <w:gridSpan w:val="2"/>
            <w:tcBorders>
              <w:right w:val="nil"/>
            </w:tcBorders>
          </w:tcPr>
          <w:p>
            <w:pPr>
              <w:pStyle w:val="Style28"/>
              <w:widowControl w:val="false"/>
              <w:suppressAutoHyphens w:val="true"/>
              <w:spacing w:before="40" w:after="40"/>
              <w:jc w:val="center"/>
              <w:rPr>
                <w:bCs/>
                <w:sz w:val="24"/>
                <w:szCs w:val="24"/>
              </w:rPr>
            </w:pPr>
            <w:r>
              <w:rPr>
                <w:rFonts w:eastAsia="Calibri" w:cs=""/>
                <w:bCs/>
                <w:kern w:val="0"/>
                <w:sz w:val="24"/>
                <w:szCs w:val="24"/>
                <w:lang w:val="ru-RU" w:eastAsia="en-US" w:bidi="ar-SA"/>
              </w:rPr>
              <w:t>Уклонение Победителя</w:t>
              <w:br/>
              <w:t>от заключения Договора (подраздел </w:t>
            </w:r>
            <w:r>
              <w:rPr>
                <w:rFonts w:eastAsia="Calibri" w:cs=""/>
                <w:bCs/>
                <w:kern w:val="0"/>
                <w:sz w:val="24"/>
                <w:szCs w:val="24"/>
                <w:lang w:val="ru-RU" w:eastAsia="en-US" w:bidi="ar-SA"/>
              </w:rPr>
              <w:fldChar w:fldCharType="begin"/>
            </w:r>
            <w:r>
              <w:rPr>
                <w:sz w:val="24"/>
                <w:kern w:val="0"/>
                <w:szCs w:val="24"/>
                <w:bCs/>
                <w:rFonts w:eastAsia="Calibri" w:cs=""/>
                <w:lang w:val="ru-RU" w:eastAsia="en-US" w:bidi="ar-SA"/>
              </w:rPr>
              <w:instrText xml:space="preserve"> REF _Ref125367068 \r \h </w:instrText>
            </w:r>
            <w:r>
              <w:rPr>
                <w:sz w:val="24"/>
                <w:kern w:val="0"/>
                <w:szCs w:val="24"/>
                <w:bCs/>
                <w:rFonts w:eastAsia="Calibri" w:cs=""/>
                <w:lang w:val="ru-RU" w:eastAsia="en-US" w:bidi="ar-SA"/>
              </w:rPr>
              <w:fldChar w:fldCharType="separate"/>
            </w:r>
            <w:r>
              <w:rPr>
                <w:sz w:val="24"/>
                <w:kern w:val="0"/>
                <w:szCs w:val="24"/>
                <w:bCs/>
                <w:rFonts w:eastAsia="Calibri" w:cs=""/>
                <w:lang w:val="ru-RU" w:eastAsia="en-US" w:bidi="ar-SA"/>
              </w:rPr>
              <w:t>5.4</w:t>
            </w:r>
            <w:r>
              <w:rPr>
                <w:sz w:val="24"/>
                <w:kern w:val="0"/>
                <w:szCs w:val="24"/>
                <w:bCs/>
                <w:rFonts w:eastAsia="Calibri" w:cs=""/>
                <w:lang w:val="ru-RU" w:eastAsia="en-US" w:bidi="ar-SA"/>
              </w:rPr>
              <w:fldChar w:fldCharType="end"/>
            </w:r>
            <w:r>
              <w:rPr>
                <w:rFonts w:eastAsia="Calibri" w:cs=""/>
                <w:bCs/>
                <w:kern w:val="0"/>
                <w:sz w:val="24"/>
                <w:szCs w:val="24"/>
                <w:lang w:val="ru-RU" w:eastAsia="en-US" w:bidi="ar-SA"/>
              </w:rPr>
              <w:t>)</w:t>
              <w:br/>
            </w:r>
            <w:r>
              <w:rPr>
                <w:rFonts w:eastAsia="Calibri" w:cs=""/>
                <w:bCs/>
                <w:i/>
                <w:iCs/>
                <w:kern w:val="0"/>
                <w:sz w:val="24"/>
                <w:szCs w:val="24"/>
                <w:lang w:val="ru-RU" w:eastAsia="en-US" w:bidi="ar-SA"/>
              </w:rPr>
              <w:t>(опциональная процедура закупки)</w:t>
            </w:r>
          </w:p>
        </w:tc>
      </w:tr>
    </w:tbl>
    <w:p>
      <w:pPr>
        <w:sectPr>
          <w:headerReference w:type="default" r:id="rId8"/>
          <w:headerReference w:type="first" r:id="rId9"/>
          <w:footerReference w:type="default" r:id="rId10"/>
          <w:footerReference w:type="first" r:id="rId11"/>
          <w:footnotePr>
            <w:numFmt w:val="decimal"/>
          </w:footnotePr>
          <w:type w:val="nextPage"/>
          <w:pgSz w:orient="landscape" w:w="16838" w:h="11906"/>
          <w:pgMar w:left="851" w:right="851" w:gutter="0" w:header="567" w:top="1134" w:footer="567" w:bottom="850"/>
          <w:pgNumType w:fmt="decimal"/>
          <w:formProt w:val="false"/>
          <w:textDirection w:val="lrTb"/>
          <w:docGrid w:type="default" w:linePitch="360" w:charSpace="0"/>
        </w:sectPr>
      </w:pPr>
    </w:p>
    <w:p>
      <w:pPr>
        <w:pStyle w:val="Style23"/>
        <w:rPr/>
      </w:pPr>
      <w:bookmarkStart w:id="102" w:name="_Toc188004671"/>
      <w:bookmarkStart w:id="103" w:name="_Ref130286532"/>
      <w:r>
        <w:rPr/>
        <w:t>Официальное размещение Извещения и Документации о закупке</w:t>
      </w:r>
      <w:bookmarkEnd w:id="102"/>
      <w:bookmarkEnd w:id="103"/>
    </w:p>
    <w:p>
      <w:pPr>
        <w:pStyle w:val="Style24"/>
        <w:rPr/>
      </w:pPr>
      <w:r>
        <w:rPr/>
        <w:t>Извещение и Документация о закупке официально размещены на ЭП и доступны для ознакомления без взимания платы. Иные публикации не влекут для Организатора никаких последствий.</w:t>
      </w:r>
    </w:p>
    <w:p>
      <w:pPr>
        <w:pStyle w:val="Style24"/>
        <w:rPr/>
      </w:pPr>
      <w:r>
        <w:rPr/>
        <w:t>При возникновении технических или иных неполадок, блокирующих доступ к ЭП в течение более чем 1 (одного) рабочего дня, информация размещается на официальном сайте Заказчика с последующим размещением ее на ЭП в течение 1 (одного) рабочего дня со дня устранения указанных неполадок.</w:t>
      </w:r>
    </w:p>
    <w:p>
      <w:pPr>
        <w:pStyle w:val="Style24"/>
        <w:rPr/>
      </w:pPr>
      <w:bookmarkStart w:id="104" w:name="_Ref125362785"/>
      <w:r>
        <w:rPr/>
        <w:t>Порядок получения информации через ЭП определяется Регламентом ЭП, с использованием которой проводится закупка.</w:t>
      </w:r>
      <w:bookmarkEnd w:id="104"/>
    </w:p>
    <w:p>
      <w:pPr>
        <w:pStyle w:val="Style24"/>
        <w:rPr/>
      </w:pPr>
      <w:r>
        <w:rPr/>
        <w:t>Участники обязаны самостоятельно отслеживать официально размещенные разъяснения и изменения Извещения, Документации о закупке, а также информацию о принятых в ходе проведения закупки решениях.</w:t>
      </w:r>
    </w:p>
    <w:p>
      <w:pPr>
        <w:pStyle w:val="Style23"/>
        <w:rPr/>
      </w:pPr>
      <w:bookmarkStart w:id="105" w:name="_Toc188004672"/>
      <w:bookmarkStart w:id="106" w:name="_Ref130394681"/>
      <w:bookmarkStart w:id="107" w:name="_Ref130281199"/>
      <w:r>
        <w:rPr/>
        <w:t>Подготовка заявки</w:t>
      </w:r>
      <w:bookmarkEnd w:id="105"/>
      <w:bookmarkEnd w:id="106"/>
      <w:bookmarkEnd w:id="107"/>
    </w:p>
    <w:p>
      <w:pPr>
        <w:pStyle w:val="Style24"/>
        <w:rPr/>
      </w:pPr>
      <w:r>
        <w:rPr/>
        <w:t>Участник должен подготовить заявку с учетом требований Документации о закупке.</w:t>
      </w:r>
    </w:p>
    <w:p>
      <w:pPr>
        <w:pStyle w:val="Style24"/>
        <w:rPr/>
      </w:pPr>
      <w:r>
        <w:rPr/>
        <w:t>Участник самостоятельно несет все расходы, связанные с подготовкой и подачей заявки (подраздел </w:t>
      </w:r>
      <w:r>
        <w:rPr/>
        <w:fldChar w:fldCharType="begin"/>
      </w:r>
      <w:r>
        <w:rPr/>
        <w:instrText xml:space="preserve"> REF _Ref125362119 \r \h </w:instrText>
      </w:r>
      <w:r>
        <w:rPr/>
        <w:fldChar w:fldCharType="separate"/>
      </w:r>
      <w:r>
        <w:rPr/>
        <w:t>4.6</w:t>
      </w:r>
      <w:r>
        <w:rPr/>
        <w:fldChar w:fldCharType="end"/>
      </w:r>
      <w:r>
        <w:rPr/>
        <w:t>), а Организатор (Заказчик) по этим расходам не отвечает и не имеет обязательств (в том числе по возврату Участнику материалов и документов, входящих в состав его заявки), независимо от хода и результатов закупки, за исключением случаев, прямо предусмотренных Положением о закупке или Документацией о закупке.</w:t>
      </w:r>
    </w:p>
    <w:p>
      <w:pPr>
        <w:pStyle w:val="Style24"/>
        <w:rPr/>
      </w:pPr>
      <w:r>
        <w:rPr/>
        <w:t xml:space="preserve">Участник должен подготовить заявку, включающую в себя полный комплект документов согласно перечню, определенному </w:t>
      </w:r>
      <w:hyperlink w:anchor="Прил06_СоставЗаявки">
        <w:r>
          <w:rPr>
            <w:rStyle w:val="Style13"/>
          </w:rPr>
          <w:t>Приложением № 6 – Состав заявки</w:t>
        </w:r>
      </w:hyperlink>
      <w:r>
        <w:rPr/>
        <w:t xml:space="preserve">. Образцы форм документов, включаемых в состав заявки, а также инструкции по их подготовке, приведены в </w:t>
      </w:r>
      <w:hyperlink w:anchor="Прил04_ФормыЗаявки">
        <w:r>
          <w:rPr>
            <w:rStyle w:val="Style13"/>
          </w:rPr>
          <w:t>Приложение № 4</w:t>
        </w:r>
      </w:hyperlink>
      <w:r>
        <w:rPr/>
        <w:t>.</w:t>
      </w:r>
    </w:p>
    <w:p>
      <w:pPr>
        <w:pStyle w:val="Style24"/>
        <w:rPr/>
      </w:pPr>
      <w:bookmarkStart w:id="108" w:name="_Ref125365866"/>
      <w:bookmarkStart w:id="109" w:name="_Ref130394854"/>
      <w:r>
        <w:rPr/>
        <w:t>Участник имеет право подать только одну заявку. При этом не допускается подача заявки на часть лота по отдельным видам или объемам продукции. В случае нарушения этого требования (при получении двух и более заявок от одного Участника в рамках одного лота) все поданные им заявки подлежат отклонению.</w:t>
      </w:r>
      <w:bookmarkEnd w:id="108"/>
      <w:bookmarkEnd w:id="109"/>
    </w:p>
    <w:p>
      <w:pPr>
        <w:pStyle w:val="Style24"/>
        <w:rPr/>
      </w:pPr>
      <w:r>
        <w:rPr/>
        <w:t>Заявка должна быть действительна в течение срока проведения закупки и до истечения срока, отведенного на заключение Договора (пункт </w:t>
      </w:r>
      <w:r>
        <w:rPr/>
        <w:fldChar w:fldCharType="begin"/>
      </w:r>
      <w:r>
        <w:rPr/>
        <w:instrText xml:space="preserve"> REF _Ref130293821 \r \h </w:instrText>
      </w:r>
      <w:r>
        <w:rPr/>
        <w:fldChar w:fldCharType="separate"/>
      </w:r>
      <w:r>
        <w:rPr/>
        <w:t>5.2.1</w:t>
      </w:r>
      <w:r>
        <w:rPr/>
        <w:fldChar w:fldCharType="end"/>
      </w:r>
      <w:r>
        <w:rPr/>
        <w:t>). В любом случае этот срок должен быть не менее чем 90 (девяносто) календарных дней с даты окончания срока подачи заявок (подраздел </w:t>
      </w:r>
      <w:r>
        <w:rPr/>
        <w:fldChar w:fldCharType="begin"/>
      </w:r>
      <w:r>
        <w:rPr/>
        <w:instrText xml:space="preserve"> REF _Ref125359973 \r \h </w:instrText>
      </w:r>
      <w:r>
        <w:rPr/>
        <w:fldChar w:fldCharType="separate"/>
      </w:r>
      <w:r>
        <w:rPr/>
        <w:t>1.2</w:t>
      </w:r>
      <w:r>
        <w:rPr/>
        <w:fldChar w:fldCharType="end"/>
      </w:r>
      <w:r>
        <w:rPr/>
        <w:t>). Указание меньшего срока действия заявки в Письме о подаче оферты (форма 2) (</w:t>
      </w:r>
      <w:hyperlink w:anchor="Прил04_ФормыЗаявки">
        <w:r>
          <w:rPr>
            <w:rStyle w:val="Style13"/>
          </w:rPr>
          <w:t>Приложение № 4</w:t>
        </w:r>
      </w:hyperlink>
      <w:r>
        <w:rPr/>
        <w:t>) может служить основанием для отклонения заявки.</w:t>
      </w:r>
    </w:p>
    <w:p>
      <w:pPr>
        <w:pStyle w:val="Style24"/>
        <w:rPr/>
      </w:pPr>
      <w:r>
        <w:rPr/>
        <w:t>Все документы, входящие в состав заявки, должны быть подготовлены на русском языке. Исключение составляют документы, оригиналы которых выданы Участнику третьими лицами на ином языке: они могут быть представлены на языке оригинала при условии, что к ним приложен перевод этих документов на русский язык (в специально оговоренных случаях – с апостилем согласно Гаагской конвенции 1961 года). Наличие противоречий между оригиналом документа и его переводом, которые искажают содержание представленного документа, будет расцениваться Организатором как предоставление недостоверных сведений. Организатор вправе не рассматривать документы, не переведенные на русский язык.</w:t>
      </w:r>
    </w:p>
    <w:p>
      <w:pPr>
        <w:pStyle w:val="Style24"/>
        <w:rPr/>
      </w:pPr>
      <w:r>
        <w:rPr/>
        <w:t>Все суммы денежных средств в документах, входящих в состав заявки, должны быть выражены в российских рублях. Исключение составляют документы, оригиналы которых выданы Участнику третьими лицами с выражением сумм денежных средств в иных валютах: они могут быть представлены в валюте оригинала при условии, что к ним будут приложены комментарии с переводом этих сумм в российские рубли (по официальному курсу валюты, установленному Центральным банком Российской Федерации на дату выдачи документа, с указанием такого курса).</w:t>
      </w:r>
    </w:p>
    <w:p>
      <w:pPr>
        <w:pStyle w:val="Style24"/>
        <w:rPr/>
      </w:pPr>
      <w:bookmarkStart w:id="110" w:name="_Ref125370708"/>
      <w:bookmarkStart w:id="111" w:name="_Ref125370700"/>
      <w:r>
        <w:rPr/>
        <w:t>Итоговая стоимость заявки (цена Договора) без учета НДС не должна превышать установленную Заказчиком НМЦ (подраздел </w:t>
      </w:r>
      <w:r>
        <w:rPr/>
        <w:fldChar w:fldCharType="begin"/>
      </w:r>
      <w:r>
        <w:rPr/>
        <w:instrText xml:space="preserve"> REF _Ref125359973 \r \h </w:instrText>
      </w:r>
      <w:r>
        <w:rPr/>
        <w:fldChar w:fldCharType="separate"/>
      </w:r>
      <w:r>
        <w:rPr/>
        <w:t>1.2</w:t>
      </w:r>
      <w:r>
        <w:rPr/>
        <w:fldChar w:fldCharType="end"/>
      </w:r>
      <w:r>
        <w:rPr/>
        <w:t>), в противном случае заявка будет отклонена.</w:t>
      </w:r>
    </w:p>
    <w:p>
      <w:pPr>
        <w:pStyle w:val="Style24"/>
        <w:rPr/>
      </w:pPr>
      <w:r>
        <w:rPr/>
        <w:t xml:space="preserve">Итоговая стоимость заявки (цена Договора) должна включать в себя сумму всех расходов, предусмотренных </w:t>
      </w:r>
      <w:hyperlink w:anchor="Прил01_ТехТребования">
        <w:r>
          <w:rPr>
            <w:rStyle w:val="Style13"/>
          </w:rPr>
          <w:t>Техническими требованиями (Приложение № 1)</w:t>
        </w:r>
      </w:hyperlink>
      <w:r>
        <w:rPr/>
        <w:t xml:space="preserve"> и </w:t>
      </w:r>
      <w:hyperlink w:anchor="Прил02_ПроектДоговора">
        <w:r>
          <w:rPr>
            <w:rStyle w:val="Style13"/>
          </w:rPr>
          <w:t>Проектом договора (Приложение № 2)</w:t>
        </w:r>
      </w:hyperlink>
      <w:r>
        <w:rPr/>
        <w:t>, а также сумму налогов и других обязательных платежей, подлежащих уплате в соответствии с нормами законодательства (если иное не установлено Документацией о закупке). При этом сумма НДС (в случае его уплаты) выделяется отдельно и не входит в итоговую стоимость заявки Участника, являющегося плательщиком НДС.</w:t>
      </w:r>
      <w:bookmarkEnd w:id="110"/>
      <w:bookmarkEnd w:id="111"/>
    </w:p>
    <w:p>
      <w:pPr>
        <w:pStyle w:val="Style24"/>
        <w:rPr/>
      </w:pPr>
      <w:r>
        <w:rPr/>
        <w:t>В качестве Технического предложения Участник в составе заявки предоставляет по установленной форме (форма 4; Приложение № 4) согласие (декларацию) на поставку продукции на условиях, указанных в Документации о закупке, в том числе в Технических требованиях (Приложение № 1), и не подлежащих изменению по результатам проведения закупки (без подробных предложений). В случае нарушения Участником требований к описанию продукции Организатор вправе отклонить заявку такого Участника от дальнейшего участия в закупке.</w:t>
      </w:r>
    </w:p>
    <w:p>
      <w:pPr>
        <w:pStyle w:val="Style24"/>
        <w:keepNext w:val="true"/>
        <w:rPr/>
      </w:pPr>
      <w:r>
        <w:rPr/>
        <w:t>Документы, входящие в заявку, не должны содержать недостоверные сведения или намеренно искаженную информацию. Также должны отсутствовать:</w:t>
      </w:r>
    </w:p>
    <w:p>
      <w:pPr>
        <w:pStyle w:val="Style25"/>
        <w:rPr/>
      </w:pPr>
      <w:r>
        <w:rPr/>
        <w:t>внутренние противоречия между различными частями и (или) документами заявки, в том числе по тексту внутри одного документа;</w:t>
      </w:r>
    </w:p>
    <w:p>
      <w:pPr>
        <w:pStyle w:val="Style25"/>
        <w:rPr/>
      </w:pPr>
      <w:bookmarkStart w:id="112" w:name="_Ref125714384"/>
      <w:bookmarkStart w:id="113" w:name="_Ref125370398"/>
      <w:r>
        <w:rPr/>
        <w:t>противоречия между документами заявки и сведениями, указанными Участником в структурированных формах на ЭП.</w:t>
      </w:r>
      <w:bookmarkEnd w:id="112"/>
      <w:bookmarkEnd w:id="113"/>
    </w:p>
    <w:p>
      <w:pPr>
        <w:pStyle w:val="Style24"/>
        <w:rPr/>
      </w:pPr>
      <w:r>
        <w:rPr/>
        <w:t>Представленные в составе заявки документы, оформленные / выданные государственными, лицензирующими, сертификационными, аккредитационными органами и (или) саморегулируемыми организациями, должны соответствовать императивным требованиям (при наличии) законодательства в отношении:</w:t>
      </w:r>
    </w:p>
    <w:p>
      <w:pPr>
        <w:pStyle w:val="Style25"/>
        <w:rPr/>
      </w:pPr>
      <w:r>
        <w:rPr/>
        <w:t>полномочий таких органов / лиц на оформление этих документов;</w:t>
      </w:r>
    </w:p>
    <w:p>
      <w:pPr>
        <w:pStyle w:val="Style25"/>
        <w:rPr/>
      </w:pPr>
      <w:r>
        <w:rPr/>
        <w:t>формы, объема и содержания этих документов.</w:t>
      </w:r>
    </w:p>
    <w:p>
      <w:pPr>
        <w:pStyle w:val="Style24"/>
        <w:keepNext w:val="true"/>
        <w:rPr/>
      </w:pPr>
      <w:r>
        <w:rPr/>
        <w:t>Участник должен подготовить заявку с соблюдением следующих условий:</w:t>
      </w:r>
    </w:p>
    <w:p>
      <w:pPr>
        <w:pStyle w:val="Style25"/>
        <w:rPr/>
      </w:pPr>
      <w:r>
        <w:rPr/>
        <w:t>документы заявки могут предоставляться как в графическом виде (в том числе в виде скан-копии; рекомендуемый формат: *.</w:t>
      </w:r>
      <w:r>
        <w:rPr>
          <w:lang w:val="en-US"/>
        </w:rPr>
        <w:t>pdf</w:t>
      </w:r>
      <w:r>
        <w:rPr/>
        <w:t>), так и в электронном виде (в формате Microsoft Word (*.doc</w:t>
      </w:r>
      <w:r>
        <w:rPr>
          <w:lang w:val="en-US"/>
        </w:rPr>
        <w:t>x</w:t>
      </w:r>
      <w:r>
        <w:rPr/>
        <w:t>), Microsoft Excel (*.xls</w:t>
      </w:r>
      <w:r>
        <w:rPr>
          <w:lang w:val="en-US"/>
        </w:rPr>
        <w:t>x</w:t>
      </w:r>
      <w:r>
        <w:rPr/>
        <w:t>), и других). Исключение составляют документы, выданные Участнику третьими лицами (в том числе, бухгалтерская (финансовая) отчетность, соглашение о создании коллективного участника и т.п.), которые должны быть предоставлены только в графическом виде (в том числе в виде скан-копии; рекомендуемый формат: *.</w:t>
      </w:r>
      <w:r>
        <w:rPr>
          <w:lang w:val="en-US"/>
        </w:rPr>
        <w:t>pdf</w:t>
      </w:r>
      <w:r>
        <w:rPr/>
        <w:t>);</w:t>
      </w:r>
    </w:p>
    <w:p>
      <w:pPr>
        <w:pStyle w:val="Style25"/>
        <w:rPr/>
      </w:pPr>
      <w:r>
        <w:rPr/>
        <w:t>электронные копии документов, заверенные третьей стороной, должны включать в себя, в том числе, страницы с требуемой отметкой по форме заверения документа (электронная подпись / отметка ИФНС / отметка нотариуса и т.п.);</w:t>
      </w:r>
    </w:p>
    <w:p>
      <w:pPr>
        <w:pStyle w:val="Style25"/>
        <w:rPr/>
      </w:pPr>
      <w:r>
        <w:rPr/>
        <w:t>все файлы не должны иметь защиты от их открытия, изменения, копирования их содержимого или их печати;</w:t>
      </w:r>
    </w:p>
    <w:p>
      <w:pPr>
        <w:pStyle w:val="Style25"/>
        <w:rPr/>
      </w:pPr>
      <w:r>
        <w:rPr/>
        <w:t>файлы электронной заявки рекомендуется именовать так, чтобы было можно идентифицировать содержание данного файла заявки (указать в названии файла содержащийся в нем документ). Каждый документ рекомендуется размещать в отдельном файле;</w:t>
      </w:r>
    </w:p>
    <w:p>
      <w:pPr>
        <w:pStyle w:val="Style25"/>
        <w:rPr/>
      </w:pPr>
      <w:r>
        <w:rPr/>
        <w:t>если какой-либо документ представлен в нечитаемом виде, данный документ считается непредставленным.</w:t>
      </w:r>
    </w:p>
    <w:p>
      <w:pPr>
        <w:pStyle w:val="Style24"/>
        <w:rPr/>
      </w:pPr>
      <w:r>
        <w:rPr/>
        <w:t>Никакие исправления в документах заявки не имеют силу, за исключением тех случаев, когда эти исправления заверены надписью «исправленному верить» и собственноручной подписью уполномоченного лица Участника, расположенной рядом с каждым исправлением.</w:t>
      </w:r>
    </w:p>
    <w:p>
      <w:pPr>
        <w:pStyle w:val="Style23"/>
        <w:rPr/>
      </w:pPr>
      <w:bookmarkStart w:id="114" w:name="_Ref125366672"/>
      <w:bookmarkStart w:id="115" w:name="_Ref125362071"/>
      <w:bookmarkStart w:id="116" w:name="_Ref125361260"/>
      <w:bookmarkStart w:id="117" w:name="_Toc188004673"/>
      <w:bookmarkStart w:id="118" w:name="_Ref130394802"/>
      <w:bookmarkStart w:id="119" w:name="_Ref130394785"/>
      <w:bookmarkStart w:id="120" w:name="_Ref130394205"/>
      <w:r>
        <w:rPr/>
        <w:t>Разъяснение Документации о закупке</w:t>
      </w:r>
      <w:bookmarkEnd w:id="114"/>
      <w:bookmarkEnd w:id="115"/>
      <w:bookmarkEnd w:id="116"/>
      <w:bookmarkEnd w:id="117"/>
      <w:bookmarkEnd w:id="118"/>
      <w:bookmarkEnd w:id="119"/>
      <w:bookmarkEnd w:id="120"/>
    </w:p>
    <w:p>
      <w:pPr>
        <w:pStyle w:val="Style24"/>
        <w:rPr/>
      </w:pPr>
      <w:r>
        <w:rPr/>
        <w:t>Участники вправе обратиться к Организатору за разъяснениями Документации о закупке.</w:t>
      </w:r>
    </w:p>
    <w:p>
      <w:pPr>
        <w:pStyle w:val="Style24"/>
        <w:rPr/>
      </w:pPr>
      <w:r>
        <w:rPr/>
        <w:t>Запросы подаются в соответствии с Регламентами и инструкциями Оператора ЭП, опубликованными на сайте соответствующей ЭП.</w:t>
      </w:r>
    </w:p>
    <w:p>
      <w:pPr>
        <w:pStyle w:val="Style24"/>
        <w:rPr/>
      </w:pPr>
      <w:r>
        <w:rPr/>
        <w:t>Организатор обязуется ответить на любой вопрос, поступивший не позднее чем за 3 (три) рабочих дня до даты окончания срока подачи заявок. В случае поступления вопросов с нарушением установленного срока Организатор вправе не предоставлять разъяснения.</w:t>
      </w:r>
    </w:p>
    <w:p>
      <w:pPr>
        <w:pStyle w:val="Style24"/>
        <w:rPr/>
      </w:pPr>
      <w:r>
        <w:rPr/>
        <w:t>Ответы на поступившие вопросы официально размещаются (с указанием предмета запроса, но без указания Участника, от которого поступил вопрос) в сроки, установленные подразделом </w:t>
      </w:r>
      <w:r>
        <w:rPr/>
        <w:fldChar w:fldCharType="begin"/>
      </w:r>
      <w:r>
        <w:rPr/>
        <w:instrText xml:space="preserve"> REF _Ref125359973 \r \h </w:instrText>
      </w:r>
      <w:r>
        <w:rPr/>
        <w:fldChar w:fldCharType="separate"/>
      </w:r>
      <w:r>
        <w:rPr/>
        <w:t>1.2</w:t>
      </w:r>
      <w:r>
        <w:rPr/>
        <w:fldChar w:fldCharType="end"/>
      </w:r>
      <w:r>
        <w:rPr/>
        <w:t>, но в любом случае не позднее чем в течение 3 (трех) рабочих дней с даты поступления такого запроса. Копия ответа размещается Организатором на ЭП.</w:t>
      </w:r>
    </w:p>
    <w:p>
      <w:pPr>
        <w:pStyle w:val="Style24"/>
        <w:rPr/>
      </w:pPr>
      <w:r>
        <w:rPr/>
        <w:t>Организатор также вправе по собственной инициативе (без получения запросов от Участников) официально разместить разъяснения Документации о закупке.</w:t>
      </w:r>
    </w:p>
    <w:p>
      <w:pPr>
        <w:pStyle w:val="Style24"/>
        <w:rPr/>
      </w:pPr>
      <w:r>
        <w:rPr/>
        <w:t xml:space="preserve">Разъяснения Документации о закупке носят справочный характер и не могут изменять предмет закупки и условия </w:t>
      </w:r>
      <w:hyperlink w:anchor="Прил02_ПроектДоговора">
        <w:r>
          <w:rPr>
            <w:rStyle w:val="Style13"/>
          </w:rPr>
          <w:t>Проекта договора (Приложения № 2)</w:t>
        </w:r>
      </w:hyperlink>
      <w:r>
        <w:rPr>
          <w:rStyle w:val="Style13"/>
        </w:rPr>
        <w:t>,</w:t>
      </w:r>
      <w:r>
        <w:rPr/>
        <w:t xml:space="preserve"> в противном случае вносятся изменения в Документацию о закупке. При этом Участники обязаны учитывать разъяснения Организатора при подготовке своих заявок. Все риски и последствия за подачу заявки без учета официально размещенных разъяснений несет Участник.</w:t>
      </w:r>
    </w:p>
    <w:p>
      <w:pPr>
        <w:pStyle w:val="Style24"/>
        <w:rPr/>
      </w:pPr>
      <w:r>
        <w:rPr/>
        <w:t>В случае получения Участником любой иной информации в отношении условий проводимой закупки в порядке, не предусмотренном настоящим подразделом, такая информация не считается официальной, и Участник не вправе на нее ссылаться.</w:t>
      </w:r>
    </w:p>
    <w:p>
      <w:pPr>
        <w:pStyle w:val="Style23"/>
        <w:rPr/>
      </w:pPr>
      <w:bookmarkStart w:id="121" w:name="_Toc188004674"/>
      <w:bookmarkStart w:id="122" w:name="_Ref125364404"/>
      <w:bookmarkStart w:id="123" w:name="_Ref125363891"/>
      <w:bookmarkStart w:id="124" w:name="_Ref125362076"/>
      <w:r>
        <w:rPr/>
        <w:t>Изменения Извещения и (или) Документации о закупке</w:t>
      </w:r>
      <w:bookmarkEnd w:id="121"/>
      <w:bookmarkEnd w:id="122"/>
      <w:bookmarkEnd w:id="123"/>
      <w:bookmarkEnd w:id="124"/>
    </w:p>
    <w:p>
      <w:pPr>
        <w:pStyle w:val="Style24"/>
        <w:rPr/>
      </w:pPr>
      <w:r>
        <w:rPr/>
        <w:t>Организатор в любой момент до окончания срока подачи заявок (подраздел </w:t>
      </w:r>
      <w:r>
        <w:rPr/>
        <w:fldChar w:fldCharType="begin"/>
      </w:r>
      <w:r>
        <w:rPr/>
        <w:instrText xml:space="preserve"> REF _Ref125359973 \r \h </w:instrText>
      </w:r>
      <w:r>
        <w:rPr/>
        <w:fldChar w:fldCharType="separate"/>
      </w:r>
      <w:r>
        <w:rPr/>
        <w:t>1.2</w:t>
      </w:r>
      <w:r>
        <w:rPr/>
        <w:fldChar w:fldCharType="end"/>
      </w:r>
      <w:r>
        <w:rPr/>
        <w:t>) вправе внести изменения в Извещение и (или) Документацию о закупке. При этом официальному размещению подлежит обновленная редакция Извещения и (или) Документации о закупке, а также перечень внесенных изменений в них.</w:t>
      </w:r>
    </w:p>
    <w:p>
      <w:pPr>
        <w:pStyle w:val="Style24"/>
        <w:rPr/>
      </w:pPr>
      <w:bookmarkStart w:id="125" w:name="_Ref125550844"/>
      <w:r>
        <w:rPr/>
        <w:t>После окончания срока подачи заявок допускается изменение только в части установленных Документацией о закупке дат рассмотрения заявок и подведения итогов закупки (подраздел </w:t>
      </w:r>
      <w:r>
        <w:rPr/>
        <w:fldChar w:fldCharType="begin"/>
      </w:r>
      <w:r>
        <w:rPr/>
        <w:instrText xml:space="preserve"> REF _Ref125359973 \r \h </w:instrText>
      </w:r>
      <w:r>
        <w:rPr/>
        <w:fldChar w:fldCharType="separate"/>
      </w:r>
      <w:r>
        <w:rPr/>
        <w:t>1.2</w:t>
      </w:r>
      <w:r>
        <w:rPr/>
        <w:fldChar w:fldCharType="end"/>
      </w:r>
      <w:r>
        <w:rPr/>
        <w:t>) в пределах срока действия заявок и с уведомлением Участников, подавших заявки.</w:t>
      </w:r>
      <w:bookmarkEnd w:id="125"/>
    </w:p>
    <w:p>
      <w:pPr>
        <w:pStyle w:val="Style24"/>
        <w:rPr/>
      </w:pPr>
      <w:r>
        <w:rPr/>
        <w:t>Текст изменений официально размещается в течение 3 (трех) календарных дней со дня принятия решения о внесении указанных изменений. Все Участники, официально получившие Документацию о закупке через ЭП, получат соответствующие уведомления в порядке, установленном Регламентом ЭП.</w:t>
      </w:r>
    </w:p>
    <w:p>
      <w:pPr>
        <w:pStyle w:val="Style24"/>
        <w:rPr/>
      </w:pPr>
      <w:bookmarkStart w:id="126" w:name="_Hlk135643673"/>
      <w:r>
        <w:rPr/>
        <w:t>При внесении изменений в Документацию о закупке (за исключением указанного в пункте </w:t>
      </w:r>
      <w:r>
        <w:rPr/>
        <w:fldChar w:fldCharType="begin"/>
      </w:r>
      <w:r>
        <w:rPr/>
        <w:instrText xml:space="preserve"> REF _Ref125550844 \r \h </w:instrText>
      </w:r>
      <w:r>
        <w:rPr/>
        <w:fldChar w:fldCharType="separate"/>
      </w:r>
      <w:r>
        <w:rPr/>
        <w:t>4.5.2</w:t>
      </w:r>
      <w:r>
        <w:rPr/>
        <w:fldChar w:fldCharType="end"/>
      </w:r>
      <w:r>
        <w:rPr/>
        <w:t>), срок подачи заявок будет продлен таким образом, чтобы со дня официального размещения таких изменений до даты окончания подачи заявок оставалось не менее половины от минимального срока подачи заявок, установленного в Положении о закупке для данного способа, а именно не менее</w:t>
      </w:r>
      <w:bookmarkEnd w:id="126"/>
      <w:r>
        <w:rPr/>
        <w:t xml:space="preserve"> 4 (четырех) рабочих дней.</w:t>
      </w:r>
    </w:p>
    <w:p>
      <w:pPr>
        <w:pStyle w:val="Style24"/>
        <w:rPr/>
      </w:pPr>
      <w:r>
        <w:rPr/>
        <w:t>Участники обязаны учитывать внесенные изменения при подготовке своих заявок. Все риски и последствия за подачу заявки без учета официально размещенных изменений несет Участник.</w:t>
      </w:r>
    </w:p>
    <w:p>
      <w:pPr>
        <w:pStyle w:val="Style23"/>
        <w:rPr/>
      </w:pPr>
      <w:bookmarkStart w:id="127" w:name="_Toc188004675"/>
      <w:bookmarkStart w:id="128" w:name="_Ref125362119"/>
      <w:r>
        <w:rPr/>
        <w:t>Подача заявок и их прием</w:t>
      </w:r>
      <w:bookmarkEnd w:id="127"/>
      <w:bookmarkEnd w:id="128"/>
    </w:p>
    <w:p>
      <w:pPr>
        <w:pStyle w:val="Style24"/>
        <w:rPr/>
      </w:pPr>
      <w:r>
        <w:rPr/>
        <w:t>Участник вправе подать одну подготовленную заявку на участие в закупке в любое время начиная с даты официального размещения Извещения и до окончания срока подачи заявок (подраздел </w:t>
      </w:r>
      <w:r>
        <w:rPr/>
        <w:fldChar w:fldCharType="begin"/>
      </w:r>
      <w:r>
        <w:rPr/>
        <w:instrText xml:space="preserve"> REF _Ref125359973 \r \h </w:instrText>
      </w:r>
      <w:r>
        <w:rPr/>
        <w:fldChar w:fldCharType="separate"/>
      </w:r>
      <w:r>
        <w:rPr/>
        <w:t>1.2</w:t>
      </w:r>
      <w:r>
        <w:rPr/>
        <w:fldChar w:fldCharType="end"/>
      </w:r>
      <w:r>
        <w:rPr/>
        <w:t>). Заявки, поданные позднее установленного срока, не могут быть приняты Организатором, независимо от причин опоздания.</w:t>
      </w:r>
    </w:p>
    <w:p>
      <w:pPr>
        <w:pStyle w:val="Style24"/>
        <w:rPr/>
      </w:pPr>
      <w:r>
        <w:rPr/>
        <w:t>Подача Участником заявки означает его безоговорочное согласие с условиями участия в закупке, содержащимися в Документации о закупке, а также изучение им Положения о закупке Заказчика и Документации о закупке (включая все приложения к ней).</w:t>
      </w:r>
    </w:p>
    <w:p>
      <w:pPr>
        <w:pStyle w:val="Style24"/>
        <w:rPr/>
      </w:pPr>
      <w:r>
        <w:rPr/>
        <w:t>Заявка должна быть подготовлена в форме электронного документа и подана с использованием функционала ЭП в доступном для прочтения формате. При этом Участник должен сканировать документы после того, как они будут оформлены в соответствии с требованиями Документации о закупке.</w:t>
      </w:r>
    </w:p>
    <w:p>
      <w:pPr>
        <w:pStyle w:val="Style24"/>
        <w:rPr/>
      </w:pPr>
      <w:r>
        <w:rPr/>
        <w:t>Заявка должна быть подписана электронной подписью лица, которое является уполномоченным представителем Участника.</w:t>
      </w:r>
    </w:p>
    <w:p>
      <w:pPr>
        <w:pStyle w:val="Style24"/>
        <w:rPr/>
      </w:pPr>
      <w:r>
        <w:rPr/>
        <w:t>Правила подачи заявок также определяются Регламентом ЭП. Заявки, поданные через ЭП, дублировать в адрес Организатора по почте, электронной почте и другими способами не требуется. Заявки, полученные Организатором не через ЭП, не рассматриваются.</w:t>
      </w:r>
    </w:p>
    <w:p>
      <w:pPr>
        <w:pStyle w:val="Style24"/>
        <w:rPr/>
      </w:pPr>
      <w:r>
        <w:rPr/>
        <w:t>Если Регламентом ЭП предусмотрено направление в составе заявки документов, представленных в момент аккредитации Участника на ЭП, Участник обязан обеспечить актуальность направляемых вместе с заявкой сведений.</w:t>
      </w:r>
    </w:p>
    <w:p>
      <w:pPr>
        <w:pStyle w:val="Style24"/>
        <w:rPr/>
      </w:pPr>
      <w:r>
        <w:rPr/>
        <w:t>Оператор ЭП до окончания срока подачи заявок обеспечивает конфиденциальность информации, содержащейся в поданных заявках.</w:t>
      </w:r>
    </w:p>
    <w:p>
      <w:pPr>
        <w:pStyle w:val="Style23"/>
        <w:rPr/>
      </w:pPr>
      <w:bookmarkStart w:id="129" w:name="_Toc188004676"/>
      <w:bookmarkStart w:id="130" w:name="_Ref125365136"/>
      <w:bookmarkStart w:id="131" w:name="_Ref125363819"/>
      <w:bookmarkStart w:id="132" w:name="_Ref125362192"/>
      <w:bookmarkStart w:id="133" w:name="_Ref125362130"/>
      <w:r>
        <w:rPr/>
        <w:t>Изменение и отзыв заявок</w:t>
      </w:r>
      <w:bookmarkEnd w:id="129"/>
      <w:bookmarkEnd w:id="130"/>
      <w:bookmarkEnd w:id="131"/>
      <w:bookmarkEnd w:id="132"/>
      <w:bookmarkEnd w:id="133"/>
    </w:p>
    <w:p>
      <w:pPr>
        <w:pStyle w:val="Style24"/>
        <w:rPr/>
      </w:pPr>
      <w:r>
        <w:rPr/>
        <w:t>Участник вправе изменить или отозвать поданную им ранее заявку до момента окончания срока подачи заявок. Внесение изменений в заявку, отзыв заявки после этого времени не допускаются, кроме случаев, прямо предусмотренных Документацией о закупке.</w:t>
      </w:r>
    </w:p>
    <w:p>
      <w:pPr>
        <w:pStyle w:val="Style24"/>
        <w:rPr/>
      </w:pPr>
      <w:r>
        <w:rPr/>
        <w:t>Отзыв Участником ранее поданной заявки является отказом от участия в закупке, отозванные заявки не рассматриваются Организатором по существу.</w:t>
      </w:r>
    </w:p>
    <w:p>
      <w:pPr>
        <w:pStyle w:val="Style24"/>
        <w:rPr/>
      </w:pPr>
      <w:r>
        <w:rPr/>
        <w:t>Изменение и отзыв Участником ранее поданной заявки осуществляется в порядке, аналогичном порядку подачи и приема заявок, установленному в подразделе </w:t>
      </w:r>
      <w:r>
        <w:rPr/>
        <w:fldChar w:fldCharType="begin"/>
      </w:r>
      <w:r>
        <w:rPr/>
        <w:instrText xml:space="preserve"> REF _Ref125362119 \w \h </w:instrText>
      </w:r>
      <w:r>
        <w:rPr/>
        <w:fldChar w:fldCharType="separate"/>
      </w:r>
      <w:r>
        <w:rPr/>
        <w:t>4.6</w:t>
      </w:r>
      <w:r>
        <w:rPr/>
        <w:fldChar w:fldCharType="end"/>
      </w:r>
      <w:r>
        <w:rPr/>
        <w:t>.</w:t>
      </w:r>
    </w:p>
    <w:p>
      <w:pPr>
        <w:pStyle w:val="Style24"/>
        <w:rPr/>
      </w:pPr>
      <w:r>
        <w:rPr/>
        <w:t>Изменения и отзыв заявки осуществляется посредством функционала ЭП (подробный порядок определяется Регламентом ЭП).</w:t>
      </w:r>
    </w:p>
    <w:p>
      <w:pPr>
        <w:pStyle w:val="Style23"/>
        <w:rPr/>
      </w:pPr>
      <w:bookmarkStart w:id="134" w:name="_Toc188004677"/>
      <w:bookmarkStart w:id="135" w:name="_Ref130221619"/>
      <w:r>
        <w:rPr/>
        <w:t>Открытие доступа к заявкам</w:t>
      </w:r>
      <w:bookmarkEnd w:id="134"/>
      <w:bookmarkEnd w:id="135"/>
    </w:p>
    <w:p>
      <w:pPr>
        <w:pStyle w:val="Style24"/>
        <w:rPr/>
      </w:pPr>
      <w:r>
        <w:rPr/>
        <w:t>Открытие доступа к заявкам («вскрытие» поступивших электронных конвертов с заявками) не является публичным и происходит автоматически в порядке, предусмотренном Регламентом ЭП, сразу после окончания срока подачи заявок (подраздел </w:t>
      </w:r>
      <w:r>
        <w:rPr/>
        <w:fldChar w:fldCharType="begin"/>
      </w:r>
      <w:r>
        <w:rPr/>
        <w:instrText xml:space="preserve"> REF _Ref125359973 \r \h </w:instrText>
      </w:r>
      <w:r>
        <w:rPr/>
        <w:fldChar w:fldCharType="separate"/>
      </w:r>
      <w:r>
        <w:rPr/>
        <w:t>1.2</w:t>
      </w:r>
      <w:r>
        <w:rPr/>
        <w:fldChar w:fldCharType="end"/>
      </w:r>
      <w:r>
        <w:rPr/>
        <w:t>).</w:t>
      </w:r>
    </w:p>
    <w:p>
      <w:pPr>
        <w:pStyle w:val="Style24"/>
        <w:rPr/>
      </w:pPr>
      <w:r>
        <w:rPr/>
        <w:t>Оператор ЭП предоставляет Организатору доступ одновременно ко всем поданным заявкам в полном объеме.</w:t>
      </w:r>
    </w:p>
    <w:p>
      <w:pPr>
        <w:pStyle w:val="Style24"/>
        <w:keepNext w:val="true"/>
        <w:rPr/>
      </w:pPr>
      <w:r>
        <w:rPr/>
        <w:t>Организатор по результатам открытия доступа к заявкам формирует соответствующий протокол с указанием в нем, как минимум, следующей информации</w:t>
      </w:r>
      <w:r>
        <w:rPr>
          <w:rStyle w:val="FootnoteReference"/>
        </w:rPr>
        <w:footnoteReference w:id="4"/>
      </w:r>
      <w:r>
        <w:rPr/>
        <w:t>:</w:t>
      </w:r>
    </w:p>
    <w:p>
      <w:pPr>
        <w:pStyle w:val="Style25"/>
        <w:rPr/>
      </w:pPr>
      <w:r>
        <w:rPr/>
        <w:t>дата подписания протокола;</w:t>
      </w:r>
    </w:p>
    <w:p>
      <w:pPr>
        <w:pStyle w:val="Style25"/>
        <w:rPr/>
      </w:pPr>
      <w:r>
        <w:rPr/>
        <w:t>общее количество поступивших заявок, а также дата и время регистрации каждой заявки (по факту последнего изменения заявки до окончания срока подачи заявок);</w:t>
      </w:r>
    </w:p>
    <w:p>
      <w:pPr>
        <w:pStyle w:val="Style25"/>
        <w:rPr/>
      </w:pPr>
      <w:r>
        <w:rPr/>
        <w:t>идентификационные номера заявок Участников, присваиваемые Оператором ЭП;</w:t>
      </w:r>
    </w:p>
    <w:p>
      <w:pPr>
        <w:pStyle w:val="Style25"/>
        <w:rPr/>
      </w:pPr>
      <w:r>
        <w:rPr/>
        <w:t>стоимости заявок (или иное указание на общую стоимость заявки);</w:t>
      </w:r>
    </w:p>
    <w:p>
      <w:pPr>
        <w:pStyle w:val="Style25"/>
        <w:rPr/>
      </w:pPr>
      <w:r>
        <w:rPr/>
        <w:t>причины, по которым закупка признана несостоявшейся в соответствии с подразделом </w:t>
      </w:r>
      <w:r>
        <w:rPr/>
        <w:fldChar w:fldCharType="begin"/>
      </w:r>
      <w:r>
        <w:rPr/>
        <w:instrText xml:space="preserve"> REF _Ref125364149 \w \h </w:instrText>
      </w:r>
      <w:r>
        <w:rPr/>
        <w:fldChar w:fldCharType="separate"/>
      </w:r>
      <w:r>
        <w:rPr/>
        <w:t>4.15</w:t>
      </w:r>
      <w:r>
        <w:rPr/>
        <w:fldChar w:fldCharType="end"/>
      </w:r>
      <w:r>
        <w:rPr/>
        <w:t xml:space="preserve"> (в случае ее признания таковой),</w:t>
      </w:r>
    </w:p>
    <w:p>
      <w:pPr>
        <w:pStyle w:val="Style28"/>
        <w:ind w:left="1134" w:hanging="0"/>
        <w:rPr/>
      </w:pPr>
      <w:r>
        <w:rPr/>
        <w:t>после чего официально размещает его в течение 3 (трех) календарных дней с даты подписания такого протокола. Заседание Закупочной комиссии при этом не проводится.</w:t>
      </w:r>
    </w:p>
    <w:p>
      <w:pPr>
        <w:pStyle w:val="Style24"/>
        <w:rPr/>
      </w:pPr>
      <w:r>
        <w:rPr/>
        <w:t>Протокол открытия доступа к заявкам может формироваться автоматически Оператором ЭП, после чего официально размещаться в установленном порядке. В этом случае протокол считается подписанным уполномоченным лицом Организатора.</w:t>
      </w:r>
    </w:p>
    <w:p>
      <w:pPr>
        <w:pStyle w:val="Style24"/>
        <w:rPr/>
      </w:pPr>
      <w:r>
        <w:rPr/>
        <w:t>Порядок получения Участниками информации о поступивших заявках через ЭП определяется Регламентом ЭП.</w:t>
      </w:r>
    </w:p>
    <w:p>
      <w:pPr>
        <w:pStyle w:val="Style23"/>
        <w:rPr/>
      </w:pPr>
      <w:bookmarkStart w:id="136" w:name="_Toc188004678"/>
      <w:bookmarkStart w:id="137" w:name="_Ref135749133"/>
      <w:bookmarkStart w:id="138" w:name="_Ref125366689"/>
      <w:bookmarkStart w:id="139" w:name="_Ref125362364"/>
      <w:bookmarkStart w:id="140" w:name="_Ref125364340"/>
      <w:bookmarkEnd w:id="140"/>
      <w:r>
        <w:rPr/>
        <w:t>Рассмотрение заявок (отборочная стадия)</w:t>
      </w:r>
      <w:bookmarkEnd w:id="138"/>
      <w:bookmarkEnd w:id="139"/>
      <w:r>
        <w:rPr/>
        <w:t>, в том числе (при необходимости) проведение аккредитации</w:t>
      </w:r>
      <w:bookmarkEnd w:id="136"/>
      <w:bookmarkEnd w:id="137"/>
    </w:p>
    <w:p>
      <w:pPr>
        <w:pStyle w:val="Style24"/>
        <w:rPr/>
      </w:pPr>
      <w:r>
        <w:rPr/>
        <w:t>Дата окончания срока рассмотрения заявок установлена в подразделе </w:t>
      </w:r>
      <w:r>
        <w:rPr/>
        <w:fldChar w:fldCharType="begin"/>
      </w:r>
      <w:r>
        <w:rPr/>
        <w:instrText xml:space="preserve"> REF _Ref125359973 \r \h </w:instrText>
      </w:r>
      <w:r>
        <w:rPr/>
        <w:fldChar w:fldCharType="separate"/>
      </w:r>
      <w:r>
        <w:rPr/>
        <w:t>1.2</w:t>
      </w:r>
      <w:r>
        <w:rPr/>
        <w:fldChar w:fldCharType="end"/>
      </w:r>
      <w:r>
        <w:rPr/>
        <w:t>. Организатор по согласованию с Заказчиком вправе, при необходимости, изменить ее, официально разместив информацию об этом.</w:t>
      </w:r>
    </w:p>
    <w:p>
      <w:pPr>
        <w:pStyle w:val="Style24"/>
        <w:rPr/>
      </w:pPr>
      <w:r>
        <w:rPr/>
        <w:t xml:space="preserve">В рамках рассмотрения заявок (отборочной стадии) осуществляется проверка каждой заявки на предмет соответствия </w:t>
      </w:r>
      <w:hyperlink w:anchor="Прил07_ОтборочныеКритерии">
        <w:r>
          <w:rPr>
            <w:rStyle w:val="Style13"/>
          </w:rPr>
          <w:t>Отборочным критериям рассмотрения заявок (Приложение № 7)</w:t>
        </w:r>
      </w:hyperlink>
      <w:r>
        <w:rPr/>
        <w:t>, в том числе проводится процедура аккредитации Участников (при необходимости).</w:t>
      </w:r>
    </w:p>
    <w:p>
      <w:pPr>
        <w:pStyle w:val="Style24"/>
        <w:rPr/>
      </w:pPr>
      <w:r>
        <w:rPr/>
        <w:t>Рассмотрение заявок проводится на основании представленных в составе заявки документов и сведений. Проверка актуальности и достоверности предоставленных документов и сведений осуществляется с использованием официальных сервисов органов государственной власти, или иным законным способом.</w:t>
      </w:r>
    </w:p>
    <w:p>
      <w:pPr>
        <w:pStyle w:val="Style24"/>
        <w:keepNext w:val="true"/>
        <w:rPr/>
      </w:pPr>
      <w:r>
        <w:rPr/>
        <w:t>При выявлении в рамках рассмотрения заявок наличия арифметических ошибок, в том числе:</w:t>
      </w:r>
    </w:p>
    <w:p>
      <w:pPr>
        <w:pStyle w:val="Style25"/>
        <w:rPr/>
      </w:pPr>
      <w:r>
        <w:rPr/>
        <w:t>в результате суммирования единичных расценок;</w:t>
      </w:r>
    </w:p>
    <w:p>
      <w:pPr>
        <w:pStyle w:val="Style25"/>
        <w:rPr/>
      </w:pPr>
      <w:r>
        <w:rPr/>
        <w:t>в итогах умножения единичных расценок на объем продукции;</w:t>
      </w:r>
    </w:p>
    <w:p>
      <w:pPr>
        <w:pStyle w:val="Style25"/>
        <w:rPr/>
      </w:pPr>
      <w:r>
        <w:rPr/>
        <w:t>в вычислении суммы НДС и итоговой стоимости заявки с учетом НДС;</w:t>
      </w:r>
    </w:p>
    <w:p>
      <w:pPr>
        <w:pStyle w:val="Style25"/>
        <w:rPr/>
      </w:pPr>
      <w:r>
        <w:rPr/>
        <w:t>иных внутренних противоречий в составе заявки,</w:t>
      </w:r>
    </w:p>
    <w:p>
      <w:pPr>
        <w:pStyle w:val="Style28"/>
        <w:ind w:left="1134" w:hanging="0"/>
        <w:rPr/>
      </w:pPr>
      <w:r>
        <w:rPr/>
        <w:t>Организатор исходит из преимущества общей итоговой стоимости (без учета НДС), указанной в структурированных формах на ЭП (последней по времени подачи) и подписанной усиленной квалифицированной электронной подписью уполномоченного лица Участника. При уклонении Участника от заключения договора на вышеуказанных условиях заявка такого Участника подлежит отклонению решением Закупочной комиссии.</w:t>
      </w:r>
    </w:p>
    <w:p>
      <w:pPr>
        <w:pStyle w:val="Style24"/>
        <w:keepNext w:val="true"/>
        <w:rPr/>
      </w:pPr>
      <w:bookmarkStart w:id="141" w:name="_Ref125551456"/>
      <w:r>
        <w:rPr/>
        <w:t>По результатам рассмотрения заявок (проведения отборочной стадии) Закупочная комиссия отклоняет заявки по следующим основаниям:</w:t>
      </w:r>
      <w:bookmarkEnd w:id="141"/>
    </w:p>
    <w:p>
      <w:pPr>
        <w:pStyle w:val="Style25"/>
        <w:rPr/>
      </w:pPr>
      <w:r>
        <w:rPr/>
        <w:t>несоответствие по составу</w:t>
      </w:r>
      <w:r>
        <w:rPr>
          <w:rStyle w:val="FootnoteReference"/>
        </w:rPr>
        <w:footnoteReference w:id="5"/>
      </w:r>
      <w:r>
        <w:rPr/>
        <w:t>, содержанию и соблюдению требований Документации о закупке к подготовке (оформлению) заявки, в том числе наличие:</w:t>
      </w:r>
    </w:p>
    <w:p>
      <w:pPr>
        <w:pStyle w:val="Style26"/>
        <w:rPr/>
      </w:pPr>
      <w:r>
        <w:rPr/>
        <w:t>недостоверных сведений</w:t>
      </w:r>
      <w:r>
        <w:rPr>
          <w:rStyle w:val="FootnoteReference"/>
        </w:rPr>
        <w:footnoteReference w:id="6"/>
      </w:r>
      <w:r>
        <w:rPr/>
        <w:t xml:space="preserve"> или намеренно искаженной информации или документов;</w:t>
      </w:r>
    </w:p>
    <w:p>
      <w:pPr>
        <w:pStyle w:val="Style26"/>
        <w:rPr/>
      </w:pPr>
      <w:r>
        <w:rPr/>
        <w:t>внутренних противоречий между различными частями и (или) документами заявки, в том числе по тексту внутри одного документа;</w:t>
      </w:r>
    </w:p>
    <w:p>
      <w:pPr>
        <w:pStyle w:val="Style26"/>
        <w:rPr/>
      </w:pPr>
      <w:r>
        <w:rPr/>
        <w:t>противоречий между документами заявки и сведениями, указанными Участником в структурированных формах на ЭП;</w:t>
      </w:r>
    </w:p>
    <w:p>
      <w:pPr>
        <w:pStyle w:val="Style25"/>
        <w:rPr/>
      </w:pPr>
      <w:r>
        <w:rPr/>
        <w:t>несоответствие Участников требованиям Документации о закупке;</w:t>
      </w:r>
    </w:p>
    <w:p>
      <w:pPr>
        <w:pStyle w:val="Style25"/>
        <w:rPr/>
      </w:pPr>
      <w:r>
        <w:rPr/>
        <w:t>несоответствие привлекаемых субподрядчиков (соисполнителей) требованиям Документации о закупке;</w:t>
      </w:r>
    </w:p>
    <w:p>
      <w:pPr>
        <w:pStyle w:val="Style25"/>
        <w:rPr/>
      </w:pPr>
      <w:r>
        <w:rPr/>
        <w:t>несоответствие предлагаемой продукции требованиям Документации о закупке, в том числе порядка описания такой продукции (включая требования по предоставлению информации и перечня документов, которые подтверждают страну происхождения товара – для случаев запрета или ограничения, установленных законодательством о национальном режиме);</w:t>
      </w:r>
    </w:p>
    <w:p>
      <w:pPr>
        <w:pStyle w:val="Style25"/>
        <w:rPr/>
      </w:pPr>
      <w:r>
        <w:rPr/>
        <w:t>несоответствие предлагаемых договорных условий требованиям Документации о закупке, в том числе превышение стоимости заявки (цены Договора) над установленным размером НМЦ;</w:t>
      </w:r>
    </w:p>
    <w:p>
      <w:pPr>
        <w:pStyle w:val="Style25"/>
        <w:rPr/>
      </w:pPr>
      <w:r>
        <w:rPr/>
        <w:t>несоответствие размера, формы, условий и порядка предоставления обеспечения заявки.</w:t>
      </w:r>
    </w:p>
    <w:p>
      <w:pPr>
        <w:pStyle w:val="Style24"/>
        <w:rPr/>
      </w:pPr>
      <w:r>
        <w:rPr/>
        <w:t>По результатам рассмотрения заявок также может осуществляться предварительная оценка и сопоставление допущенных заявок, если после отборочной стадии планируется проведение переторжки (подраздел </w:t>
      </w:r>
      <w:r>
        <w:rPr/>
        <w:fldChar w:fldCharType="begin"/>
      </w:r>
      <w:r>
        <w:rPr/>
        <w:instrText xml:space="preserve"> REF _Ref125362430 \r \h </w:instrText>
      </w:r>
      <w:r>
        <w:rPr/>
        <w:fldChar w:fldCharType="separate"/>
      </w:r>
      <w:r>
        <w:rPr/>
        <w:t>4.11</w:t>
      </w:r>
      <w:r>
        <w:rPr/>
        <w:fldChar w:fldCharType="end"/>
      </w:r>
      <w:r>
        <w:rPr/>
        <w:t>). В данном случае оценка и сопоставление заявок, а также их предварительная ранжировка осуществляются в соответствии с подразделами </w:t>
      </w:r>
      <w:r>
        <w:rPr/>
        <w:fldChar w:fldCharType="begin"/>
      </w:r>
      <w:r>
        <w:rPr/>
        <w:instrText xml:space="preserve"> REF _Ref125362626 \w \h </w:instrText>
      </w:r>
      <w:r>
        <w:rPr/>
        <w:fldChar w:fldCharType="separate"/>
      </w:r>
      <w:r>
        <w:rPr/>
        <w:t>4.12</w:t>
      </w:r>
      <w:r>
        <w:rPr/>
        <w:fldChar w:fldCharType="end"/>
      </w:r>
      <w:r>
        <w:rPr/>
        <w:t xml:space="preserve">, </w:t>
      </w:r>
      <w:r>
        <w:rPr/>
        <w:fldChar w:fldCharType="begin"/>
      </w:r>
      <w:r>
        <w:rPr/>
        <w:instrText xml:space="preserve"> REF _Ref130985951 \r \h </w:instrText>
      </w:r>
      <w:r>
        <w:rPr/>
        <w:fldChar w:fldCharType="separate"/>
      </w:r>
      <w:r>
        <w:rPr/>
        <w:t>4.13</w:t>
      </w:r>
      <w:r>
        <w:rPr/>
        <w:fldChar w:fldCharType="end"/>
      </w:r>
      <w:r>
        <w:rPr/>
        <w:t>, на основании представленных в составе заявки документов и сведений (включая стоимость заявки (цену Договора)).</w:t>
      </w:r>
    </w:p>
    <w:p>
      <w:pPr>
        <w:pStyle w:val="Style24"/>
        <w:keepNext w:val="true"/>
        <w:rPr/>
      </w:pPr>
      <w:r>
        <w:rPr/>
        <w:t>Решение Закупочной комиссии по рассмотрению заявок оформляется протоколом, в котором, как минимум, указываются</w:t>
      </w:r>
      <w:r>
        <w:rPr>
          <w:rStyle w:val="FootnoteReference"/>
        </w:rPr>
        <w:footnoteReference w:id="7"/>
      </w:r>
      <w:r>
        <w:rPr/>
        <w:t>:</w:t>
      </w:r>
    </w:p>
    <w:p>
      <w:pPr>
        <w:pStyle w:val="Style25"/>
        <w:rPr/>
      </w:pPr>
      <w:r>
        <w:rPr/>
        <w:t>дата подписания протокола;</w:t>
      </w:r>
    </w:p>
    <w:p>
      <w:pPr>
        <w:pStyle w:val="Style25"/>
        <w:rPr/>
      </w:pPr>
      <w:r>
        <w:rPr/>
        <w:t>общее количество поступивших заявок, а также дата и время регистрации каждой заявки (по факту последнего изменения заявки до окончания срока подачи заявок);</w:t>
      </w:r>
    </w:p>
    <w:p>
      <w:pPr>
        <w:pStyle w:val="Style25"/>
        <w:rPr/>
      </w:pPr>
      <w:r>
        <w:rPr/>
        <w:t>идентификационные номера заявок Участников, присваиваемые Оператором ЭП;</w:t>
      </w:r>
    </w:p>
    <w:p>
      <w:pPr>
        <w:pStyle w:val="Style25"/>
        <w:keepNext w:val="true"/>
        <w:rPr/>
      </w:pPr>
      <w:r>
        <w:rPr/>
        <w:t>результаты рассмотрения заявок с указанием, в том числе:</w:t>
      </w:r>
    </w:p>
    <w:p>
      <w:pPr>
        <w:pStyle w:val="Style26"/>
        <w:rPr/>
      </w:pPr>
      <w:r>
        <w:rPr/>
        <w:t>количества заявок, которые были отклонены;</w:t>
      </w:r>
    </w:p>
    <w:p>
      <w:pPr>
        <w:pStyle w:val="Style26"/>
        <w:rPr/>
      </w:pPr>
      <w:r>
        <w:rPr/>
        <w:t>оснований отклонения каждой заявки с указанием положений Документации о закупке, которым не соответствует такая заявка;</w:t>
      </w:r>
    </w:p>
    <w:p>
      <w:pPr>
        <w:pStyle w:val="Style25"/>
        <w:rPr/>
      </w:pPr>
      <w:r>
        <w:rPr/>
        <w:t>причины, по которым закупка признана несостоявшейся в соответствии с подразделом </w:t>
      </w:r>
      <w:r>
        <w:rPr/>
        <w:fldChar w:fldCharType="begin"/>
      </w:r>
      <w:r>
        <w:rPr/>
        <w:instrText xml:space="preserve"> REF _Ref125364149 \w \h </w:instrText>
      </w:r>
      <w:r>
        <w:rPr/>
        <w:fldChar w:fldCharType="separate"/>
      </w:r>
      <w:r>
        <w:rPr/>
        <w:t>4.15</w:t>
      </w:r>
      <w:r>
        <w:rPr/>
        <w:fldChar w:fldCharType="end"/>
      </w:r>
      <w:r>
        <w:rPr/>
        <w:t xml:space="preserve"> (в случае ее признания таковой);</w:t>
      </w:r>
    </w:p>
    <w:p>
      <w:pPr>
        <w:pStyle w:val="Style25"/>
        <w:keepNext w:val="true"/>
        <w:rPr/>
      </w:pPr>
      <w:r>
        <w:rPr/>
        <w:t>результаты предварительной оценки и сопоставления допущенных заявок – в случае принятия решения о проведении переторжки, с указанием, в том числе:</w:t>
      </w:r>
    </w:p>
    <w:p>
      <w:pPr>
        <w:pStyle w:val="Style26"/>
        <w:rPr/>
      </w:pPr>
      <w:r>
        <w:rPr/>
        <w:t>значения (в баллах), присвоенного каждой заявке по каждому из предусмотренных критериев оценки, установленных в Документации о закупке;</w:t>
      </w:r>
    </w:p>
    <w:p>
      <w:pPr>
        <w:pStyle w:val="Style26"/>
        <w:rPr/>
      </w:pPr>
      <w:r>
        <w:rPr/>
        <w:t>порядкового номера каждой допущенной заявки в предварительной ранжировке заявок, включая стоимость заявки (цену Договора);</w:t>
      </w:r>
    </w:p>
    <w:p>
      <w:pPr>
        <w:pStyle w:val="Style25"/>
        <w:rPr/>
      </w:pPr>
      <w:bookmarkStart w:id="142" w:name="_Ref125551524"/>
      <w:r>
        <w:rPr/>
        <w:t>решение о проведении или непроведении переторжки,</w:t>
      </w:r>
      <w:bookmarkEnd w:id="142"/>
    </w:p>
    <w:p>
      <w:pPr>
        <w:pStyle w:val="Style28"/>
        <w:ind w:left="1134" w:hanging="0"/>
        <w:rPr/>
      </w:pPr>
      <w:r>
        <w:rPr/>
        <w:t>после чего Организатор официально размещает его в течение 3 (трех) календарных дней с даты подписания такого протокола.</w:t>
      </w:r>
    </w:p>
    <w:p>
      <w:pPr>
        <w:pStyle w:val="Style24"/>
        <w:rPr/>
      </w:pPr>
      <w:r>
        <w:rPr/>
        <w:t>Любой Участник после официального размещения протокола рассмотрения заявок вправе направить Организатору запрос о разъяснении результатов рассмотрения и (или) оценки и сопоставления своей заявки в порядке, аналогичном порядку направления запросов на разъяснение Документации о закупке (подраздел </w:t>
      </w:r>
      <w:r>
        <w:rPr/>
        <w:fldChar w:fldCharType="begin"/>
      </w:r>
      <w:r>
        <w:rPr/>
        <w:instrText xml:space="preserve"> REF _Ref130394785 \r \h </w:instrText>
      </w:r>
      <w:r>
        <w:rPr/>
        <w:fldChar w:fldCharType="separate"/>
      </w:r>
      <w:r>
        <w:rPr/>
        <w:t>4.4</w:t>
      </w:r>
      <w:r>
        <w:rPr/>
        <w:fldChar w:fldCharType="end"/>
      </w:r>
      <w:r>
        <w:rPr/>
        <w:t>). Организатор в течение 10 (десяти) рабочих дней со дня поступления такого запроса обязан предоставить такому Участнику соответствующие разъяснения. При этом в отношении иных Участников разъяснения не предоставляются.</w:t>
      </w:r>
    </w:p>
    <w:p>
      <w:pPr>
        <w:pStyle w:val="Style24"/>
        <w:rPr/>
      </w:pPr>
      <w:r>
        <w:rPr/>
        <w:t>Если рассмотрение заявок, оценка и сопоставление заявок, а также подведение итогов закупки осуществляются одновременно, отдельный протокол по результатам рассмотрения заявок может не оформляться, а соответствующая информация подлежит обязательному включению в итоговый протокол по результатам закупки.</w:t>
      </w:r>
    </w:p>
    <w:p>
      <w:pPr>
        <w:pStyle w:val="Style24"/>
        <w:rPr/>
      </w:pPr>
      <w:r>
        <w:rPr/>
        <w:t>Если основания для отклонения заявки, указанные в пункте </w:t>
      </w:r>
      <w:r>
        <w:rPr/>
        <w:fldChar w:fldCharType="begin"/>
      </w:r>
      <w:r>
        <w:rPr/>
        <w:instrText xml:space="preserve"> REF _Ref125551456 \w \h </w:instrText>
      </w:r>
      <w:r>
        <w:rPr/>
        <w:fldChar w:fldCharType="separate"/>
      </w:r>
      <w:r>
        <w:rPr/>
        <w:t>4.9.5</w:t>
      </w:r>
      <w:r>
        <w:rPr/>
        <w:fldChar w:fldCharType="end"/>
      </w:r>
      <w:r>
        <w:rPr/>
        <w:t>, обнаружены позже даты проведения рассмотрения заявок, Организатор осуществляет отклонение такой заявки с внесением соответствующей информации в отдельный или ближайший ко времени события протокол закупки.</w:t>
      </w:r>
    </w:p>
    <w:p>
      <w:pPr>
        <w:pStyle w:val="Style23"/>
        <w:rPr/>
      </w:pPr>
      <w:bookmarkStart w:id="143" w:name="_Toc188004679"/>
      <w:bookmarkStart w:id="144" w:name="_Ref125362610"/>
      <w:bookmarkStart w:id="145" w:name="_Ref125362464"/>
      <w:bookmarkStart w:id="146" w:name="_Ref125362425"/>
      <w:bookmarkStart w:id="147" w:name="_Ref125362381"/>
      <w:r>
        <w:rPr/>
        <w:t>Дополнительные запросы разъяснений заявок</w:t>
      </w:r>
      <w:bookmarkEnd w:id="143"/>
      <w:bookmarkEnd w:id="144"/>
      <w:bookmarkEnd w:id="145"/>
      <w:bookmarkEnd w:id="146"/>
      <w:bookmarkEnd w:id="147"/>
    </w:p>
    <w:p>
      <w:pPr>
        <w:pStyle w:val="Style24"/>
        <w:rPr/>
      </w:pPr>
      <w:bookmarkStart w:id="148" w:name="_Ref125365611"/>
      <w:r>
        <w:rPr/>
        <w:t>В рамках процедуры рассмотрения заявок, оценки и сопоставления заявок Организатор вправе направить в адрес Участника дополнительный запрос разъяснений и (или) дополнений его заявки, влияющих на отклонение или оценку и сопоставление его заявки, в следующих случаях:</w:t>
      </w:r>
      <w:bookmarkEnd w:id="148"/>
    </w:p>
    <w:p>
      <w:pPr>
        <w:pStyle w:val="Style25"/>
        <w:keepNext w:val="true"/>
        <w:rPr/>
      </w:pPr>
      <w:r>
        <w:rPr/>
        <w:t>в составе заявки отсутствуют, представлены не в полном объеме или в нечитаемом виде документы или сведения, необходимые для определения:</w:t>
      </w:r>
    </w:p>
    <w:p>
      <w:pPr>
        <w:pStyle w:val="Style26"/>
        <w:rPr/>
      </w:pPr>
      <w:r>
        <w:rPr/>
        <w:t>соответствия Участника требованиям Документации о закупке;</w:t>
      </w:r>
    </w:p>
    <w:p>
      <w:pPr>
        <w:pStyle w:val="Style26"/>
        <w:rPr/>
      </w:pPr>
      <w:r>
        <w:rPr/>
        <w:t>наличия соответствующих полномочий на подписание заявки от имени Участника у лица, подписавшего заявку;</w:t>
      </w:r>
    </w:p>
    <w:p>
      <w:pPr>
        <w:pStyle w:val="Style26"/>
        <w:rPr/>
      </w:pPr>
      <w:r>
        <w:rPr/>
        <w:t>соответствия заявки требованиям Документации о закупке в части характеристик предлагаемой продукции и договорных условий, расчета цены Договора;</w:t>
      </w:r>
    </w:p>
    <w:p>
      <w:pPr>
        <w:pStyle w:val="Style25"/>
        <w:rPr/>
      </w:pPr>
      <w:bookmarkStart w:id="149" w:name="_Ref134702259"/>
      <w:r>
        <w:rPr/>
        <w:t>в составе заявки отсутствуют, представлены не в полном объеме или в нечитаемом виде документы или сведения, необходимые для прохождения Участником в рамках рассмотрения заявок процедуры аккредитации (при необходимости);</w:t>
      </w:r>
    </w:p>
    <w:p>
      <w:pPr>
        <w:pStyle w:val="Style25"/>
        <w:rPr/>
      </w:pPr>
      <w:r>
        <w:rPr/>
        <w:t>в заявке имеются разночтения или положения, допускающие неоднозначное толкование, не позволяющие определить соответствие заявки или Участника (в том числе не позволяющие провести в отношении него процедуру аккредитации (при необходимости)</w:t>
      </w:r>
      <w:r>
        <w:rPr>
          <w:rStyle w:val="FootnoteReference"/>
        </w:rPr>
        <w:footnoteReference w:id="8"/>
      </w:r>
      <w:r>
        <w:rPr/>
        <w:t>) требованиям Документации о закупке или осуществить оценку и сопоставление заявок.</w:t>
      </w:r>
      <w:bookmarkEnd w:id="149"/>
    </w:p>
    <w:p>
      <w:pPr>
        <w:pStyle w:val="Style24"/>
        <w:rPr/>
      </w:pPr>
      <w:r>
        <w:rPr/>
        <w:t>Если в рамках рассмотрения заявок проводится процедура аккредитации, Организатор вправе направить в адрес Участника дополнительный запрос разъяснений и (или) дополнений его заявки, влияющих на прохождение аккредитации таким Участником (в том числе в случае, указанном в подпункте </w:t>
      </w:r>
      <w:r>
        <w:rPr/>
        <w:fldChar w:fldCharType="begin"/>
      </w:r>
      <w:r>
        <w:rPr/>
        <w:instrText xml:space="preserve"> REF _Ref134702259 \r \h </w:instrText>
      </w:r>
      <w:r>
        <w:rPr/>
        <w:fldChar w:fldCharType="separate"/>
      </w:r>
      <w:r>
        <w:rPr/>
        <w:t>4.10.1б)</w:t>
      </w:r>
      <w:r>
        <w:rPr/>
        <w:fldChar w:fldCharType="end"/>
      </w:r>
      <w:r>
        <w:rPr/>
        <w:t>).</w:t>
      </w:r>
    </w:p>
    <w:p>
      <w:pPr>
        <w:pStyle w:val="Style24"/>
        <w:rPr/>
      </w:pPr>
      <w:r>
        <w:rPr/>
        <w:t>Не допускаются запросы со стороны Организатора, а также ответы со стороны Участников, изменяющие суть заявки (предмет, объем, цена, номенклатура предлагаемой Участником продукции).</w:t>
      </w:r>
    </w:p>
    <w:p>
      <w:pPr>
        <w:pStyle w:val="Style24"/>
        <w:rPr/>
      </w:pPr>
      <w:r>
        <w:rPr/>
        <w:t>При направлении дополнительных запросов разъяснений заявок не допускается создание преимущественных условий Участнику или нескольким Участникам закупки.</w:t>
      </w:r>
    </w:p>
    <w:p>
      <w:pPr>
        <w:pStyle w:val="Style24"/>
        <w:rPr/>
      </w:pPr>
      <w:r>
        <w:rPr/>
        <w:t>Дополнительные запросы направляются одновременно (в один день) всем Участникам, у которых был выявлен факт несоответствий, за исключением следующего – дополнительные запросы не направляются Участнику если в соответствии с пунктом </w:t>
      </w:r>
      <w:r>
        <w:rPr/>
        <w:fldChar w:fldCharType="begin"/>
      </w:r>
      <w:r>
        <w:rPr/>
        <w:instrText xml:space="preserve"> REF _Ref125551456 \w \h </w:instrText>
      </w:r>
      <w:r>
        <w:rPr/>
        <w:fldChar w:fldCharType="separate"/>
      </w:r>
      <w:r>
        <w:rPr/>
        <w:t>4.9.5</w:t>
      </w:r>
      <w:r>
        <w:rPr/>
        <w:fldChar w:fldCharType="end"/>
      </w:r>
      <w:r>
        <w:rPr/>
        <w:t xml:space="preserve"> имеются прямые основания для отклонения заявки такого Участника, не относящиеся к случаям, перечисленным в пункте </w:t>
      </w:r>
      <w:r>
        <w:rPr/>
        <w:fldChar w:fldCharType="begin"/>
      </w:r>
      <w:r>
        <w:rPr/>
        <w:instrText xml:space="preserve"> REF _Ref125365611 \w \h </w:instrText>
      </w:r>
      <w:r>
        <w:rPr/>
        <w:fldChar w:fldCharType="separate"/>
      </w:r>
      <w:r>
        <w:rPr/>
        <w:t>4.10.1</w:t>
      </w:r>
      <w:r>
        <w:rPr/>
        <w:fldChar w:fldCharType="end"/>
      </w:r>
      <w:r>
        <w:rPr/>
        <w:t>.</w:t>
      </w:r>
    </w:p>
    <w:p>
      <w:pPr>
        <w:pStyle w:val="Style24"/>
        <w:rPr/>
      </w:pPr>
      <w:r>
        <w:rPr/>
        <w:t>Срок предоставления Участниками разъяснений своих заявок устанавливается одинаковый для всех и составляет не менее 2 (двух) рабочих дней с момента направления запроса в адрес Участника.</w:t>
      </w:r>
    </w:p>
    <w:p>
      <w:pPr>
        <w:pStyle w:val="Style24"/>
        <w:rPr/>
      </w:pPr>
      <w:r>
        <w:rPr/>
        <w:t>Направление Организатором дополнительных запросов и ответов Участников на данные запросы осуществляется с помощью программных и технических средств ЭП в порядке, предусмотренном Регламентом ЭП (ответы Участников, поступившие не через ЭП, к рассмотрению не принимаются).</w:t>
      </w:r>
    </w:p>
    <w:p>
      <w:pPr>
        <w:pStyle w:val="Style24"/>
        <w:rPr/>
      </w:pPr>
      <w:r>
        <w:rPr/>
        <w:t>Непредставление или представление не в полном объеме запрашиваемых документов и (или) разъяснений в установленный в запросе срок служит основанием для отклонения заявки такого Участника по условиям пункта </w:t>
      </w:r>
      <w:r>
        <w:rPr/>
        <w:fldChar w:fldCharType="begin"/>
      </w:r>
      <w:r>
        <w:rPr/>
        <w:instrText xml:space="preserve"> REF _Ref125551456 \w \h </w:instrText>
      </w:r>
      <w:r>
        <w:rPr/>
        <w:fldChar w:fldCharType="separate"/>
      </w:r>
      <w:r>
        <w:rPr/>
        <w:t>4.9.5</w:t>
      </w:r>
      <w:r>
        <w:rPr/>
        <w:fldChar w:fldCharType="end"/>
      </w:r>
      <w:r>
        <w:rPr/>
        <w:t>.</w:t>
      </w:r>
    </w:p>
    <w:p>
      <w:pPr>
        <w:pStyle w:val="Style23"/>
        <w:rPr/>
      </w:pPr>
      <w:bookmarkStart w:id="150" w:name="_Toc188004680"/>
      <w:bookmarkStart w:id="151" w:name="_Ref127536359"/>
      <w:bookmarkStart w:id="152" w:name="_Ref125362537"/>
      <w:bookmarkStart w:id="153" w:name="_Ref125362430"/>
      <w:r>
        <w:rPr/>
        <w:t>Переторжка</w:t>
      </w:r>
      <w:bookmarkEnd w:id="150"/>
      <w:bookmarkEnd w:id="151"/>
      <w:bookmarkEnd w:id="152"/>
      <w:bookmarkEnd w:id="153"/>
      <w:r>
        <w:rPr/>
        <w:t xml:space="preserve"> </w:t>
      </w:r>
    </w:p>
    <w:p>
      <w:pPr>
        <w:pStyle w:val="Style24"/>
        <w:rPr/>
      </w:pPr>
      <w:r>
        <w:rPr/>
        <w:t>Нормы настоящего подраздела применяются в случае проведения процедуры переторжки.</w:t>
      </w:r>
    </w:p>
    <w:p>
      <w:pPr>
        <w:pStyle w:val="Style24"/>
        <w:rPr/>
      </w:pPr>
      <w:r>
        <w:rPr/>
        <w:t>Решение о проведении процедуры переторжки, а также ее предмете, сроках и форме ее проведения принимает Закупочная комиссия (и фиксирует в протоколе рассмотрения заявок). Переторжка может проводиться один или несколько раз (далее – многократная переторжка). Каждая процедура переторжки проводится на основании отдельного решения Закупочной комиссии, оформляемого соответствующим протоколом.</w:t>
      </w:r>
    </w:p>
    <w:p>
      <w:pPr>
        <w:pStyle w:val="Style24"/>
        <w:keepNext w:val="true"/>
        <w:rPr/>
      </w:pPr>
      <w:r>
        <w:rPr/>
        <w:t>Предметом переторжки могут являться следующие условия (или их сочетания), позволяющие повысить предпочтительность поданных заявок:</w:t>
      </w:r>
    </w:p>
    <w:p>
      <w:pPr>
        <w:pStyle w:val="Style25"/>
        <w:rPr/>
      </w:pPr>
      <w:r>
        <w:rPr/>
        <w:t>стоимость заявки (цена Договора) / цена за единицу продукции;</w:t>
      </w:r>
    </w:p>
    <w:p>
      <w:pPr>
        <w:pStyle w:val="Style25"/>
        <w:rPr/>
      </w:pPr>
      <w:r>
        <w:rPr/>
        <w:t>сроки поставки продукции;</w:t>
      </w:r>
    </w:p>
    <w:p>
      <w:pPr>
        <w:pStyle w:val="Style25"/>
        <w:rPr/>
      </w:pPr>
      <w:r>
        <w:rPr/>
        <w:t>условия оплаты;</w:t>
      </w:r>
    </w:p>
    <w:p>
      <w:pPr>
        <w:pStyle w:val="Style25"/>
        <w:rPr/>
      </w:pPr>
      <w:r>
        <w:rPr/>
        <w:t>иные условия, которые являются критериями оценки заявок.</w:t>
      </w:r>
    </w:p>
    <w:p>
      <w:pPr>
        <w:pStyle w:val="Style28"/>
        <w:ind w:left="1134" w:hanging="0"/>
        <w:rPr/>
      </w:pPr>
      <w:r>
        <w:rPr/>
        <w:t>При этом предметом переторжки не могут быть условия, которые не входят в состав критериев оценки в соответствии с Документацией о закупке.</w:t>
      </w:r>
    </w:p>
    <w:p>
      <w:pPr>
        <w:pStyle w:val="Style24"/>
        <w:rPr/>
      </w:pPr>
      <w:r>
        <w:rPr/>
        <w:t>При проведении переторжки по цене у Участника отсутствует обязанность предложить цену обязательно ниже цен иных Участников (т.е. данная процедура не является аукционом или его аналогом, поскольку каждый снижает свою собственную цену независимо от цен, заявленных другими Участниками).</w:t>
      </w:r>
    </w:p>
    <w:p>
      <w:pPr>
        <w:pStyle w:val="Style24"/>
        <w:rPr/>
      </w:pPr>
      <w:r>
        <w:rPr/>
        <w:t>В переторжке может принять участие любой Участник, заявка которого не была отклонена по результатам рассмотрения заявок.</w:t>
      </w:r>
    </w:p>
    <w:p>
      <w:pPr>
        <w:pStyle w:val="Style24"/>
        <w:rPr/>
      </w:pPr>
      <w:r>
        <w:rPr/>
        <w:t>Участник, допущенный к переторжке, вправе не принимать в ней участия, при этом его заявка не отклоняется и действует на предложенных в ней условиях в течение срока, указанного в Письме о подаче оферты (форма 2) (</w:t>
      </w:r>
      <w:hyperlink w:anchor="Прил04_ФормыЗаявки">
        <w:r>
          <w:rPr>
            <w:rStyle w:val="Style13"/>
          </w:rPr>
          <w:t>Приложение № 4</w:t>
        </w:r>
      </w:hyperlink>
      <w:r>
        <w:rPr/>
        <w:t>).</w:t>
      </w:r>
    </w:p>
    <w:p>
      <w:pPr>
        <w:pStyle w:val="Style24"/>
        <w:rPr/>
      </w:pPr>
      <w:r>
        <w:rPr/>
        <w:t>Предложения Участника по снижению предпочтительности заявки по соответствующему предмету переторжки, в том числе по повышению цены, не рассматриваются, такой Участник считается не участвовавшим в переторжке.</w:t>
      </w:r>
    </w:p>
    <w:p>
      <w:pPr>
        <w:pStyle w:val="Style24"/>
        <w:rPr/>
      </w:pPr>
      <w:r>
        <w:rPr/>
        <w:t>Изменение цены в сторону снижения, а также изменение иных условий заявки по соответствующему предмету переторжки, не должно повлечь за собой отклонения (в сторону ухудшения) от требований, условий Заказчика, описанных в Документации о закупке, коммерческих интересов Заказчика. При наличии таких отклонений заявка Участника рассматривается с ранее заявленными условиями.</w:t>
      </w:r>
    </w:p>
    <w:p>
      <w:pPr>
        <w:pStyle w:val="Style24"/>
        <w:rPr/>
      </w:pPr>
      <w:r>
        <w:rPr/>
        <w:t>Участник не вправе изменять и (или) отзывать поданные предложения на переторжку после окончания ее проведения.</w:t>
      </w:r>
    </w:p>
    <w:p>
      <w:pPr>
        <w:pStyle w:val="Style24"/>
        <w:rPr/>
      </w:pPr>
      <w:r>
        <w:rPr/>
        <w:t>Участие в переторжке не расценивается Организатором как нарушение требований о праве подачи Участником не более одной заявки. Предложения, заявленные Участниками в ходе переторжки, имеют статус разрешенных изменений в ранее поданную заявку.</w:t>
      </w:r>
    </w:p>
    <w:p>
      <w:pPr>
        <w:pStyle w:val="Style24"/>
        <w:rPr/>
      </w:pPr>
      <w:r>
        <w:rPr/>
        <w:t>Процедура переторжки проводится на ЭП в порядке, предусмотренном настоящим подразделом и Регламентом ЭП.</w:t>
      </w:r>
    </w:p>
    <w:p>
      <w:pPr>
        <w:pStyle w:val="Style24"/>
        <w:keepNext w:val="true"/>
        <w:rPr/>
      </w:pPr>
      <w:r>
        <w:rPr/>
        <w:t>В зависимости от правил, предусмотренных Регламентом ЭП, переторжка может проводиться:</w:t>
      </w:r>
    </w:p>
    <w:p>
      <w:pPr>
        <w:pStyle w:val="Style25"/>
        <w:rPr/>
      </w:pPr>
      <w:r>
        <w:rPr/>
        <w:t>в заочной форме путем однократной подачи предложения на переторжку к установленному сроку;</w:t>
      </w:r>
    </w:p>
    <w:p>
      <w:pPr>
        <w:pStyle w:val="Style25"/>
        <w:rPr/>
      </w:pPr>
      <w:r>
        <w:rPr/>
        <w:t>в очной форме путем неоднократного снижения стоимости заявки (цены Договора) или улучшения других показателей, в том числе с установлением «шага» переторжки.</w:t>
      </w:r>
    </w:p>
    <w:p>
      <w:pPr>
        <w:pStyle w:val="Style24"/>
        <w:rPr/>
      </w:pPr>
      <w:r>
        <w:rPr/>
        <w:t>Приглашение Участников к процедуре переторжки осуществляется посредством одновременного (в один день) направления им соответствующих уведомлений посредством ЭП. В уведомлении указывается срок окончания подачи Участниками предложений на переторжку.</w:t>
      </w:r>
    </w:p>
    <w:p>
      <w:pPr>
        <w:pStyle w:val="Style24"/>
        <w:rPr/>
      </w:pPr>
      <w:r>
        <w:rPr/>
        <w:t>Участник, желающий принять участие в переторжке, должен в срок, установленный Закупочной комиссией, предоставить свои предложения на переторжку.</w:t>
      </w:r>
    </w:p>
    <w:p>
      <w:pPr>
        <w:pStyle w:val="Style24"/>
        <w:rPr/>
      </w:pPr>
      <w:bookmarkStart w:id="154" w:name="_Ref136245191"/>
      <w:r>
        <w:rPr/>
        <w:t>При заочной форме переторжки Участник вместе с предложением на переторжку размещает на ЭП документы своей заявки, указанные в пункте </w:t>
      </w:r>
      <w:r>
        <w:rPr/>
        <w:fldChar w:fldCharType="begin"/>
      </w:r>
      <w:r>
        <w:rPr/>
        <w:instrText xml:space="preserve"> REF _Ref136244167 \r \h </w:instrText>
      </w:r>
      <w:r>
        <w:rPr/>
        <w:fldChar w:fldCharType="separate"/>
      </w:r>
      <w:r>
        <w:rPr/>
        <w:t>4.11.17</w:t>
      </w:r>
      <w:r>
        <w:rPr/>
        <w:fldChar w:fldCharType="end"/>
      </w:r>
      <w:r>
        <w:rPr/>
        <w:t>, подлежащие корректировке в строгом соответствии с предложением, заявленным им в ходе проведения переторжки.</w:t>
      </w:r>
      <w:bookmarkEnd w:id="154"/>
    </w:p>
    <w:p>
      <w:pPr>
        <w:pStyle w:val="Style24"/>
        <w:rPr/>
      </w:pPr>
      <w:r>
        <w:rPr/>
        <w:t>При очной форме переторжки Участник, признанный Победителем, при условии, что он принимал участие в переторжке, обязан предоставить Заказчику в сроки, определенные подразделом </w:t>
      </w:r>
      <w:r>
        <w:rPr/>
        <w:fldChar w:fldCharType="begin"/>
      </w:r>
      <w:r>
        <w:rPr/>
        <w:instrText xml:space="preserve"> REF _Ref138232981 \r \h </w:instrText>
      </w:r>
      <w:r>
        <w:rPr/>
        <w:fldChar w:fldCharType="separate"/>
      </w:r>
      <w:r>
        <w:rPr/>
        <w:t>5.2</w:t>
      </w:r>
      <w:r>
        <w:rPr/>
        <w:fldChar w:fldCharType="end"/>
      </w:r>
      <w:r>
        <w:rPr/>
        <w:t>, документы своей заявки, указанные в пункте </w:t>
      </w:r>
      <w:r>
        <w:rPr/>
        <w:fldChar w:fldCharType="begin"/>
      </w:r>
      <w:r>
        <w:rPr/>
        <w:instrText xml:space="preserve"> REF _Ref136244167 \r \h </w:instrText>
      </w:r>
      <w:r>
        <w:rPr/>
        <w:fldChar w:fldCharType="separate"/>
      </w:r>
      <w:r>
        <w:rPr/>
        <w:t>4.11.17</w:t>
      </w:r>
      <w:r>
        <w:rPr/>
        <w:fldChar w:fldCharType="end"/>
      </w:r>
      <w:r>
        <w:rPr/>
        <w:t>, подлежащие корректировке в строгом соответствии с предложением, заявленным им в ходе проведения переторжки (в том числе, последним по времени стоимостным предложением, заявленным в ходе проведения переторжки).</w:t>
      </w:r>
    </w:p>
    <w:p>
      <w:pPr>
        <w:pStyle w:val="Style24"/>
        <w:keepNext w:val="true"/>
        <w:rPr/>
      </w:pPr>
      <w:bookmarkStart w:id="155" w:name="_Ref136244167"/>
      <w:r>
        <w:rPr/>
        <w:t>Документы заявки, подлежащие корректировке по результатам переторжки:</w:t>
      </w:r>
      <w:bookmarkEnd w:id="155"/>
    </w:p>
    <w:p>
      <w:pPr>
        <w:pStyle w:val="Style25"/>
        <w:rPr/>
      </w:pPr>
      <w:r>
        <w:rPr/>
        <w:t>Письмо о подаче оферты (форма 2) (</w:t>
      </w:r>
      <w:hyperlink w:anchor="Прил04_ФормыЗаявки">
        <w:r>
          <w:rPr>
            <w:rStyle w:val="Style13"/>
          </w:rPr>
          <w:t>Приложение № 4</w:t>
        </w:r>
      </w:hyperlink>
      <w:r>
        <w:rPr/>
        <w:t>);</w:t>
      </w:r>
    </w:p>
    <w:p>
      <w:pPr>
        <w:pStyle w:val="Style25"/>
        <w:rPr/>
      </w:pPr>
      <w:r>
        <w:rPr/>
        <w:t>Коммерческое предложение (форма 3) (</w:t>
      </w:r>
      <w:hyperlink w:anchor="Прил04_ФормыЗаявки">
        <w:r>
          <w:rPr>
            <w:rStyle w:val="Style13"/>
          </w:rPr>
          <w:t>Приложение № 4</w:t>
        </w:r>
      </w:hyperlink>
      <w:r>
        <w:rPr/>
        <w:t xml:space="preserve">); также дополнительно предоставляется подтверждающая документация, составленная в соответствии с </w:t>
      </w:r>
      <w:hyperlink w:anchor="Прил01_ТехТребования">
        <w:r>
          <w:rPr>
            <w:rStyle w:val="Style13"/>
          </w:rPr>
          <w:t>Техническими требованиями (Приложение № 1)</w:t>
        </w:r>
      </w:hyperlink>
      <w:r>
        <w:rPr/>
        <w:t xml:space="preserve"> – только если в Технических требованиях установлены требования к документации по ценообразованию (подраздел «Требования к документации по ценообразованию на этапе закупки»), либо аналогичные по смыслу;</w:t>
      </w:r>
    </w:p>
    <w:p>
      <w:pPr>
        <w:pStyle w:val="Style25"/>
        <w:rPr/>
      </w:pPr>
      <w:r>
        <w:rPr/>
        <w:t>План распределения объемов поставки продукции (форма 11) (</w:t>
      </w:r>
      <w:hyperlink w:anchor="Прил04_ФормыЗаявки">
        <w:r>
          <w:rPr>
            <w:rStyle w:val="Style13"/>
          </w:rPr>
          <w:t>Приложение № 4</w:t>
        </w:r>
      </w:hyperlink>
      <w:r>
        <w:rPr/>
        <w:t>) – только если заявка подана Коллективным участником или Генеральным подрядчиком;</w:t>
      </w:r>
    </w:p>
    <w:p>
      <w:pPr>
        <w:pStyle w:val="Style25"/>
        <w:rPr/>
      </w:pPr>
      <w:bookmarkStart w:id="156" w:name="_Ref130376111"/>
      <w:r>
        <w:rPr/>
        <w:t>иной документ, указанный в протоколе закупки (которым назначена переторжка), связанный с предметом проводимой переторжки.</w:t>
      </w:r>
      <w:bookmarkEnd w:id="156"/>
    </w:p>
    <w:p>
      <w:pPr>
        <w:pStyle w:val="Style24"/>
        <w:rPr/>
      </w:pPr>
      <w:r>
        <w:rPr/>
        <w:t>Если Участник, принявший участие в переторжке в заочной форме, не предоставил документы, в соответствии с пунктом </w:t>
      </w:r>
      <w:r>
        <w:rPr/>
        <w:fldChar w:fldCharType="begin"/>
      </w:r>
      <w:r>
        <w:rPr/>
        <w:instrText xml:space="preserve"> REF _Ref136245191 \r \h </w:instrText>
      </w:r>
      <w:r>
        <w:rPr/>
        <w:fldChar w:fldCharType="separate"/>
      </w:r>
      <w:r>
        <w:rPr/>
        <w:t>4.11.15</w:t>
      </w:r>
      <w:r>
        <w:rPr/>
        <w:fldChar w:fldCharType="end"/>
      </w:r>
      <w:r>
        <w:rPr/>
        <w:t>, либо не предоставил их в ответ на дополнительный запрос Организатора, он считается не участвовавшим в переторжке, и его заявка остается действующей с ранее (первоначально) заявленными условиями.</w:t>
      </w:r>
    </w:p>
    <w:p>
      <w:pPr>
        <w:pStyle w:val="Style24"/>
        <w:rPr/>
      </w:pPr>
      <w:r>
        <w:rPr/>
        <w:t>При наличии соответствующего решения Закупочной комиссии о допуске Участника к переторжке в заочной форме с отлагательным условием (например, при условии представления им недостающих ранее или уточняющих документов) и неисполнения Участником этого условия, Закупочная комиссия отклоняет заявку такого Участника после переторжки.</w:t>
      </w:r>
    </w:p>
    <w:p>
      <w:pPr>
        <w:pStyle w:val="Style24"/>
        <w:rPr/>
      </w:pPr>
      <w:r>
        <w:rPr/>
        <w:t>Результаты переторжки оформляются протоколом, который Организатор официально размещает в течение 3 (трех) календарных дней с даты проведения переторжки.</w:t>
      </w:r>
    </w:p>
    <w:p>
      <w:pPr>
        <w:pStyle w:val="Style23"/>
        <w:rPr/>
      </w:pPr>
      <w:bookmarkStart w:id="157" w:name="_Toc188004681"/>
      <w:bookmarkStart w:id="158" w:name="_Ref125369308"/>
      <w:bookmarkStart w:id="159" w:name="_Ref125369041"/>
      <w:bookmarkStart w:id="160" w:name="_Ref125366534"/>
      <w:bookmarkStart w:id="161" w:name="_Ref125365519"/>
      <w:bookmarkStart w:id="162" w:name="_Ref125365335"/>
      <w:bookmarkStart w:id="163" w:name="_Ref125362626"/>
      <w:r>
        <w:rPr/>
        <w:t>Оценка и сопоставление заявок</w:t>
      </w:r>
      <w:bookmarkEnd w:id="157"/>
      <w:bookmarkEnd w:id="158"/>
      <w:bookmarkEnd w:id="159"/>
      <w:bookmarkEnd w:id="160"/>
      <w:bookmarkEnd w:id="161"/>
      <w:bookmarkEnd w:id="162"/>
      <w:bookmarkEnd w:id="163"/>
    </w:p>
    <w:p>
      <w:pPr>
        <w:pStyle w:val="Style24"/>
        <w:rPr/>
      </w:pPr>
      <w:r>
        <w:rPr/>
        <w:t>Оценка и сопоставление заявок, признанных Закупочной комиссией соответствующими по результатам рассмотрения заявок (подраздел </w:t>
      </w:r>
      <w:r>
        <w:rPr/>
        <w:fldChar w:fldCharType="begin"/>
      </w:r>
      <w:r>
        <w:rPr/>
        <w:instrText xml:space="preserve"> REF _Ref125362364 \w \h </w:instrText>
      </w:r>
      <w:r>
        <w:rPr/>
        <w:fldChar w:fldCharType="separate"/>
      </w:r>
      <w:r>
        <w:rPr/>
        <w:t>4.9</w:t>
      </w:r>
      <w:r>
        <w:rPr/>
        <w:fldChar w:fldCharType="end"/>
      </w:r>
      <w:r>
        <w:rPr/>
        <w:t xml:space="preserve">), осуществляется в соответствии с </w:t>
      </w:r>
      <w:hyperlink w:anchor="Прил08_ПорядокОценки">
        <w:r>
          <w:rPr>
            <w:rStyle w:val="Style13"/>
          </w:rPr>
          <w:t>Порядком и критериями оценки и сопоставления заявок (Приложение № 8)</w:t>
        </w:r>
      </w:hyperlink>
      <w:r>
        <w:rPr/>
        <w:t>. Их результатом является формирование ранжировки заявок по степени предпочтительности на основании полученного итогового балла (по мере уменьшения). При этом первое место в ранжировке присваивается заявке, получившей наибольший итоговый балл. Если по результатам оценки нескольким заявкам присвоен одинаковый итоговый балл, то меньший порядковый номер (более высокое место в ранжировке) присваивается заявке, которая поступила ранее других заявок (по дате и времени последнего изменения заявки на ЭП до окончания срока подачи заявок).</w:t>
      </w:r>
    </w:p>
    <w:p>
      <w:pPr>
        <w:pStyle w:val="Style24"/>
        <w:rPr/>
      </w:pPr>
      <w:r>
        <w:rPr/>
        <w:t xml:space="preserve">Если в соответствии с </w:t>
      </w:r>
      <w:hyperlink w:anchor="Прил08_ПорядокОценки">
        <w:r>
          <w:rPr>
            <w:rStyle w:val="Style13"/>
          </w:rPr>
          <w:t>Порядком и критериями оценки и сопоставления заявок (Приложение № 8)</w:t>
        </w:r>
      </w:hyperlink>
      <w:r>
        <w:rPr/>
        <w:t xml:space="preserve"> предусмотрен единственный ценовой критерий оценки (иные критерии оценки не предусмотрены), оценка и сопоставление заявок, признанных Закупочной комиссией соответствующими по результатам рассмотрения заявок (подраздел </w:t>
      </w:r>
      <w:r>
        <w:rPr/>
        <w:fldChar w:fldCharType="begin"/>
      </w:r>
      <w:r>
        <w:rPr/>
        <w:instrText xml:space="preserve"> REF _Ref135749133 \r \h </w:instrText>
      </w:r>
      <w:r>
        <w:rPr/>
        <w:fldChar w:fldCharType="separate"/>
      </w:r>
      <w:r>
        <w:rPr/>
        <w:t>4.9</w:t>
      </w:r>
      <w:r>
        <w:rPr/>
        <w:fldChar w:fldCharType="end"/>
      </w:r>
      <w:r>
        <w:rPr/>
        <w:t>), осуществляется:</w:t>
      </w:r>
    </w:p>
    <w:p>
      <w:pPr>
        <w:pStyle w:val="Style25"/>
        <w:rPr/>
      </w:pPr>
      <w:r>
        <w:rPr/>
        <w:t>в соответствии с единственным ценовым критерием оценки (критерием выбора Победителя) – стоимость заявки (цена Договора);</w:t>
      </w:r>
    </w:p>
    <w:p>
      <w:pPr>
        <w:pStyle w:val="Style25"/>
        <w:rPr/>
      </w:pPr>
      <w:r>
        <w:rPr/>
        <w:t>в едином базисе без учета НДС;</w:t>
      </w:r>
    </w:p>
    <w:p>
      <w:pPr>
        <w:pStyle w:val="Style25"/>
        <w:rPr/>
      </w:pPr>
      <w:r>
        <w:rPr/>
        <w:t>с последующим формированием по итогам этого ранжировки заявок по мере повышения стоимости заявки (цены Договора). При этом первое место в ранжировке присваивается заявке с наименьшей стоимостью заявки. Если несколько заявок имеют одинаковую стоимость, меньший порядковый номер (более высокое место в ранжировке) присваивается заявке, которая поступила ранее других заявок (по дате и времени последнего изменения заявки на ЭП до окончания срока подачи заявок).</w:t>
      </w:r>
    </w:p>
    <w:p>
      <w:pPr>
        <w:pStyle w:val="Style24"/>
        <w:rPr/>
      </w:pPr>
      <w:r>
        <w:rPr/>
        <w:t>Оценка и сопоставление заявок проводится только на основании представленных в составе заявки документов и сведений. Применение иного порядка и (или) критериев оценки и сопоставления заявок, кроме предусмотренных Документацией о закупке, не допускается.</w:t>
      </w:r>
    </w:p>
    <w:p>
      <w:pPr>
        <w:pStyle w:val="Style24"/>
        <w:rPr/>
      </w:pPr>
      <w:r>
        <w:rPr/>
        <w:t>Если проводилась переторжка, оценка и сопоставление заявок, а также их ранжировка осуществляются с учетом предложений, полученных по результатам переторжки (последней переторжки – если она проводилась многократно). Заявки Участников, не принявших участие в переторжке, учитываются при построении ранжировки заявок с первоначальными, указанными в их заявках предложениями (или с предложениями, принятыми Организатором в рамках последней прошедшей переторжки – если она проводилась многократно).</w:t>
      </w:r>
    </w:p>
    <w:p>
      <w:pPr>
        <w:pStyle w:val="Style24"/>
        <w:rPr/>
      </w:pPr>
      <w:r>
        <w:rPr/>
        <w:t>Оценка и сопоставление заявок, а также их ранжировка, осуществляется с учетом применения законодательства о национальном режиме, в т.ч. ПП 1875 (подраздел </w:t>
      </w:r>
      <w:r>
        <w:rPr/>
        <w:fldChar w:fldCharType="begin"/>
      </w:r>
      <w:r>
        <w:rPr/>
        <w:instrText xml:space="preserve"> REF _Ref130985951 \r \h </w:instrText>
      </w:r>
      <w:r>
        <w:rPr/>
        <w:fldChar w:fldCharType="separate"/>
      </w:r>
      <w:r>
        <w:rPr/>
        <w:t>4.13</w:t>
      </w:r>
      <w:r>
        <w:rPr/>
        <w:fldChar w:fldCharType="end"/>
      </w:r>
      <w:r>
        <w:rPr/>
        <w:t>).</w:t>
      </w:r>
    </w:p>
    <w:p>
      <w:pPr>
        <w:pStyle w:val="Style24"/>
        <w:rPr/>
      </w:pPr>
      <w:r>
        <w:rPr/>
        <w:t>Результаты оценки и сопоставления заявок вносятся в итоговый протокол по результатам закупки.</w:t>
      </w:r>
    </w:p>
    <w:p>
      <w:pPr>
        <w:pStyle w:val="Style23"/>
        <w:rPr>
          <w:color w:val="000000" w:themeColor="text1"/>
        </w:rPr>
      </w:pPr>
      <w:bookmarkStart w:id="164" w:name="_Ref130458671"/>
      <w:bookmarkStart w:id="165" w:name="_Ref125370507"/>
      <w:bookmarkStart w:id="166" w:name="_Ref125369991"/>
      <w:bookmarkStart w:id="167" w:name="_Ref125366064"/>
      <w:bookmarkStart w:id="168" w:name="_Toc188004682"/>
      <w:bookmarkStart w:id="169" w:name="_Ref132894111"/>
      <w:bookmarkStart w:id="170" w:name="_Ref132894106"/>
      <w:bookmarkStart w:id="171" w:name="_Ref130985951"/>
      <w:bookmarkStart w:id="172" w:name="_Ref186128193"/>
      <w:r>
        <w:rPr>
          <w:color w:val="000000" w:themeColor="text1"/>
        </w:rPr>
        <w:t>Применение законодательства о национальном режиме</w:t>
      </w:r>
      <w:bookmarkEnd w:id="164"/>
      <w:bookmarkEnd w:id="165"/>
      <w:bookmarkEnd w:id="166"/>
      <w:bookmarkEnd w:id="167"/>
      <w:bookmarkEnd w:id="168"/>
      <w:bookmarkEnd w:id="169"/>
      <w:bookmarkEnd w:id="170"/>
      <w:bookmarkEnd w:id="171"/>
      <w:bookmarkEnd w:id="172"/>
    </w:p>
    <w:p>
      <w:pPr>
        <w:pStyle w:val="Style24"/>
        <w:rPr/>
      </w:pPr>
      <w:r>
        <w:rPr/>
        <w:t>Настоящий подраздел применяется исходя из информации, установленной в подразделе </w:t>
      </w:r>
      <w:r>
        <w:rPr/>
        <w:fldChar w:fldCharType="begin"/>
      </w:r>
      <w:r>
        <w:rPr/>
        <w:instrText xml:space="preserve"> REF _Ref125359973 \r \h </w:instrText>
      </w:r>
      <w:r>
        <w:rPr/>
        <w:fldChar w:fldCharType="separate"/>
      </w:r>
      <w:r>
        <w:rPr/>
        <w:t>1.2</w:t>
      </w:r>
      <w:r>
        <w:rPr/>
        <w:fldChar w:fldCharType="end"/>
      </w:r>
      <w:r>
        <w:rPr/>
        <w:t>.</w:t>
      </w:r>
    </w:p>
    <w:p>
      <w:pPr>
        <w:pStyle w:val="Style24"/>
        <w:rPr/>
      </w:pPr>
      <w:r>
        <w:rPr/>
        <w:t>Если в подразделе </w:t>
      </w:r>
      <w:r>
        <w:rPr/>
        <w:fldChar w:fldCharType="begin"/>
      </w:r>
      <w:r>
        <w:rPr/>
        <w:instrText xml:space="preserve"> REF _Ref125359973 \r \h </w:instrText>
      </w:r>
      <w:r>
        <w:rPr/>
        <w:fldChar w:fldCharType="separate"/>
      </w:r>
      <w:r>
        <w:rPr/>
        <w:t>1.2</w:t>
      </w:r>
      <w:r>
        <w:rPr/>
        <w:fldChar w:fldCharType="end"/>
      </w:r>
      <w:r>
        <w:rPr/>
        <w:t xml:space="preserve"> установлен режим запрета закупки иностранной продукции, то не допускается заключение договора на поставку такой продукции (на поставку товара иностранного происхождения / на оказание услуг иностранным лицом / на выполнение работ иностранным лицом) – соответствующая заявка отклоняется при рассмотрении заявок (подраздел </w:t>
      </w:r>
      <w:r>
        <w:rPr/>
        <w:fldChar w:fldCharType="begin"/>
      </w:r>
      <w:r>
        <w:rPr/>
        <w:instrText xml:space="preserve"> REF _Ref135749133 \r \h </w:instrText>
      </w:r>
      <w:r>
        <w:rPr/>
        <w:fldChar w:fldCharType="separate"/>
      </w:r>
      <w:r>
        <w:rPr/>
        <w:t>4.9</w:t>
      </w:r>
      <w:r>
        <w:rPr/>
        <w:fldChar w:fldCharType="end"/>
      </w:r>
      <w:r>
        <w:rPr/>
        <w:t>).</w:t>
      </w:r>
    </w:p>
    <w:p>
      <w:pPr>
        <w:pStyle w:val="Style24"/>
        <w:rPr/>
      </w:pPr>
      <w:r>
        <w:rPr/>
        <w:t>Если в подразделе </w:t>
      </w:r>
      <w:r>
        <w:rPr/>
        <w:fldChar w:fldCharType="begin"/>
      </w:r>
      <w:r>
        <w:rPr/>
        <w:instrText xml:space="preserve"> REF _Ref125359973 \r \h </w:instrText>
      </w:r>
      <w:r>
        <w:rPr/>
        <w:fldChar w:fldCharType="separate"/>
      </w:r>
      <w:r>
        <w:rPr/>
        <w:t>1.2</w:t>
      </w:r>
      <w:r>
        <w:rPr/>
        <w:fldChar w:fldCharType="end"/>
      </w:r>
      <w:r>
        <w:rPr/>
        <w:t xml:space="preserve"> установлен режим ограничения закупки иностранной продукции, то не допускается заключение договора на поставку такой продукции, если была подана и по результатам рассмотрения заявок допущена заявка с российской продукцией (на поставку товара российского происхождения / на оказание услуг российским лицом / на выполнение работ российским лицом), – соответствующая заявка отклоняется при рассмотрении заявок (подраздел 4.9).</w:t>
      </w:r>
    </w:p>
    <w:p>
      <w:pPr>
        <w:pStyle w:val="Style24"/>
        <w:rPr/>
      </w:pPr>
      <w:r>
        <w:rPr/>
        <w:t>Если в подразделе </w:t>
      </w:r>
      <w:r>
        <w:rPr/>
        <w:fldChar w:fldCharType="begin"/>
      </w:r>
      <w:r>
        <w:rPr/>
        <w:instrText xml:space="preserve"> REF _Ref125359973 \r \h </w:instrText>
      </w:r>
      <w:r>
        <w:rPr/>
        <w:fldChar w:fldCharType="separate"/>
      </w:r>
      <w:r>
        <w:rPr/>
        <w:t>1.2</w:t>
      </w:r>
      <w:r>
        <w:rPr/>
        <w:fldChar w:fldCharType="end"/>
      </w:r>
      <w:r>
        <w:rPr/>
        <w:t xml:space="preserve"> установлен режим преимущества российской продукции, то при оценке и сопоставлении заявок, а также их ранжировке (подраздел </w:t>
      </w:r>
      <w:r>
        <w:rPr/>
        <w:fldChar w:fldCharType="begin"/>
      </w:r>
      <w:r>
        <w:rPr/>
        <w:instrText xml:space="preserve"> REF _Ref125362626 \r \h </w:instrText>
      </w:r>
      <w:r>
        <w:rPr/>
        <w:fldChar w:fldCharType="separate"/>
      </w:r>
      <w:r>
        <w:rPr/>
        <w:t>4.12</w:t>
      </w:r>
      <w:r>
        <w:rPr/>
        <w:fldChar w:fldCharType="end"/>
      </w:r>
      <w:r>
        <w:rPr/>
        <w:t>), осуществляется снижение</w:t>
      </w:r>
      <w:r>
        <w:rPr>
          <w:rStyle w:val="FootnoteReference"/>
        </w:rPr>
        <w:footnoteReference w:id="9"/>
      </w:r>
      <w:r>
        <w:rPr/>
        <w:t xml:space="preserve"> на 15% (пятнадцать процентов) итоговой стоимости заявки (цены Договора), поданной и допущенной заявки с российской продукцией (на поставку товара российского происхождения / на оказание услуг российским лицом / на выполнение работ российским лицом).</w:t>
      </w:r>
    </w:p>
    <w:p>
      <w:pPr>
        <w:pStyle w:val="Style24"/>
        <w:rPr/>
      </w:pPr>
      <w:r>
        <w:rPr/>
        <w:t xml:space="preserve">Состав и требования к информации и перечню документов, которые подтверждают страну происхождения товара в целях предоставления национального режима, установлены в </w:t>
      </w:r>
      <w:hyperlink w:anchor="Прил01_ТехТребования">
        <w:r>
          <w:rPr>
            <w:rStyle w:val="Style13"/>
          </w:rPr>
          <w:t>Технических требованиях (Приложение № 1)</w:t>
        </w:r>
      </w:hyperlink>
      <w:r>
        <w:rPr/>
        <w:t>.</w:t>
      </w:r>
    </w:p>
    <w:p>
      <w:pPr>
        <w:pStyle w:val="Style23"/>
        <w:rPr/>
      </w:pPr>
      <w:bookmarkStart w:id="173" w:name="_Toc188004683"/>
      <w:bookmarkStart w:id="174" w:name="_Ref125367242"/>
      <w:bookmarkStart w:id="175" w:name="_Ref125366091"/>
      <w:bookmarkStart w:id="176" w:name="_Ref125362658"/>
      <w:r>
        <w:rPr/>
        <w:t>Подведение итогов закупки (определение Победителя)</w:t>
      </w:r>
      <w:bookmarkEnd w:id="173"/>
      <w:bookmarkEnd w:id="174"/>
      <w:bookmarkEnd w:id="175"/>
      <w:bookmarkEnd w:id="176"/>
    </w:p>
    <w:p>
      <w:pPr>
        <w:pStyle w:val="Style24"/>
        <w:rPr/>
      </w:pPr>
      <w:r>
        <w:rPr/>
        <w:t>Дата окончания срока подведения итогов закупки указана в подразделе </w:t>
      </w:r>
      <w:r>
        <w:rPr/>
        <w:fldChar w:fldCharType="begin"/>
      </w:r>
      <w:r>
        <w:rPr/>
        <w:instrText xml:space="preserve"> REF _Ref125359973 \r \h </w:instrText>
      </w:r>
      <w:r>
        <w:rPr/>
        <w:fldChar w:fldCharType="separate"/>
      </w:r>
      <w:r>
        <w:rPr/>
        <w:t>1.2</w:t>
      </w:r>
      <w:r>
        <w:rPr/>
        <w:fldChar w:fldCharType="end"/>
      </w:r>
      <w:r>
        <w:rPr/>
        <w:t>. Организатор по согласованию с Заказчиком вправе, при необходимости, изменить данный срок, официально разместив информацию об этом.</w:t>
      </w:r>
    </w:p>
    <w:p>
      <w:pPr>
        <w:pStyle w:val="Style24"/>
        <w:rPr/>
      </w:pPr>
      <w:r>
        <w:rPr/>
        <w:t>На основании полученных результатов оценки и сопоставления заявок Организатор подводит итоги закупки. Победителем закупки признается Участник, заявка которого заняла 1 (первое) место в ранжировке заявок по итогам рассмотрения, оценки и сопоставления заявок.</w:t>
      </w:r>
    </w:p>
    <w:p>
      <w:pPr>
        <w:pStyle w:val="Style24"/>
        <w:rPr/>
      </w:pPr>
      <w:r>
        <w:rPr/>
        <w:t>Перед окончательным определением Победителя Организатор вправе потребовать от Участника, занявшего верхнее место в ранжировке, прохождения процедуры постквалификации. В рамках постквалификации Организатор вправе запросить у Участника предоставление документов и (или) информации, подтверждающих представленные в заявке сведения, а также провести дополнительную проверку достоверности представленных документов и информации. Постквалификация проводится по отборочным критериям (</w:t>
      </w:r>
      <w:hyperlink w:anchor="Прил07_ОтборочныеКритерии">
        <w:r>
          <w:rPr>
            <w:rStyle w:val="Style13"/>
          </w:rPr>
          <w:t>Приложение № 7</w:t>
        </w:r>
      </w:hyperlink>
      <w:r>
        <w:rPr/>
        <w:t>), относящимся к соответствию Участника установленным требованиям Документации о закупке. Заявка Участника, не отвечающего необходимым требованиям, отклоняется, при этом Организатор вправе продолжить процедуру проверки в отношении Участника, занявшего следующее место в ранжировке.</w:t>
      </w:r>
    </w:p>
    <w:p>
      <w:pPr>
        <w:pStyle w:val="Style24"/>
        <w:rPr/>
      </w:pPr>
      <w:r>
        <w:rPr/>
        <w:t>Если к моменту подведения итогов закупки с выбором в качестве Победителя ранее аккредитованного Участника прошло более 6 (шести) календарных месяцев с даты присвоения ему статуса «аккредитован» / «аккредитация не требуется», перед окончательным определением Победителя проводится процедура актуализации статуса аккредитации данного Участника. Если по результатам такой проверки Участнику присвоен статус «не аккредитован», его заявка отклоняется, а Закупочная комиссия имеет право выбрать в качестве Победителя иного Участника, занявшего следующее после него место в ранжировке заявок, из числа остальных действующих заявок (при наличии у него актуального статуса аккредитации).</w:t>
      </w:r>
    </w:p>
    <w:p>
      <w:pPr>
        <w:pStyle w:val="Style24"/>
        <w:keepNext w:val="true"/>
        <w:rPr/>
      </w:pPr>
      <w:bookmarkStart w:id="177" w:name="_Ref125365974"/>
      <w:r>
        <w:rPr/>
        <w:t>Решение Закупочной комиссии по определению Победителя оформляется итоговым протоколом по результатам закупки, в котором, как минимум, указываются</w:t>
      </w:r>
      <w:r>
        <w:rPr>
          <w:rStyle w:val="FootnoteReference"/>
        </w:rPr>
        <w:footnoteReference w:id="10"/>
      </w:r>
      <w:r>
        <w:rPr/>
        <w:t>:</w:t>
      </w:r>
      <w:bookmarkEnd w:id="177"/>
    </w:p>
    <w:p>
      <w:pPr>
        <w:pStyle w:val="Style25"/>
        <w:rPr/>
      </w:pPr>
      <w:r>
        <w:rPr/>
        <w:t>дата подписания протокола;</w:t>
      </w:r>
    </w:p>
    <w:p>
      <w:pPr>
        <w:pStyle w:val="Style25"/>
        <w:rPr/>
      </w:pPr>
      <w:r>
        <w:rPr/>
        <w:t>общее количество поступивших заявок, а также дата и время регистрации каждой заявки (по факту последнего изменения заявки до окончания срока подачи заявок);</w:t>
      </w:r>
    </w:p>
    <w:p>
      <w:pPr>
        <w:pStyle w:val="Style25"/>
        <w:rPr/>
      </w:pPr>
      <w:r>
        <w:rPr/>
        <w:t>идентификационные номера заявок Участников, допущенных по результатам рассмотрения заявок, присваиваемые Оператором ЭП;</w:t>
      </w:r>
    </w:p>
    <w:p>
      <w:pPr>
        <w:pStyle w:val="Style25"/>
        <w:keepNext w:val="true"/>
        <w:rPr/>
      </w:pPr>
      <w:r>
        <w:rPr/>
        <w:t>результаты дополнительного рассмотрения заявок (при возникновении оснований для отклонения заявок по результатам проведения постквалификации или актуализации статуса аккредитации, если такие процедуры проводились) с указанием, в том числе:</w:t>
      </w:r>
    </w:p>
    <w:p>
      <w:pPr>
        <w:pStyle w:val="Style26"/>
        <w:rPr/>
      </w:pPr>
      <w:r>
        <w:rPr/>
        <w:t>количества заявок, которые были отклонены;</w:t>
      </w:r>
    </w:p>
    <w:p>
      <w:pPr>
        <w:pStyle w:val="Style26"/>
        <w:rPr/>
      </w:pPr>
      <w:r>
        <w:rPr/>
        <w:t>оснований отклонения каждой заявки с указанием положений Документации о закупке, которым не соответствует такая заявка;</w:t>
      </w:r>
    </w:p>
    <w:p>
      <w:pPr>
        <w:pStyle w:val="Style25"/>
        <w:rPr/>
      </w:pPr>
      <w:r>
        <w:rPr/>
        <w:t xml:space="preserve">результаты оценки и сопоставления заявок с указанием, в том числе, если в соответствии с </w:t>
      </w:r>
      <w:hyperlink w:anchor="Прил08_ПорядокОценки">
        <w:r>
          <w:rPr>
            <w:rStyle w:val="Style13"/>
          </w:rPr>
          <w:t>Порядком и критериями оценки и сопоставления заявок (Приложение № 8)</w:t>
        </w:r>
      </w:hyperlink>
      <w:r>
        <w:rPr/>
        <w:t xml:space="preserve"> был предусмотрен многокритериальный порядок оценки, значения (в баллах), присвоенного каждой заявке по каждому из предусмотренных критериев оценки, установленных в Документации о закупке;</w:t>
      </w:r>
    </w:p>
    <w:p>
      <w:pPr>
        <w:pStyle w:val="Style25"/>
        <w:rPr/>
      </w:pPr>
      <w:r>
        <w:rPr/>
        <w:t>порядковые номера каждой заявки (с указанием стоимостей заявок (цен Договоров), допущенной по результатам рассмотрения заявок, в том числе с учетом результатов актуализации статуса аккредитации и проведения переторжки (если указанные процедуры проводились), в ранжировке заявок;</w:t>
      </w:r>
    </w:p>
    <w:p>
      <w:pPr>
        <w:pStyle w:val="Style25"/>
        <w:rPr/>
      </w:pPr>
      <w:r>
        <w:rPr/>
        <w:t>идентификационный номер заявки Победителя закупки или Единственного участника несостоявшейся закупки, с которым планируется заключить Договор;</w:t>
      </w:r>
    </w:p>
    <w:p>
      <w:pPr>
        <w:pStyle w:val="Style25"/>
        <w:rPr/>
      </w:pPr>
      <w:r>
        <w:rPr/>
        <w:t>причины, по которым закупка признана несостоявшейся (в случае ее признания таковой),</w:t>
      </w:r>
    </w:p>
    <w:p>
      <w:pPr>
        <w:pStyle w:val="Style28"/>
        <w:ind w:left="1134" w:hanging="0"/>
        <w:rPr/>
      </w:pPr>
      <w:r>
        <w:rPr/>
        <w:t>после чего Организатор официально размещает его в течение 3 (трех) календарных дней с даты подписания такого протокола.</w:t>
      </w:r>
    </w:p>
    <w:p>
      <w:pPr>
        <w:pStyle w:val="Style24"/>
        <w:rPr/>
      </w:pPr>
      <w:r>
        <w:rPr/>
        <w:t>Победитель дополнительно уведомляется о результатах проводимой закупки с использованием ЭП – уведомление направляется Оператором ЭП согласно Регламенту ЭП.</w:t>
      </w:r>
    </w:p>
    <w:p>
      <w:pPr>
        <w:pStyle w:val="Style24"/>
        <w:rPr/>
      </w:pPr>
      <w:r>
        <w:rPr/>
        <w:t>Если между официальным размещением итогового протокола по результатам закупки и подписанием Договора изменится Победитель (например, вследствие уклонения Победителя или потери им статуса), информация о новом Победителе официально размещается Организатором в том же порядке.</w:t>
      </w:r>
    </w:p>
    <w:p>
      <w:pPr>
        <w:pStyle w:val="Style23"/>
        <w:rPr/>
      </w:pPr>
      <w:bookmarkStart w:id="178" w:name="_Toc188004684"/>
      <w:bookmarkStart w:id="179" w:name="_Ref125366796"/>
      <w:bookmarkStart w:id="180" w:name="_Ref125366631"/>
      <w:bookmarkStart w:id="181" w:name="_Ref125365570"/>
      <w:bookmarkStart w:id="182" w:name="_Ref125365305"/>
      <w:bookmarkStart w:id="183" w:name="_Ref125364187"/>
      <w:bookmarkStart w:id="184" w:name="_Ref125364149"/>
      <w:r>
        <w:rPr/>
        <w:t>Признание закупки несостоявшейся</w:t>
      </w:r>
      <w:bookmarkEnd w:id="178"/>
      <w:bookmarkEnd w:id="179"/>
      <w:bookmarkEnd w:id="180"/>
      <w:bookmarkEnd w:id="181"/>
      <w:bookmarkEnd w:id="182"/>
      <w:bookmarkEnd w:id="183"/>
      <w:bookmarkEnd w:id="184"/>
    </w:p>
    <w:p>
      <w:pPr>
        <w:pStyle w:val="Style24"/>
        <w:keepNext w:val="true"/>
        <w:rPr/>
      </w:pPr>
      <w:r>
        <w:rPr/>
        <w:t>Закупка признается несостоявшейся в следующих случаях:</w:t>
      </w:r>
    </w:p>
    <w:p>
      <w:pPr>
        <w:pStyle w:val="Style25"/>
        <w:rPr/>
      </w:pPr>
      <w:r>
        <w:rPr/>
        <w:t>если по окончанию срока подачи заявок поступило менее 2 (двух) заявок (с учетом возможных отзывов заявок);</w:t>
      </w:r>
    </w:p>
    <w:p>
      <w:pPr>
        <w:pStyle w:val="Style25"/>
        <w:rPr/>
      </w:pPr>
      <w:r>
        <w:rPr/>
        <w:t>по результатам рассмотрения заявок Закупочной комиссией принято решение о признании менее 2 (двух) заявок соответствующими требованиям Документации о закупки.</w:t>
      </w:r>
    </w:p>
    <w:p>
      <w:pPr>
        <w:pStyle w:val="Style24"/>
        <w:rPr/>
      </w:pPr>
      <w:r>
        <w:rPr/>
        <w:t>Указанные обстоятельства в случае их наступления фиксируются в соответствующем протоколе, оформляемом по результатам проведения закупки (или ее этапа).</w:t>
      </w:r>
    </w:p>
    <w:p>
      <w:pPr>
        <w:pStyle w:val="Style24"/>
        <w:keepNext w:val="true"/>
        <w:rPr/>
      </w:pPr>
      <w:r>
        <w:rPr/>
        <w:t>В случае признания закупки несостоявшейся Заказчик вправе (с учетом условий, предусмотренных Положением о закупке):</w:t>
      </w:r>
    </w:p>
    <w:p>
      <w:pPr>
        <w:pStyle w:val="Style25"/>
        <w:rPr/>
      </w:pPr>
      <w:r>
        <w:rPr/>
        <w:t>принять решение о проведении повторной закупки;</w:t>
      </w:r>
    </w:p>
    <w:p>
      <w:pPr>
        <w:pStyle w:val="Style25"/>
        <w:rPr/>
      </w:pPr>
      <w:r>
        <w:rPr/>
        <w:t>заключить договор с Единственным участником несостоявшейся закупки (раздел </w:t>
      </w:r>
      <w:r>
        <w:rPr/>
        <w:fldChar w:fldCharType="begin"/>
      </w:r>
      <w:r>
        <w:rPr/>
        <w:instrText xml:space="preserve"> REF _Ref126142429 \r \h </w:instrText>
      </w:r>
      <w:r>
        <w:rPr/>
        <w:fldChar w:fldCharType="separate"/>
      </w:r>
      <w:r>
        <w:rPr/>
        <w:t>5</w:t>
      </w:r>
      <w:r>
        <w:rPr/>
        <w:fldChar w:fldCharType="end"/>
      </w:r>
      <w:r>
        <w:rPr/>
        <w:t>);</w:t>
      </w:r>
    </w:p>
    <w:p>
      <w:pPr>
        <w:pStyle w:val="Style25"/>
        <w:rPr/>
      </w:pPr>
      <w:r>
        <w:rPr/>
        <w:t>отказаться от дополнительного повторного проведения данной закупки (при отсутствии заявок, соответствующих установленным требованиям, по результатам повторного проведения закупки).</w:t>
      </w:r>
    </w:p>
    <w:p>
      <w:pPr>
        <w:pStyle w:val="Style23"/>
        <w:rPr/>
      </w:pPr>
      <w:bookmarkStart w:id="185" w:name="_Toc188004685"/>
      <w:bookmarkStart w:id="186" w:name="_Ref126141962"/>
      <w:r>
        <w:rPr/>
        <w:t>Отказ от проведения закупки</w:t>
      </w:r>
      <w:bookmarkEnd w:id="186"/>
      <w:r>
        <w:rPr/>
        <w:t xml:space="preserve"> (отмена закупки)</w:t>
      </w:r>
      <w:bookmarkEnd w:id="185"/>
    </w:p>
    <w:p>
      <w:pPr>
        <w:pStyle w:val="Style24"/>
        <w:rPr/>
      </w:pPr>
      <w:r>
        <w:rPr/>
        <w:t>Организатор имеет право отказаться от проведения закупки не позднее окончания срока подачи заявок, не неся никакой ответственности перед Участниками или третьими лицами, которым такое действие может принести убытки.</w:t>
      </w:r>
    </w:p>
    <w:p>
      <w:pPr>
        <w:pStyle w:val="Style24"/>
        <w:rPr/>
      </w:pPr>
      <w:r>
        <w:rPr/>
        <w:t>Организатор уведомляет всех Участников об отмене закупки посредством официального размещения информации в день принятия соответствующего решения об отмене.</w:t>
      </w:r>
    </w:p>
    <w:p>
      <w:pPr>
        <w:pStyle w:val="Style24"/>
        <w:rPr/>
      </w:pPr>
      <w:r>
        <w:rPr/>
        <w:t>Дополнительно организатор уведомляет всех Участников об отмене закупки посредством ЭП.</w:t>
      </w:r>
    </w:p>
    <w:p>
      <w:pPr>
        <w:pStyle w:val="Style24"/>
        <w:rPr/>
      </w:pPr>
      <w:r>
        <w:rPr/>
        <w:t>По истечении указанного срока отмены закупки Заказчик вправе отменить закупку и заключение договора по ее результатам только в случае возникновения обстоятельств непреодолимой силы в соответствии с гражданским законодательством.</w:t>
      </w:r>
    </w:p>
    <w:p>
      <w:pPr>
        <w:pStyle w:val="Style23"/>
        <w:rPr/>
      </w:pPr>
      <w:bookmarkStart w:id="187" w:name="_Ref130455226"/>
      <w:bookmarkStart w:id="188" w:name="_Toc188004686"/>
      <w:r>
        <w:rPr/>
        <w:t>Особенности проведения закупки с необходимостью обеспечения заявки</w:t>
      </w:r>
      <w:bookmarkEnd w:id="187"/>
      <w:bookmarkEnd w:id="188"/>
    </w:p>
    <w:p>
      <w:pPr>
        <w:pStyle w:val="Style24"/>
        <w:rPr/>
      </w:pPr>
      <w:r>
        <w:rPr/>
        <w:t>Нормы настоящего подраздела применяются, если подразделом </w:t>
      </w:r>
      <w:r>
        <w:rPr/>
        <w:fldChar w:fldCharType="begin"/>
      </w:r>
      <w:r>
        <w:rPr/>
        <w:instrText xml:space="preserve"> REF _Ref125359973 \r \h </w:instrText>
      </w:r>
      <w:r>
        <w:rPr/>
        <w:fldChar w:fldCharType="separate"/>
      </w:r>
      <w:r>
        <w:rPr/>
        <w:t>1.2</w:t>
      </w:r>
      <w:r>
        <w:rPr/>
        <w:fldChar w:fldCharType="end"/>
      </w:r>
      <w:r>
        <w:rPr/>
        <w:t xml:space="preserve"> предусмотрена обязанность Участников предоставить обеспечение заявки на участие в закупке.</w:t>
      </w:r>
    </w:p>
    <w:p>
      <w:pPr>
        <w:pStyle w:val="Style24"/>
        <w:rPr/>
      </w:pPr>
      <w:r>
        <w:rPr/>
        <w:t>Настоящий подраздел дополняет или изменяет порядок проведения закупки. В случае противоречий между требованиями настоящего подраздела и порядка проведения закупки или с инструкциями по подготовке заявки применяются требования настоящего подраздела.</w:t>
      </w:r>
    </w:p>
    <w:p>
      <w:pPr>
        <w:pStyle w:val="Style24"/>
        <w:rPr/>
      </w:pPr>
      <w:r>
        <w:rPr/>
        <w:t>Обязательства Участников, связанные с подачей заявок, обеспечиваются в форме перечисления денежных средств в порядке и размере в соответствии с подразделом </w:t>
      </w:r>
      <w:r>
        <w:rPr/>
        <w:fldChar w:fldCharType="begin"/>
      </w:r>
      <w:r>
        <w:rPr/>
        <w:instrText xml:space="preserve"> REF _Ref125359973 \r \h </w:instrText>
      </w:r>
      <w:r>
        <w:rPr/>
        <w:fldChar w:fldCharType="separate"/>
      </w:r>
      <w:r>
        <w:rPr/>
        <w:t>1.2</w:t>
      </w:r>
      <w:r>
        <w:rPr/>
        <w:fldChar w:fldCharType="end"/>
      </w:r>
      <w:r>
        <w:rPr/>
        <w:t>. Выбор формы (способа) обеспечения из числа предусмотренных осуществляется Участниками самостоятельно.</w:t>
      </w:r>
    </w:p>
    <w:p>
      <w:pPr>
        <w:pStyle w:val="Style24"/>
        <w:rPr/>
      </w:pPr>
      <w:r>
        <w:rPr/>
        <w:t>В случае выбора Участником обеспечения заявки в виде денежных средств, такие денежные средства в требуемом размере должны быть внесены до момента окончания срока подачи заявок (подраздел </w:t>
      </w:r>
      <w:r>
        <w:rPr/>
        <w:fldChar w:fldCharType="begin"/>
      </w:r>
      <w:r>
        <w:rPr/>
        <w:instrText xml:space="preserve"> REF _Ref125359973 \r \h </w:instrText>
      </w:r>
      <w:r>
        <w:rPr/>
        <w:fldChar w:fldCharType="separate"/>
      </w:r>
      <w:r>
        <w:rPr/>
        <w:t>1.2</w:t>
      </w:r>
      <w:r>
        <w:rPr/>
        <w:fldChar w:fldCharType="end"/>
      </w:r>
      <w:r>
        <w:rPr/>
        <w:t>) на индивидуальные счет, открытый Участнику Оператором ЭП в соответствии с Регламентом ЭП. В противном случае обеспечение заявки считается невнесенным, и Организатор обязан отклонить заявку такого Участника.</w:t>
      </w:r>
    </w:p>
    <w:p>
      <w:pPr>
        <w:pStyle w:val="Style24"/>
        <w:rPr/>
      </w:pPr>
      <w:r>
        <w:rPr/>
        <w:t>В случае выбора Участником обеспечения заявки путем предоставление банковской гарантии (в том числе электронной банковской гарантии, выданной посредством функционала ЭП), такая банковская гарантия составляется с учетом требований статей 368 – 378 ГК РФ, а также следующих условий:</w:t>
      </w:r>
    </w:p>
    <w:p>
      <w:pPr>
        <w:pStyle w:val="Style25"/>
        <w:rPr/>
      </w:pPr>
      <w:r>
        <w:rPr/>
        <w:t>банковская гарантия должна быть безотзывной и безусловной (гарантия по первому требованию);</w:t>
      </w:r>
    </w:p>
    <w:p>
      <w:pPr>
        <w:pStyle w:val="Style25"/>
        <w:rPr/>
      </w:pPr>
      <w:r>
        <w:rPr/>
        <w:t>сумма банковской гарантии должна быть выражена в российских рублях и составлять не менее суммы в размере, указанном в подразделе </w:t>
      </w:r>
      <w:r>
        <w:rPr/>
        <w:fldChar w:fldCharType="begin"/>
      </w:r>
      <w:r>
        <w:rPr/>
        <w:instrText xml:space="preserve"> REF _Ref125359973 \r \h </w:instrText>
      </w:r>
      <w:r>
        <w:rPr/>
        <w:fldChar w:fldCharType="separate"/>
      </w:r>
      <w:r>
        <w:rPr/>
        <w:t>1.2</w:t>
      </w:r>
      <w:r>
        <w:rPr/>
        <w:fldChar w:fldCharType="end"/>
      </w:r>
      <w:r>
        <w:rPr/>
        <w:t>;</w:t>
      </w:r>
    </w:p>
    <w:p>
      <w:pPr>
        <w:pStyle w:val="Style25"/>
        <w:rPr/>
      </w:pPr>
      <w:r>
        <w:rPr/>
        <w:t>банковская гарантия должна действовать не менее 120 (ста двадцати) календарных дней с даты окончания срока подачи заявок (подраздел </w:t>
      </w:r>
      <w:r>
        <w:rPr/>
        <w:fldChar w:fldCharType="begin"/>
      </w:r>
      <w:r>
        <w:rPr/>
        <w:instrText xml:space="preserve"> REF _Ref125359973 \r \h </w:instrText>
      </w:r>
      <w:r>
        <w:rPr/>
        <w:fldChar w:fldCharType="separate"/>
      </w:r>
      <w:r>
        <w:rPr/>
        <w:t>1.2</w:t>
      </w:r>
      <w:r>
        <w:rPr/>
        <w:fldChar w:fldCharType="end"/>
      </w:r>
      <w:r>
        <w:rPr/>
        <w:t>);</w:t>
      </w:r>
    </w:p>
    <w:p>
      <w:pPr>
        <w:pStyle w:val="Style25"/>
        <w:rPr/>
      </w:pPr>
      <w:r>
        <w:rPr/>
        <w:t>бенефициаром в банковской гарантии должен быть указан Заказчик, принципалом – Участник, гарантом – банк, выдавший банковскую гарантию;</w:t>
      </w:r>
    </w:p>
    <w:p>
      <w:pPr>
        <w:pStyle w:val="Style25"/>
        <w:rPr/>
      </w:pPr>
      <w:r>
        <w:rPr/>
        <w:t>в банковской гарантии должно быть предусмотрено безусловное право Заказчика на истребование суммы банковской гарантии полностью или частично, в случае нарушения Участником закупки своих обязательств, указанных в пункте </w:t>
      </w:r>
      <w:r>
        <w:rPr/>
        <w:fldChar w:fldCharType="begin"/>
      </w:r>
      <w:r>
        <w:rPr/>
        <w:instrText xml:space="preserve"> REF _Ref149576299 \r \h </w:instrText>
      </w:r>
      <w:r>
        <w:rPr/>
        <w:fldChar w:fldCharType="separate"/>
      </w:r>
      <w:r>
        <w:rPr/>
        <w:t>4.17.11</w:t>
      </w:r>
      <w:r>
        <w:rPr/>
        <w:fldChar w:fldCharType="end"/>
      </w:r>
      <w:r>
        <w:rPr/>
        <w:t>;</w:t>
      </w:r>
    </w:p>
    <w:p>
      <w:pPr>
        <w:pStyle w:val="Style25"/>
        <w:rPr/>
      </w:pPr>
      <w:r>
        <w:rPr/>
        <w:t>в банковской гарантии должно быть предусмотрено, что для истребования суммы обеспечения Заказчик направляет гаранту только письменное требование с приложением документов, подтверждающих полномочия лица, подписавшего указанное требование (доверенность – в случае если требование подписано лицом, не указанным в ЕГРЮЛ в качестве лица, имеющего право без доверенности действовать от имени бенефициара), с указанием на существо допущенных Участником нарушений;</w:t>
      </w:r>
    </w:p>
    <w:p>
      <w:pPr>
        <w:pStyle w:val="Style25"/>
        <w:rPr/>
      </w:pPr>
      <w:r>
        <w:rPr/>
        <w:t>платеж по банковской гарантии должен быть осуществлен в течение 10 (десяти) рабочих дней после обращения бенефициара;</w:t>
      </w:r>
    </w:p>
    <w:p>
      <w:pPr>
        <w:pStyle w:val="Style25"/>
        <w:rPr/>
      </w:pPr>
      <w:r>
        <w:rPr/>
        <w:t>в банковской гарантии не должно быть условий или требований, противоречащих вышеизложенному или делающих вышеизложенное неисполнимым;</w:t>
      </w:r>
    </w:p>
    <w:p>
      <w:pPr>
        <w:pStyle w:val="Style25"/>
        <w:rPr/>
      </w:pPr>
      <w:r>
        <w:rPr/>
        <w:t>банковская гарантия должна быть выдана банком, включенным в перечень, определенный Правительством Российской Федерации в соответствии с Законом 44-ФЗ и размещенный на официальном сайте Министерства финансов Российской Федерации</w:t>
      </w:r>
      <w:r>
        <w:rPr>
          <w:rStyle w:val="FootnoteReference"/>
        </w:rPr>
        <w:footnoteReference w:id="11"/>
      </w:r>
      <w:r>
        <w:rPr/>
        <w:t>, при условии соответствия банка требованиям к финансовой устойчивости (в том числе в части собственных средств (капитала), активов, доходности, ликвидности, структуры собственности), устанавливаемым Правительством Российской Федерации;</w:t>
      </w:r>
    </w:p>
    <w:p>
      <w:pPr>
        <w:pStyle w:val="Style25"/>
        <w:rPr/>
      </w:pPr>
      <w:r>
        <w:rPr/>
        <w:t>банковская гарантия должна быть подчинена материальному праву Российской Федерации и регулироваться «Унифицированными правилами для гарантий по требованию, включая типовые формы (URDG 758) (Публикация Международной торговой палаты № 758). Редакция 2010 года» в той мере, в какой указанные правила не противоречат императивным нормам законодательства, а также предусматривать Арбитражный суд по месту нахождения Заказчика в качестве органа, компетентного разрешать споры из банковской гарантии.</w:t>
      </w:r>
    </w:p>
    <w:p>
      <w:pPr>
        <w:pStyle w:val="Style24"/>
        <w:rPr/>
      </w:pPr>
      <w:r>
        <w:rPr/>
        <w:t>В случае выбора Участником обеспечения заявки путем предоставления банковской гарантии он должен предоставить в составе своей заявки копию такой гарантии (либо электронную банковскую гарантию, выданную банком посредством функционала ЭП), подтверждающую наличие обеспечения заявки в требуемом размере и соответствующую требованиям к условиям такой гарантии. В противном случае обеспечение заявки считается невнесенным, и Организатор обязан отклонить заявку такого Участника.</w:t>
      </w:r>
    </w:p>
    <w:p>
      <w:pPr>
        <w:pStyle w:val="Style24"/>
        <w:rPr/>
      </w:pPr>
      <w:r>
        <w:rPr/>
        <w:t>При многолотовой закупке (подраздел </w:t>
      </w:r>
      <w:r>
        <w:rPr/>
        <w:fldChar w:fldCharType="begin"/>
      </w:r>
      <w:r>
        <w:rPr/>
        <w:instrText xml:space="preserve"> REF _Ref149317414 \n \h </w:instrText>
      </w:r>
      <w:r>
        <w:rPr/>
        <w:fldChar w:fldCharType="separate"/>
      </w:r>
      <w:r>
        <w:rPr/>
        <w:t>4.18</w:t>
      </w:r>
      <w:r>
        <w:rPr/>
        <w:fldChar w:fldCharType="end"/>
      </w:r>
      <w:r>
        <w:rPr/>
        <w:t>) обеспечение исполнения обязательств Участника оформляется на сумму, равную суммарной стоимости обеспечения по всем лотам, на которые Участник подает заявку; также допускается внесение обеспечения отдельно по каждому из лотов. Удержание Организатором обеспечения может производиться только по тем лотам, на которые Участник подал заявку и по которым он был признан Победителем.</w:t>
      </w:r>
    </w:p>
    <w:p>
      <w:pPr>
        <w:pStyle w:val="Style24"/>
        <w:rPr/>
      </w:pPr>
      <w:r>
        <w:rPr/>
        <w:t>При подаче заявки с альтернативными предложениями (подраздел </w:t>
      </w:r>
      <w:r>
        <w:rPr/>
        <w:fldChar w:fldCharType="begin"/>
      </w:r>
      <w:r>
        <w:rPr/>
        <w:instrText xml:space="preserve"> REF _Ref125550863 \r \h </w:instrText>
      </w:r>
      <w:r>
        <w:rPr/>
        <w:fldChar w:fldCharType="separate"/>
      </w:r>
      <w:r>
        <w:rPr/>
        <w:t>4.19</w:t>
      </w:r>
      <w:r>
        <w:rPr/>
        <w:fldChar w:fldCharType="end"/>
      </w:r>
      <w:r>
        <w:rPr/>
        <w:t>) размер обеспечения заявки не увеличивается, а сумма обеспечения покрывает обязательства Участника как в отношении основного предложения, так и всех альтернативных предложений.</w:t>
      </w:r>
    </w:p>
    <w:p>
      <w:pPr>
        <w:pStyle w:val="Style24"/>
        <w:rPr/>
      </w:pPr>
      <w:r>
        <w:rPr/>
        <w:t>Подать заявку (принять участие в закупке) могут только Участники, предоставившие надлежащее обеспечение их заявок.</w:t>
      </w:r>
    </w:p>
    <w:p>
      <w:pPr>
        <w:pStyle w:val="Style24"/>
        <w:rPr/>
      </w:pPr>
      <w:r>
        <w:rPr/>
        <w:t>Требование об обеспечении заявки в равной мере распространяется на всех Участников.</w:t>
      </w:r>
    </w:p>
    <w:p>
      <w:pPr>
        <w:pStyle w:val="Style24"/>
        <w:keepNext w:val="true"/>
        <w:rPr/>
      </w:pPr>
      <w:bookmarkStart w:id="189" w:name="_Ref149576299"/>
      <w:r>
        <w:rPr/>
        <w:t>В случае признания Участника Победителем или принятия Заказчиком решения о заключении с ним Договора по итогам несостоявшейся закупки обеспечение заявки распространяется на следующие обязательства Участника:</w:t>
      </w:r>
      <w:bookmarkEnd w:id="189"/>
    </w:p>
    <w:p>
      <w:pPr>
        <w:pStyle w:val="Style25"/>
        <w:rPr/>
      </w:pPr>
      <w:r>
        <w:rPr/>
        <w:t>обязательство заключить Договор в установленном Документацией о закупке порядке (раздел </w:t>
      </w:r>
      <w:r>
        <w:rPr/>
        <w:fldChar w:fldCharType="begin"/>
      </w:r>
      <w:r>
        <w:rPr/>
        <w:instrText xml:space="preserve"> REF _Ref130224037 \r \h </w:instrText>
      </w:r>
      <w:r>
        <w:rPr/>
        <w:fldChar w:fldCharType="separate"/>
      </w:r>
      <w:r>
        <w:rPr/>
        <w:t>5</w:t>
      </w:r>
      <w:r>
        <w:rPr/>
        <w:fldChar w:fldCharType="end"/>
      </w:r>
      <w:r>
        <w:rPr/>
        <w:t>), в том числе предоставить Сведения о цепочке собственников, включая бенефициаров (в том числе конечных) (</w:t>
      </w:r>
      <w:hyperlink w:anchor="Прил05_ФормыПобедителя">
        <w:r>
          <w:rPr>
            <w:rStyle w:val="Style13"/>
          </w:rPr>
          <w:t>Приложение № 5</w:t>
        </w:r>
      </w:hyperlink>
      <w:r>
        <w:rPr/>
        <w:t>), а также предоставить иные документы в соответствии с условиями подраздела </w:t>
      </w:r>
      <w:r>
        <w:rPr/>
        <w:fldChar w:fldCharType="begin"/>
      </w:r>
      <w:r>
        <w:rPr/>
        <w:instrText xml:space="preserve"> REF _Ref138232981 \r \h </w:instrText>
      </w:r>
      <w:r>
        <w:rPr/>
        <w:fldChar w:fldCharType="separate"/>
      </w:r>
      <w:r>
        <w:rPr/>
        <w:t>5.2</w:t>
      </w:r>
      <w:r>
        <w:rPr/>
        <w:fldChar w:fldCharType="end"/>
      </w:r>
      <w:r>
        <w:rPr/>
        <w:t>;</w:t>
      </w:r>
    </w:p>
    <w:p>
      <w:pPr>
        <w:pStyle w:val="Style25"/>
        <w:rPr/>
      </w:pPr>
      <w:r>
        <w:rPr/>
        <w:t xml:space="preserve">обязательство предоставить до заключения договора Заказчику обеспечение исполнения договора – если </w:t>
      </w:r>
      <w:hyperlink w:anchor="Прил02_ПроектДоговора">
        <w:r>
          <w:rPr>
            <w:rStyle w:val="Style13"/>
          </w:rPr>
          <w:t>Проект договора (Приложение № 2)</w:t>
        </w:r>
      </w:hyperlink>
      <w:r>
        <w:rPr/>
        <w:t xml:space="preserve"> предусматривает обеспечение исполнения договора с соответствующими обязательствами (в порядке и сроки, предусмотренные </w:t>
      </w:r>
      <w:hyperlink w:anchor="Прил02_ПроектДоговора">
        <w:r>
          <w:rPr>
            <w:rStyle w:val="Style13"/>
          </w:rPr>
          <w:t>Проектом договора</w:t>
        </w:r>
      </w:hyperlink>
      <w:r>
        <w:rPr/>
        <w:t>).</w:t>
      </w:r>
    </w:p>
    <w:p>
      <w:pPr>
        <w:pStyle w:val="Style24"/>
        <w:rPr/>
      </w:pPr>
      <w:r>
        <w:rPr/>
        <w:t>В случае невыполнения Победителем указанных выше обязательств Организатор вправе удержать обеспечение заявки путем обращения в соответствующую Банк-гарант. В случае предоставления Участником обеспечения в виде денежных средств, Организатор вправе удержать обеспечение заявки со счета, открытого ему Оператором ЭП, в соответствии с регламентом ЭП.</w:t>
      </w:r>
    </w:p>
    <w:p>
      <w:pPr>
        <w:pStyle w:val="Style24"/>
        <w:keepNext w:val="true"/>
        <w:rPr/>
      </w:pPr>
      <w:r>
        <w:rPr/>
        <w:t>Возврат обеспечения заявки (в случае предоставления Участником обеспечения в виде денежных средств) осуществляется Организатором в срок не более 7 (семи) рабочих дней с даты:</w:t>
      </w:r>
    </w:p>
    <w:p>
      <w:pPr>
        <w:pStyle w:val="Style25"/>
        <w:rPr/>
      </w:pPr>
      <w:r>
        <w:rPr/>
        <w:t>принятия решения об отказе от проведения закупки – всем Участникам, подавшим заявки к моменту принятия такого решения;</w:t>
      </w:r>
    </w:p>
    <w:p>
      <w:pPr>
        <w:pStyle w:val="Style25"/>
        <w:rPr/>
      </w:pPr>
      <w:r>
        <w:rPr/>
        <w:t>поступления уведомления об отзыве заявки в случаях, когда такой отзыв осуществлен в установленные в Документации о закупке сроки – Участнику, отозвавшему заявку;</w:t>
      </w:r>
    </w:p>
    <w:p>
      <w:pPr>
        <w:pStyle w:val="Style25"/>
        <w:rPr/>
      </w:pPr>
      <w:r>
        <w:rPr/>
        <w:t>официального размещения протокола рассмотрения заявок (при условии его оформления) – Участникам, чьи заявки были отклонены;</w:t>
      </w:r>
    </w:p>
    <w:p>
      <w:pPr>
        <w:pStyle w:val="Style25"/>
        <w:rPr/>
      </w:pPr>
      <w:r>
        <w:rPr/>
        <w:t>официального размещения итогового протокола по результатам закупки – всем Участникам, кроме Победителя;</w:t>
      </w:r>
    </w:p>
    <w:p>
      <w:pPr>
        <w:pStyle w:val="Style25"/>
        <w:rPr/>
      </w:pPr>
      <w:r>
        <w:rPr/>
        <w:t>заключения Договора по результатам закупки – Победителю, с которым заключен Договор;</w:t>
      </w:r>
    </w:p>
    <w:p>
      <w:pPr>
        <w:pStyle w:val="Style25"/>
        <w:rPr/>
      </w:pPr>
      <w:r>
        <w:rPr/>
        <w:t>признания закупки несостоявшейся – Участнику, которому обеспечение не было возвращено по иным основаниям.</w:t>
      </w:r>
    </w:p>
    <w:p>
      <w:pPr>
        <w:pStyle w:val="Style24"/>
        <w:rPr/>
      </w:pPr>
      <w:r>
        <w:rPr/>
        <w:t>Возврат обеспечения заявки может быть задержан в случае поступления в установленном законодательством порядке жалобы по закупке (подраздел </w:t>
      </w:r>
      <w:r>
        <w:rPr/>
        <w:fldChar w:fldCharType="begin"/>
      </w:r>
      <w:r>
        <w:rPr/>
        <w:instrText xml:space="preserve"> REF _Ref125363536 \r \h </w:instrText>
      </w:r>
      <w:r>
        <w:rPr/>
        <w:fldChar w:fldCharType="separate"/>
      </w:r>
      <w:r>
        <w:rPr/>
        <w:t>2.3</w:t>
      </w:r>
      <w:r>
        <w:rPr/>
        <w:fldChar w:fldCharType="end"/>
      </w:r>
      <w:r>
        <w:rPr/>
        <w:t>) – на время рассмотрения жалобы. При этом проценты на сумму денежных средств, внесенных Участником в качестве обеспечения его заявки, начислению и выплате не подлежат.</w:t>
      </w:r>
    </w:p>
    <w:p>
      <w:pPr>
        <w:pStyle w:val="Style23"/>
        <w:rPr/>
      </w:pPr>
      <w:bookmarkStart w:id="190" w:name="_Ref130225422"/>
      <w:bookmarkStart w:id="191" w:name="_Toc188004687"/>
      <w:bookmarkStart w:id="192" w:name="_Ref149317414"/>
      <w:r>
        <w:rPr/>
        <w:t>Особенности проведения многолотовой закупки</w:t>
      </w:r>
      <w:bookmarkEnd w:id="190"/>
      <w:bookmarkEnd w:id="191"/>
      <w:bookmarkEnd w:id="192"/>
    </w:p>
    <w:p>
      <w:pPr>
        <w:pStyle w:val="Style24"/>
        <w:rPr/>
      </w:pPr>
      <w:r>
        <w:rPr/>
        <w:t>Нормы настоящего подраздела применяются, если подразделом </w:t>
      </w:r>
      <w:r>
        <w:rPr/>
        <w:fldChar w:fldCharType="begin"/>
      </w:r>
      <w:r>
        <w:rPr/>
        <w:instrText xml:space="preserve"> REF _Ref125359973 \r \h </w:instrText>
      </w:r>
      <w:r>
        <w:rPr/>
        <w:fldChar w:fldCharType="separate"/>
      </w:r>
      <w:r>
        <w:rPr/>
        <w:t>1.2</w:t>
      </w:r>
      <w:r>
        <w:rPr/>
        <w:fldChar w:fldCharType="end"/>
      </w:r>
      <w:r>
        <w:rPr/>
        <w:t xml:space="preserve"> предусмотрено проведение многолотовой закупки.</w:t>
      </w:r>
    </w:p>
    <w:p>
      <w:pPr>
        <w:pStyle w:val="Style24"/>
        <w:rPr/>
      </w:pPr>
      <w:r>
        <w:rPr/>
        <w:t>Настоящий подраздел дополняет или изменяет порядок проведения закупки. В случае противоречий между требованиями настоящего подраздела и порядка проведения закупки или с инструкциями по подготовке заявки применяются требования настоящего подраздела.</w:t>
      </w:r>
    </w:p>
    <w:p>
      <w:pPr>
        <w:pStyle w:val="Style24"/>
        <w:rPr/>
      </w:pPr>
      <w:r>
        <w:rPr/>
        <w:t>Многолотовая закупка может проводиться как для одного, так и для нескольких Заказчиков. Для всех лотов выпускается общее Извещение, Документация о закупке, решения по каждому лоту принимает одна и та же Закупочная комиссия. Любые положения Документации о закупке, если в них прямо не</w:t>
      </w:r>
      <w:r>
        <w:rPr>
          <w:lang w:val="en-US"/>
        </w:rPr>
        <w:t> </w:t>
      </w:r>
      <w:r>
        <w:rPr/>
        <w:t>указан номер конкретного лота, относятся ко всем лотам одновременно.</w:t>
      </w:r>
    </w:p>
    <w:p>
      <w:pPr>
        <w:pStyle w:val="Style24"/>
        <w:rPr/>
      </w:pPr>
      <w:r>
        <w:rPr/>
        <w:t>Участник может подать одну заявку на любой лот, любые несколько лотов или все лоты по собственному выбору. При этом не допускается разбиение отдельного лота на части, то есть подача заявки на часть лота по отдельным видам или объемам продукции. В многолотовой закупке подача Участником по одной заявке на каждый лот не считается подачей второй заявки на закупку.</w:t>
      </w:r>
    </w:p>
    <w:p>
      <w:pPr>
        <w:pStyle w:val="Style24"/>
        <w:keepNext w:val="true"/>
        <w:rPr/>
      </w:pPr>
      <w:r>
        <w:rPr/>
        <w:t>В случае подачи заявки на несколько лотов дополнительно должны быть соблюдены следующие требования:</w:t>
      </w:r>
    </w:p>
    <w:p>
      <w:pPr>
        <w:pStyle w:val="Style25"/>
        <w:rPr/>
      </w:pPr>
      <w:r>
        <w:rPr/>
        <w:t>Письмо о подаче оферты (форма 2) (</w:t>
      </w:r>
      <w:hyperlink w:anchor="Прил04_ФормыЗаявки">
        <w:r>
          <w:rPr>
            <w:rStyle w:val="Style13"/>
          </w:rPr>
          <w:t>Приложение № 4</w:t>
        </w:r>
      </w:hyperlink>
      <w:r>
        <w:rPr/>
        <w:t>) должно содержать указание номера и названия каждого лота, по каждому лоту должна быть указана его стоимость;</w:t>
      </w:r>
    </w:p>
    <w:p>
      <w:pPr>
        <w:pStyle w:val="Style25"/>
        <w:rPr/>
      </w:pPr>
      <w:r>
        <w:rPr/>
        <w:t xml:space="preserve">Коммерческое предложение (форма 3), Техническое предложение (форма 4), Календарный график (форма 5), План распределения объемов поставки продукции (форма 11) – </w:t>
      </w:r>
      <w:hyperlink w:anchor="Прил04_ФормыЗаявки">
        <w:r>
          <w:rPr>
            <w:rStyle w:val="Style13"/>
          </w:rPr>
          <w:t>Приложение № 4</w:t>
        </w:r>
      </w:hyperlink>
      <w:r>
        <w:rPr/>
        <w:t>, должны быть подготовлены отдельно по каждому из лотов с указанием номера и названия лота.</w:t>
      </w:r>
    </w:p>
    <w:p>
      <w:pPr>
        <w:pStyle w:val="Style24"/>
        <w:rPr/>
      </w:pPr>
      <w:r>
        <w:rPr/>
        <w:t>Решения, принимаемые в ходе процедуры закупки, в том числе решения в рамках рассмотрения, оценки и сопоставления заявок, определения Победителя, признания закупки несостоявшейся, отказа от дальнейшего ее проведения и т.д., осуществляются раздельно и независимо по каждому из лотов. При этом Организатор вправе оформить по каждому лоту отдельный протокол закупки или сформировать общий по всем лотам протокол закупки, в который в отношении каждого лота вносятся сведения, подлежащие официальному размещению.</w:t>
      </w:r>
    </w:p>
    <w:p>
      <w:pPr>
        <w:pStyle w:val="Style23"/>
        <w:rPr/>
      </w:pPr>
      <w:bookmarkStart w:id="193" w:name="_Toc188004688"/>
      <w:bookmarkStart w:id="194" w:name="_Ref125550863"/>
      <w:r>
        <w:rPr/>
        <w:t>Особенности проведения закупки с возможностью подачи альтернативных предложений</w:t>
      </w:r>
      <w:bookmarkEnd w:id="193"/>
      <w:bookmarkEnd w:id="194"/>
    </w:p>
    <w:p>
      <w:pPr>
        <w:pStyle w:val="Style24"/>
        <w:rPr/>
      </w:pPr>
      <w:r>
        <w:rPr/>
        <w:t>Нормы настоящего подраздела применяются, если подразделом </w:t>
      </w:r>
      <w:r>
        <w:rPr/>
        <w:fldChar w:fldCharType="begin"/>
      </w:r>
      <w:r>
        <w:rPr/>
        <w:instrText xml:space="preserve"> REF _Ref125359973 \r \h </w:instrText>
      </w:r>
      <w:r>
        <w:rPr/>
        <w:fldChar w:fldCharType="separate"/>
      </w:r>
      <w:r>
        <w:rPr/>
        <w:t>1.2</w:t>
      </w:r>
      <w:r>
        <w:rPr/>
        <w:fldChar w:fldCharType="end"/>
      </w:r>
      <w:r>
        <w:rPr/>
        <w:t xml:space="preserve"> предусмотрена возможность подачи альтернативных предложений.</w:t>
      </w:r>
    </w:p>
    <w:p>
      <w:pPr>
        <w:pStyle w:val="Style24"/>
        <w:rPr/>
      </w:pPr>
      <w:r>
        <w:rPr/>
        <w:t>Настоящий подраздел дополняет или изменяет порядок проведения закупки. В случае противоречий между требованиями настоящего подраздела и порядка проведения закупки или с инструкциями по подготовке заявки применяются требования настоящего подраздела.</w:t>
      </w:r>
    </w:p>
    <w:p>
      <w:pPr>
        <w:pStyle w:val="Style24"/>
        <w:rPr/>
      </w:pPr>
      <w:r>
        <w:rPr/>
        <w:t>Участник в составе заявки дополнительно к основному предложению вправе подготовить и подать альтернативные предложения в количестве, не превышающем установленное максимальное значение, и исключительно по аспектам, указанным в подразделе </w:t>
      </w:r>
      <w:r>
        <w:rPr/>
        <w:fldChar w:fldCharType="begin"/>
      </w:r>
      <w:r>
        <w:rPr/>
        <w:instrText xml:space="preserve"> REF _Ref125359973 \r \h </w:instrText>
      </w:r>
      <w:r>
        <w:rPr/>
        <w:fldChar w:fldCharType="separate"/>
      </w:r>
      <w:r>
        <w:rPr/>
        <w:t>1.2</w:t>
      </w:r>
      <w:r>
        <w:rPr/>
        <w:fldChar w:fldCharType="end"/>
      </w:r>
      <w:r>
        <w:rPr/>
        <w:t>. Требование о том, что участник имеет право подать только одну заявку, к альтернативным предложениям не относится. При этом не допускается подача заявки на часть какого-либо лота по отдельным видам или объемам продукции (в случае нарушения – поданная заявка в отношении такого лота подлежит отклонению).</w:t>
      </w:r>
    </w:p>
    <w:p>
      <w:pPr>
        <w:pStyle w:val="Style24"/>
        <w:rPr/>
      </w:pPr>
      <w:r>
        <w:rPr/>
        <w:t>Альтернативные предложения могут сопровождаться альтернативными ценами (не превышающими НМЦ, установленную в подразделе </w:t>
      </w:r>
      <w:r>
        <w:rPr/>
        <w:fldChar w:fldCharType="begin"/>
      </w:r>
      <w:r>
        <w:rPr/>
        <w:instrText xml:space="preserve"> REF _Ref125359973 \r \h </w:instrText>
      </w:r>
      <w:r>
        <w:rPr/>
        <w:fldChar w:fldCharType="separate"/>
      </w:r>
      <w:r>
        <w:rPr/>
        <w:t>1.2</w:t>
      </w:r>
      <w:r>
        <w:rPr/>
        <w:fldChar w:fldCharType="end"/>
      </w:r>
      <w:r>
        <w:rPr/>
        <w:t>). При этом альтернативные предложения, по сути отличающиеся от основного только ценой, рассматриваться не будут.</w:t>
      </w:r>
    </w:p>
    <w:p>
      <w:pPr>
        <w:pStyle w:val="Style24"/>
        <w:rPr/>
      </w:pPr>
      <w:r>
        <w:rPr/>
        <w:t>Альтернативное предложение должно быть явным образом выделено в составе заявки и обособлено от основного предложения и иных альтернативных предложений (должны быть представлены соответствующие измененные формы заявки (</w:t>
      </w:r>
      <w:hyperlink w:anchor="Прил04_ФормыЗаявки">
        <w:r>
          <w:rPr>
            <w:rStyle w:val="Style13"/>
          </w:rPr>
          <w:t>Приложение № 4</w:t>
        </w:r>
      </w:hyperlink>
      <w:r>
        <w:rPr/>
        <w:t>) с указанием в них тех параметров, пунктов, разделов и т.д. основного предложения, вместо которых предлагаются альтернативные). При этом в альтернативном предложении не следует дублировать документы, подтверждающие соответствие Участника установленным требованиям, а также формы заявки, которые не отличаются от форм основного предложения.</w:t>
      </w:r>
    </w:p>
    <w:p>
      <w:pPr>
        <w:pStyle w:val="Style24"/>
        <w:rPr/>
      </w:pPr>
      <w:r>
        <w:rPr/>
        <w:t>При проведении переторжки (подраздел </w:t>
      </w:r>
      <w:r>
        <w:rPr/>
        <w:fldChar w:fldCharType="begin"/>
      </w:r>
      <w:r>
        <w:rPr/>
        <w:instrText xml:space="preserve"> REF _Ref127536359 \r \h </w:instrText>
      </w:r>
      <w:r>
        <w:rPr/>
        <w:fldChar w:fldCharType="separate"/>
      </w:r>
      <w:r>
        <w:rPr/>
        <w:t>4.11</w:t>
      </w:r>
      <w:r>
        <w:rPr/>
        <w:fldChar w:fldCharType="end"/>
      </w:r>
      <w:r>
        <w:rPr/>
        <w:t>) альтернативные предложения Участников допускаются к ней наравне с основными предложениями.</w:t>
      </w:r>
    </w:p>
    <w:p>
      <w:pPr>
        <w:pStyle w:val="Style24"/>
        <w:rPr/>
      </w:pPr>
      <w:r>
        <w:rPr/>
        <w:t>Решения Закупочной комиссии по рассмотрению, оценке и сопоставлению заявок принимаются отдельно в отношении основного предложения и каждого альтернативного предложения. Отклонение основного предложения не является основанием для отклонения альтернативных предложений и наоборот. При формировании ранжировки заявок альтернативные предложения ранжируются отдельно (наравне с основными предложениями), с присвоением каждому предложению отдельного места в ранжировке.</w:t>
      </w:r>
    </w:p>
    <w:p>
      <w:pPr>
        <w:pStyle w:val="Style22"/>
        <w:rPr/>
      </w:pPr>
      <w:bookmarkStart w:id="195" w:name="_Ref125367087"/>
      <w:bookmarkStart w:id="196" w:name="_Ref125367083"/>
      <w:bookmarkStart w:id="197" w:name="_Ref125366769"/>
      <w:bookmarkStart w:id="198" w:name="_Ref125363439"/>
      <w:bookmarkStart w:id="199" w:name="_Ref125362671"/>
      <w:bookmarkStart w:id="200" w:name="_Ref125361212"/>
      <w:bookmarkStart w:id="201" w:name="_Toc188004689"/>
      <w:bookmarkStart w:id="202" w:name="_Ref130224037"/>
      <w:bookmarkStart w:id="203" w:name="_Ref126142429"/>
      <w:r>
        <w:rPr/>
        <w:t>Порядок заключения Договора</w:t>
      </w:r>
      <w:bookmarkEnd w:id="195"/>
      <w:bookmarkEnd w:id="196"/>
      <w:bookmarkEnd w:id="197"/>
      <w:bookmarkEnd w:id="198"/>
      <w:bookmarkEnd w:id="199"/>
      <w:bookmarkEnd w:id="200"/>
      <w:bookmarkEnd w:id="201"/>
      <w:bookmarkEnd w:id="202"/>
      <w:bookmarkEnd w:id="203"/>
    </w:p>
    <w:p>
      <w:pPr>
        <w:pStyle w:val="Style23"/>
        <w:rPr/>
      </w:pPr>
      <w:bookmarkStart w:id="204" w:name="_Toc188004690"/>
      <w:bookmarkStart w:id="205" w:name="_Ref139028625"/>
      <w:r>
        <w:rPr/>
        <w:t>Общие положения</w:t>
      </w:r>
      <w:bookmarkEnd w:id="204"/>
      <w:bookmarkEnd w:id="205"/>
    </w:p>
    <w:p>
      <w:pPr>
        <w:pStyle w:val="Style24"/>
        <w:rPr/>
      </w:pPr>
      <w:r>
        <w:rPr/>
        <w:t>Нормы настоящего раздела </w:t>
      </w:r>
      <w:r>
        <w:rPr/>
        <w:fldChar w:fldCharType="begin"/>
      </w:r>
      <w:r>
        <w:rPr/>
        <w:instrText xml:space="preserve"> REF _Ref126142429 \r \h </w:instrText>
      </w:r>
      <w:r>
        <w:rPr/>
        <w:fldChar w:fldCharType="separate"/>
      </w:r>
      <w:r>
        <w:rPr/>
        <w:t>5</w:t>
      </w:r>
      <w:r>
        <w:rPr/>
        <w:fldChar w:fldCharType="end"/>
      </w:r>
      <w:r>
        <w:rPr/>
        <w:t xml:space="preserve"> также применяются в отношении Единственного участника несостоявшейся закупки, с которым принято решение о заключении договора (к нему применяются те же нормы, что и в отношении Победителя).</w:t>
      </w:r>
    </w:p>
    <w:p>
      <w:pPr>
        <w:pStyle w:val="Style23"/>
        <w:rPr/>
      </w:pPr>
      <w:bookmarkStart w:id="206" w:name="_Ref135736094"/>
      <w:bookmarkStart w:id="207" w:name="_Ref125368755"/>
      <w:bookmarkStart w:id="208" w:name="_Ref125366947"/>
      <w:bookmarkStart w:id="209" w:name="_Toc188004691"/>
      <w:bookmarkStart w:id="210" w:name="_Ref138232981"/>
      <w:r>
        <w:rPr/>
        <w:t>Заключение Договора</w:t>
      </w:r>
      <w:bookmarkEnd w:id="206"/>
      <w:bookmarkEnd w:id="207"/>
      <w:bookmarkEnd w:id="208"/>
      <w:bookmarkEnd w:id="209"/>
      <w:bookmarkEnd w:id="210"/>
    </w:p>
    <w:p>
      <w:pPr>
        <w:pStyle w:val="Style24"/>
        <w:rPr/>
      </w:pPr>
      <w:bookmarkStart w:id="211" w:name="_Ref130293821"/>
      <w:bookmarkStart w:id="212" w:name="_Ref125362935"/>
      <w:r>
        <w:rPr/>
        <w:t>Договор между Заказчиком и Победителем заключается не ранее чем через 10 (десять) календарных дней и не позднее чем через 20 (двадцать) календарных дней с даты официального размещения итогового протокола по результатам закупки.</w:t>
      </w:r>
      <w:bookmarkEnd w:id="211"/>
      <w:bookmarkEnd w:id="212"/>
    </w:p>
    <w:p>
      <w:pPr>
        <w:pStyle w:val="Style24"/>
        <w:rPr/>
      </w:pPr>
      <w:r>
        <w:rPr/>
        <w:t>Договор не может быть заключен, если это запрещено законодательством о национальном режиме в случаях, установленных в подразделе </w:t>
      </w:r>
      <w:r>
        <w:rPr/>
        <w:fldChar w:fldCharType="begin"/>
      </w:r>
      <w:r>
        <w:rPr/>
        <w:instrText xml:space="preserve"> REF _Ref186128193 \r \h </w:instrText>
      </w:r>
      <w:r>
        <w:rPr/>
        <w:fldChar w:fldCharType="separate"/>
      </w:r>
      <w:r>
        <w:rPr/>
        <w:t>4.13</w:t>
      </w:r>
      <w:r>
        <w:rPr/>
        <w:fldChar w:fldCharType="end"/>
      </w:r>
      <w:r>
        <w:rPr/>
        <w:t>.</w:t>
      </w:r>
    </w:p>
    <w:p>
      <w:pPr>
        <w:pStyle w:val="Style24"/>
        <w:rPr/>
      </w:pPr>
      <w:bookmarkStart w:id="213" w:name="_Ref125363464"/>
      <w:r>
        <w:rPr/>
        <w:t>В целях заключения Договора Участник, признанный Победителем, обязан в срок не позднее 3 (трех) рабочих дней с даты официального размещения Организатором итогового протокола по результатам закупки, направить по адресу, определенному в подразделе </w:t>
      </w:r>
      <w:r>
        <w:rPr/>
        <w:fldChar w:fldCharType="begin"/>
      </w:r>
      <w:r>
        <w:rPr/>
        <w:instrText xml:space="preserve"> REF _Ref125359973 \r \h </w:instrText>
      </w:r>
      <w:r>
        <w:rPr/>
        <w:fldChar w:fldCharType="separate"/>
      </w:r>
      <w:r>
        <w:rPr/>
        <w:t>1.2</w:t>
      </w:r>
      <w:r>
        <w:rPr/>
        <w:fldChar w:fldCharType="end"/>
      </w:r>
      <w:r>
        <w:rPr/>
        <w:t xml:space="preserve"> как место подачи документов в отношении цепочки собственников, включая конечных бенефициаров, Справку о цепочке собственников, включая бенефициаров (в том числе конечных), по форме в соответствии с </w:t>
      </w:r>
      <w:hyperlink w:anchor="Прил05_ФормыПобедителя">
        <w:r>
          <w:rPr>
            <w:rStyle w:val="Style13"/>
          </w:rPr>
          <w:t>Приложением № 5</w:t>
        </w:r>
      </w:hyperlink>
      <w:r>
        <w:rPr/>
        <w:t>, с приложением подтверждающих документов согласно перечню, установленному в Приложении 1 к указанной справке. Данные документы должны быть предоставлены в бумажном виде и на электронном носителе в отдельном запечатанном конверте с надписью «Документы Победителя о цепочке собственников».</w:t>
      </w:r>
      <w:bookmarkEnd w:id="213"/>
    </w:p>
    <w:p>
      <w:pPr>
        <w:pStyle w:val="Style24"/>
        <w:keepNext w:val="true"/>
        <w:rPr/>
      </w:pPr>
      <w:bookmarkStart w:id="214" w:name="_Ref125551776"/>
      <w:r>
        <w:rPr/>
        <w:t xml:space="preserve">В срок не позднее 3 (трех) рабочих дней с даты официального размещения Организатором итогового протокола по результатам закупки, Победитель обязан предоставить Заказчику (скан-копии в формате </w:t>
      </w:r>
      <w:r>
        <w:rPr>
          <w:lang w:val="en-US"/>
        </w:rPr>
        <w:t>pdf</w:t>
      </w:r>
      <w:r>
        <w:rPr/>
        <w:t>):</w:t>
      </w:r>
      <w:bookmarkEnd w:id="214"/>
    </w:p>
    <w:p>
      <w:pPr>
        <w:pStyle w:val="Style25"/>
        <w:rPr/>
      </w:pPr>
      <w:r>
        <w:rPr/>
        <w:t xml:space="preserve">Заверение об обстоятельствах, представляющее собой гарантийное письмо об отсутствии обстоятельств, препятствующих заключению Договора, в случаях и по форме, предусмотренных </w:t>
      </w:r>
      <w:hyperlink w:anchor="Прил05_ФормыПобедителя">
        <w:r>
          <w:rPr>
            <w:rStyle w:val="Style13"/>
          </w:rPr>
          <w:t>Приложением № 5</w:t>
        </w:r>
      </w:hyperlink>
      <w:r>
        <w:rPr/>
        <w:t>;</w:t>
      </w:r>
    </w:p>
    <w:p>
      <w:pPr>
        <w:pStyle w:val="Style25"/>
        <w:rPr/>
      </w:pPr>
      <w:bookmarkStart w:id="215" w:name="_Ref125552642"/>
      <w:r>
        <w:rPr/>
        <w:t>если он принимал участие в переторжке в очной форме – документы своей заявки, подлежащие корректировке в строгом соответствии с его предложениями, заявленными в ходе проведения переторжки (подраздел </w:t>
      </w:r>
      <w:r>
        <w:rPr/>
        <w:fldChar w:fldCharType="begin"/>
      </w:r>
      <w:r>
        <w:rPr/>
        <w:instrText xml:space="preserve"> REF _Ref127536359 \r \h </w:instrText>
      </w:r>
      <w:r>
        <w:rPr/>
        <w:fldChar w:fldCharType="separate"/>
      </w:r>
      <w:r>
        <w:rPr/>
        <w:t>4.11</w:t>
      </w:r>
      <w:r>
        <w:rPr/>
        <w:fldChar w:fldCharType="end"/>
      </w:r>
      <w:r>
        <w:rPr/>
        <w:t>)</w:t>
      </w:r>
      <w:bookmarkEnd w:id="215"/>
      <w:r>
        <w:rPr/>
        <w:t>.</w:t>
      </w:r>
    </w:p>
    <w:p>
      <w:pPr>
        <w:pStyle w:val="Style24"/>
        <w:keepNext w:val="true"/>
        <w:rPr/>
      </w:pPr>
      <w:bookmarkStart w:id="216" w:name="_Ref125551072"/>
      <w:r>
        <w:rPr/>
        <w:t>Перед заключением Договора Победитель обязан предоставить Заказчику, не позднее сроков, установленных в пункте </w:t>
      </w:r>
      <w:r>
        <w:rPr/>
        <w:fldChar w:fldCharType="begin"/>
      </w:r>
      <w:r>
        <w:rPr/>
        <w:instrText xml:space="preserve"> REF _Ref130293821 \w \h </w:instrText>
      </w:r>
      <w:r>
        <w:rPr/>
        <w:fldChar w:fldCharType="separate"/>
      </w:r>
      <w:r>
        <w:rPr/>
        <w:t>5.2.1</w:t>
      </w:r>
      <w:r>
        <w:rPr/>
        <w:fldChar w:fldCharType="end"/>
      </w:r>
      <w:r>
        <w:rPr/>
        <w:t>, в целях подтверждения своего соответствия обязательному требованию к Участникам, указанному в пункте </w:t>
      </w:r>
      <w:r>
        <w:rPr/>
        <w:fldChar w:fldCharType="begin"/>
      </w:r>
      <w:r>
        <w:rPr/>
        <w:instrText xml:space="preserve"> REF _Ref125552433 \w \h </w:instrText>
      </w:r>
      <w:r>
        <w:rPr/>
        <w:fldChar w:fldCharType="separate"/>
      </w:r>
      <w:r>
        <w:rPr/>
        <w:t>1</w:t>
      </w:r>
      <w:r>
        <w:rPr/>
        <w:fldChar w:fldCharType="end"/>
      </w:r>
      <w:r>
        <w:rPr/>
        <w:t xml:space="preserve"> подраздела </w:t>
      </w:r>
      <w:r>
        <w:rPr/>
        <w:fldChar w:fldCharType="begin"/>
      </w:r>
      <w:r>
        <w:rPr/>
        <w:instrText xml:space="preserve"> REF _Ref125361435 \w \h </w:instrText>
      </w:r>
      <w:r>
        <w:rPr/>
        <w:fldChar w:fldCharType="separate"/>
      </w:r>
      <w:r>
        <w:rPr/>
        <w:t>8.2</w:t>
      </w:r>
      <w:r>
        <w:rPr/>
        <w:fldChar w:fldCharType="end"/>
      </w:r>
      <w:r>
        <w:rPr/>
        <w:t xml:space="preserve"> (</w:t>
      </w:r>
      <w:hyperlink w:anchor="Прил03_ТребованияУчастникам">
        <w:r>
          <w:rPr>
            <w:rStyle w:val="Style13"/>
          </w:rPr>
          <w:t>Приложение № 3</w:t>
        </w:r>
      </w:hyperlink>
      <w:r>
        <w:rPr/>
        <w:t xml:space="preserve">), следующие документы (скан-копии в формате </w:t>
      </w:r>
      <w:r>
        <w:rPr>
          <w:lang w:val="en-US"/>
        </w:rPr>
        <w:t>pdf</w:t>
      </w:r>
      <w:r>
        <w:rPr/>
        <w:t>)</w:t>
      </w:r>
      <w:r>
        <w:rPr>
          <w:rStyle w:val="FootnoteReference"/>
        </w:rPr>
        <w:footnoteReference w:id="12"/>
      </w:r>
      <w:r>
        <w:rPr/>
        <w:t>:</w:t>
      </w:r>
      <w:bookmarkEnd w:id="216"/>
    </w:p>
    <w:p>
      <w:pPr>
        <w:pStyle w:val="Style25"/>
        <w:keepNext w:val="true"/>
        <w:rPr/>
      </w:pPr>
      <w:r>
        <w:rPr/>
        <w:t>для юридического лица:</w:t>
      </w:r>
    </w:p>
    <w:p>
      <w:pPr>
        <w:pStyle w:val="Style26"/>
        <w:rPr/>
      </w:pPr>
      <w:r>
        <w:rPr/>
        <w:t>копия устава в действующей редакции с отметкой ИФНС либо копия нотариально заверенного устава (с отметкой нотариуса);</w:t>
      </w:r>
    </w:p>
    <w:p>
      <w:pPr>
        <w:pStyle w:val="Style26"/>
        <w:rPr/>
      </w:pPr>
      <w:bookmarkStart w:id="217" w:name="_Ref125638686"/>
      <w:r>
        <w:rPr/>
        <w:t>копии документов, подтверждающих полномочия единоличного исполнительного органа Участника или Управляющей компании (протоколы об избрании единоличного исполнительного органа или о передаче полномочий Управляющей компании), заверенные Победителем;</w:t>
      </w:r>
      <w:bookmarkEnd w:id="217"/>
    </w:p>
    <w:p>
      <w:pPr>
        <w:pStyle w:val="Style26"/>
        <w:rPr/>
      </w:pPr>
      <w:r>
        <w:rPr/>
        <w:t>дополнительно предоставляется машиночитаемая доверенность (посредством информационных систем, на которых проводится закупка) на физическое лицо, которое подписывает договор;</w:t>
      </w:r>
    </w:p>
    <w:p>
      <w:pPr>
        <w:pStyle w:val="Style25"/>
        <w:rPr/>
      </w:pPr>
      <w:r>
        <w:rPr/>
        <w:t>для лица, зарегистрированного вне Российской Федерации: выписка из торгового реестра страны регистрации иностранного Участника;</w:t>
      </w:r>
    </w:p>
    <w:p>
      <w:pPr>
        <w:pStyle w:val="Style25"/>
        <w:rPr/>
      </w:pPr>
      <w:r>
        <w:rPr/>
        <w:t>для физического лица: нотариально заверенная копия всех страниц документа, удостоверяющего личность (паспорта);</w:t>
      </w:r>
    </w:p>
    <w:p>
      <w:pPr>
        <w:pStyle w:val="Style25"/>
        <w:rPr/>
      </w:pPr>
      <w:bookmarkStart w:id="218" w:name="_Ref125361554"/>
      <w:r>
        <w:rPr/>
        <w:t>если Договор заключается с лидером Коллективного участника, то в обязательном порядке предоставляется оригинал и (или) нотариально заверенная копия Соглашения между членами Коллективного участника, указанного в пункте </w:t>
      </w:r>
      <w:r>
        <w:rPr/>
        <w:fldChar w:fldCharType="begin"/>
      </w:r>
      <w:r>
        <w:rPr/>
        <w:instrText xml:space="preserve"> REF _Ref125366972 \r \h </w:instrText>
      </w:r>
      <w:r>
        <w:rPr/>
        <w:fldChar w:fldCharType="separate"/>
      </w:r>
      <w:r>
        <w:rPr/>
        <w:t>3.2.3</w:t>
      </w:r>
      <w:r>
        <w:rPr/>
        <w:fldChar w:fldCharType="end"/>
      </w:r>
      <w:r>
        <w:rPr/>
        <w:t>.</w:t>
      </w:r>
      <w:bookmarkEnd w:id="218"/>
    </w:p>
    <w:p>
      <w:pPr>
        <w:pStyle w:val="Style24"/>
        <w:rPr/>
      </w:pPr>
      <w:r>
        <w:rPr/>
        <w:t>Если в соответствии с законодательством и уставом Заказчика потребуется предварительное одобрение заключаемого на предложенных Победителем условиях Договора компетентными органами управления Заказчика (Общим собранием акционеров, Советом директоров и т.п.), Договор с Победителем заключается не позднее чем через 5 (пять) календарных дней с даты указанного одобрения.</w:t>
      </w:r>
    </w:p>
    <w:p>
      <w:pPr>
        <w:pStyle w:val="Style24"/>
        <w:rPr/>
      </w:pPr>
      <w:r>
        <w:rPr/>
        <w:t>В случае обжалования в антимонопольном органе результатов закупки Договор заключается не позднее чем через 5 (пять) календарных дней с даты вынесения решения антимонопольного органа по результатам такого обжалования (за исключением случая возврата на предыдущий этап закупки).</w:t>
      </w:r>
    </w:p>
    <w:p>
      <w:pPr>
        <w:pStyle w:val="Style24"/>
        <w:keepNext w:val="true"/>
        <w:rPr/>
      </w:pPr>
      <w:bookmarkStart w:id="219" w:name="_Ref132288402"/>
      <w:r>
        <w:rPr/>
        <w:t>При определении условий Договора по результатам закупки используются следующие документы с соблюдением указанной иерархии в порядке перечисления (в случае их противоречия):</w:t>
      </w:r>
      <w:bookmarkEnd w:id="219"/>
    </w:p>
    <w:p>
      <w:pPr>
        <w:pStyle w:val="Style25"/>
        <w:rPr/>
      </w:pPr>
      <w:r>
        <w:rPr/>
        <w:t>протокол преддоговорных переговоров между Заказчиком и Победителем (при проведении таковых);</w:t>
      </w:r>
    </w:p>
    <w:p>
      <w:pPr>
        <w:pStyle w:val="Style25"/>
        <w:rPr/>
      </w:pPr>
      <w:r>
        <w:rPr/>
        <w:t>итоговый протокол по результатам закупки;</w:t>
      </w:r>
    </w:p>
    <w:p>
      <w:pPr>
        <w:pStyle w:val="Style25"/>
        <w:rPr/>
      </w:pPr>
      <w:r>
        <w:rPr/>
        <w:t>Извещение и Документация о закупке со всеми изменениями;</w:t>
      </w:r>
    </w:p>
    <w:p>
      <w:pPr>
        <w:pStyle w:val="Style25"/>
        <w:rPr/>
      </w:pPr>
      <w:r>
        <w:rPr/>
        <w:t>заявка Победителя со всеми дополнениями и разъяснениями.</w:t>
      </w:r>
    </w:p>
    <w:p>
      <w:pPr>
        <w:pStyle w:val="Style24"/>
        <w:rPr/>
      </w:pPr>
      <w:bookmarkStart w:id="220" w:name="_Ref125368506"/>
      <w:r>
        <w:rPr/>
        <w:t>Сведения о заключенном Договоре в течение 3 (трех) рабочих дней со дня заключения такого Договора вносятся Заказчиком в Реестр договоров в ЕИС (если размещение таких сведений допустимо Законом 223-ФЗ). Если при заключении и исполнении Договора изменятся количество, объем, цена закупаемой продукции или сроки исполнения Договора (по сравнению с указанными в итоговом протоколе по результатам закупки), то в течение 10 (десяти) календарных дней со дня внесения таких изменений в Договор соответствующая информация с указанием измененных условий Договора также размещается Заказчиком в ЕИС (если размещение таких сведений допустимо Законом 223-ФЗ).</w:t>
      </w:r>
      <w:bookmarkEnd w:id="220"/>
    </w:p>
    <w:p>
      <w:pPr>
        <w:pStyle w:val="Style24"/>
        <w:keepNext w:val="true"/>
        <w:rPr/>
      </w:pPr>
      <w:r>
        <w:rPr/>
        <w:t>Если Договор заключается в электронной форме:</w:t>
      </w:r>
    </w:p>
    <w:p>
      <w:pPr>
        <w:pStyle w:val="Style25"/>
        <w:rPr/>
      </w:pPr>
      <w:bookmarkStart w:id="221" w:name="_Ref125552524"/>
      <w:r>
        <w:rPr/>
        <w:t>то он заключается с использованием Системы ЭДО, в том числе подписывается усиленной квалифицированной электронной подписью уполномоченного лица Победителя и Заказчика соответственно. Дополнительная информация об особенностях заключения Договора в электронной форме, содержатся в подразделе </w:t>
      </w:r>
      <w:r>
        <w:rPr/>
        <w:fldChar w:fldCharType="begin"/>
      </w:r>
      <w:r>
        <w:rPr/>
        <w:instrText xml:space="preserve"> REF _Ref125359973 \r \h </w:instrText>
      </w:r>
      <w:r>
        <w:rPr/>
        <w:fldChar w:fldCharType="separate"/>
      </w:r>
      <w:r>
        <w:rPr/>
        <w:t>1.2</w:t>
      </w:r>
      <w:r>
        <w:rPr/>
        <w:fldChar w:fldCharType="end"/>
      </w:r>
      <w:bookmarkEnd w:id="221"/>
      <w:r>
        <w:rPr/>
        <w:t>;</w:t>
      </w:r>
    </w:p>
    <w:p>
      <w:pPr>
        <w:pStyle w:val="Style25"/>
        <w:rPr/>
      </w:pPr>
      <w:r>
        <w:rPr/>
        <w:t>Заказчик в течение установленного в пункте </w:t>
      </w:r>
      <w:r>
        <w:rPr/>
        <w:fldChar w:fldCharType="begin"/>
      </w:r>
      <w:r>
        <w:rPr/>
        <w:instrText xml:space="preserve"> REF _Ref130293821 \r \h </w:instrText>
      </w:r>
      <w:r>
        <w:rPr/>
        <w:fldChar w:fldCharType="separate"/>
      </w:r>
      <w:r>
        <w:rPr/>
        <w:t>5.2.1</w:t>
      </w:r>
      <w:r>
        <w:rPr/>
        <w:fldChar w:fldCharType="end"/>
      </w:r>
      <w:r>
        <w:rPr/>
        <w:t xml:space="preserve"> срока направляет в адрес Победителя подписанный со своей стороны Проект договора с использованием функционала Системы ЭДО.</w:t>
      </w:r>
    </w:p>
    <w:p>
      <w:pPr>
        <w:pStyle w:val="Style24"/>
        <w:rPr/>
      </w:pPr>
      <w:r>
        <w:rPr/>
        <w:t>Если до момента заключения с Договора в отношении Победителя была проведена повторная проверка в рамках мониторинга аккредитованных поставщиков (в соответствии с Положением об аккредитации), и по результатам такой проверки ему присвоен статус «не аккредитован», то он утрачивает статус Победителя, а Закупочная комиссия имеет право выбрать в качестве Победителя иного Участника, занявшего следующее место в ранжировке заявок после Победителя, из числа остальных действующих заявок (при наличии у него статуса «аккредитован» / «аккредитация не требуется»).</w:t>
      </w:r>
    </w:p>
    <w:p>
      <w:pPr>
        <w:pStyle w:val="Style23"/>
        <w:rPr/>
      </w:pPr>
      <w:bookmarkStart w:id="222" w:name="_Toc188004692"/>
      <w:bookmarkStart w:id="223" w:name="_Ref125552570"/>
      <w:r>
        <w:rPr/>
        <w:t>Преддоговорные переговоры</w:t>
      </w:r>
      <w:bookmarkEnd w:id="222"/>
      <w:bookmarkEnd w:id="223"/>
    </w:p>
    <w:p>
      <w:pPr>
        <w:pStyle w:val="Style24"/>
        <w:keepNext w:val="true"/>
        <w:rPr/>
      </w:pPr>
      <w:r>
        <w:rPr/>
        <w:t>Проведение преддоговорных переговоров между Заказчиком и Победителем допускается только в отношении следующих вопросов:</w:t>
      </w:r>
    </w:p>
    <w:p>
      <w:pPr>
        <w:pStyle w:val="Style25"/>
        <w:rPr/>
      </w:pPr>
      <w:r>
        <w:rPr/>
        <w:t>снижение цены Договора (при этом объем закупаемой продукции, а также технические характеристики продукции, определенные в Документации о закупке и заявке Победителя, остаются неизменными);</w:t>
      </w:r>
    </w:p>
    <w:p>
      <w:pPr>
        <w:pStyle w:val="Style25"/>
        <w:rPr/>
      </w:pPr>
      <w:r>
        <w:rPr/>
        <w:t>увеличение объема закупаемой продукции (при этом цена Договора и технические характеристики продукции, определенные в Документации о закупке и заявке Победителя, остаются неизменными);</w:t>
      </w:r>
    </w:p>
    <w:p>
      <w:pPr>
        <w:pStyle w:val="Style25"/>
        <w:rPr/>
      </w:pPr>
      <w:r>
        <w:rPr/>
        <w:t>уточнение сроков исполнения обязательств по Договору (если заключение Договора и исполнение обязательств по нему не могут быть проведены в установленные сроки в связи с обжалованием результатов закупки в адрес Заказчика или антимонопольного органа, в связи с административным производством, судебным разбирательством, принятием органами управления Заказчика решения об одобрении Договора по основаниям, предусмотренным законодательством, уставом и (или) локальными нормативными актами Заказчика);</w:t>
      </w:r>
    </w:p>
    <w:p>
      <w:pPr>
        <w:pStyle w:val="Style25"/>
        <w:rPr/>
      </w:pPr>
      <w:r>
        <w:rPr/>
        <w:t>изменение условий Договора в связи с изменениями законодательства или предписаниями органов государственной власти, органов местного самоуправления;</w:t>
      </w:r>
    </w:p>
    <w:p>
      <w:pPr>
        <w:pStyle w:val="Style25"/>
        <w:rPr/>
      </w:pPr>
      <w:r>
        <w:rPr/>
        <w:t>уточнение условий исполнения договора в лучшую для Заказчика сторону, в том числе: сокращение сроков исполнения Договора; отказ Победителя от аванса или уменьшение его величины; предоставление отсрочки или рассрочки при оплате; улучшение характеристик продукции; увеличение сроков и объема гарантии.</w:t>
      </w:r>
    </w:p>
    <w:p>
      <w:pPr>
        <w:pStyle w:val="Style24"/>
        <w:rPr/>
      </w:pPr>
      <w:r>
        <w:rPr/>
        <w:t>В любом случае не допускаются переговоры, направленные на изменение условий заключаемого Договора, которые ведут к ухудшению его условий для Заказчика.</w:t>
      </w:r>
    </w:p>
    <w:p>
      <w:pPr>
        <w:pStyle w:val="Style24"/>
        <w:rPr/>
      </w:pPr>
      <w:r>
        <w:rPr/>
        <w:t>Преддоговорные переговоры могут быть проведены в очной или заочной форме, в том числе с помощью средств аудио-, видео-конференцсвязи. Срок и формат проведения преддоговорных переговоров определяет Заказчик и (или) Организатор.</w:t>
      </w:r>
    </w:p>
    <w:p>
      <w:pPr>
        <w:pStyle w:val="Style24"/>
        <w:rPr/>
      </w:pPr>
      <w:r>
        <w:rPr/>
        <w:t>Результаты преддоговорных переговоров фиксируются в форме протокола</w:t>
      </w:r>
      <w:r>
        <w:rPr>
          <w:rStyle w:val="FootnoteReference"/>
        </w:rPr>
        <w:footnoteReference w:id="13"/>
      </w:r>
      <w:r>
        <w:rPr/>
        <w:t>, подписываемого Заказчиком и Победителем, который официально размещается в течение 3 (трех) календарных дней с момента их проведения, и должны быть учтены при заключении Договора.</w:t>
      </w:r>
    </w:p>
    <w:p>
      <w:pPr>
        <w:pStyle w:val="Style24"/>
        <w:rPr/>
      </w:pPr>
      <w:r>
        <w:rPr/>
        <w:t>Победитель вправе отказаться от участия в преддоговорных переговорах, при этом такой отказ не является отказом от заключения Договора. Если Заказчик и Победитель в ходе проведения преддоговорных переговоров не пришли к соглашению по вопросу положений, входящих в состав заключаемого Договора, или Победитель отказался от участия в преддоговорных переговорах, Договор заключается на условиях Документации о закупке и заявки такого Победителя (со всеми изменениями и дополнениями) в соответствии с пунктом </w:t>
      </w:r>
      <w:r>
        <w:rPr/>
        <w:fldChar w:fldCharType="begin"/>
      </w:r>
      <w:r>
        <w:rPr/>
        <w:instrText xml:space="preserve"> REF _Ref132288402 \r \h </w:instrText>
      </w:r>
      <w:r>
        <w:rPr/>
        <w:fldChar w:fldCharType="separate"/>
      </w:r>
      <w:r>
        <w:rPr/>
        <w:t>5.2.8</w:t>
      </w:r>
      <w:r>
        <w:rPr/>
        <w:fldChar w:fldCharType="end"/>
      </w:r>
      <w:r>
        <w:rPr/>
        <w:t>.</w:t>
      </w:r>
    </w:p>
    <w:p>
      <w:pPr>
        <w:pStyle w:val="Style23"/>
        <w:rPr/>
      </w:pPr>
      <w:bookmarkStart w:id="224" w:name="_Toc188004693"/>
      <w:bookmarkStart w:id="225" w:name="_Ref125367068"/>
      <w:r>
        <w:rPr/>
        <w:t>Уклонение Победителя от заключения Договора</w:t>
      </w:r>
      <w:bookmarkEnd w:id="224"/>
      <w:bookmarkEnd w:id="225"/>
    </w:p>
    <w:p>
      <w:pPr>
        <w:pStyle w:val="Style24"/>
        <w:keepNext w:val="true"/>
        <w:rPr/>
      </w:pPr>
      <w:r>
        <w:rPr/>
        <w:t>Если Победитель закупки:</w:t>
      </w:r>
    </w:p>
    <w:p>
      <w:pPr>
        <w:pStyle w:val="Style25"/>
        <w:rPr/>
      </w:pPr>
      <w:r>
        <w:rPr/>
        <w:t>не подпишет Договор в установленные Документацией о закупке сроки (пункт </w:t>
      </w:r>
      <w:r>
        <w:rPr/>
        <w:fldChar w:fldCharType="begin"/>
      </w:r>
      <w:r>
        <w:rPr/>
        <w:instrText xml:space="preserve"> REF _Ref130293821 \r \h </w:instrText>
      </w:r>
      <w:r>
        <w:rPr/>
        <w:fldChar w:fldCharType="separate"/>
      </w:r>
      <w:r>
        <w:rPr/>
        <w:t>5.2.1</w:t>
      </w:r>
      <w:r>
        <w:rPr/>
        <w:fldChar w:fldCharType="end"/>
      </w:r>
      <w:r>
        <w:rPr/>
        <w:t>);</w:t>
      </w:r>
    </w:p>
    <w:p>
      <w:pPr>
        <w:pStyle w:val="Style25"/>
        <w:rPr/>
      </w:pPr>
      <w:r>
        <w:rPr/>
        <w:t>откажется от подписания Договора на условиях, определяемых в соответствии с пунктом </w:t>
      </w:r>
      <w:r>
        <w:rPr/>
        <w:fldChar w:fldCharType="begin"/>
      </w:r>
      <w:r>
        <w:rPr/>
        <w:instrText xml:space="preserve"> REF _Ref132288402 \r \h </w:instrText>
      </w:r>
      <w:r>
        <w:rPr/>
        <w:fldChar w:fldCharType="separate"/>
      </w:r>
      <w:r>
        <w:rPr/>
        <w:t>5.2.8</w:t>
      </w:r>
      <w:r>
        <w:rPr/>
        <w:fldChar w:fldCharType="end"/>
      </w:r>
      <w:r>
        <w:rPr/>
        <w:t>;</w:t>
      </w:r>
    </w:p>
    <w:p>
      <w:pPr>
        <w:pStyle w:val="Style25"/>
        <w:rPr/>
      </w:pPr>
      <w:r>
        <w:rPr/>
        <w:t>не раскроет информацию в отношении всей цепочки собственников, включая бенефициаров (в том числе конечных), по установленной форме (</w:t>
      </w:r>
      <w:hyperlink w:anchor="Прил05_ФормыПобедителя">
        <w:r>
          <w:rPr>
            <w:rStyle w:val="Style13"/>
          </w:rPr>
          <w:t>Приложение № 5</w:t>
        </w:r>
      </w:hyperlink>
      <w:r>
        <w:rPr/>
        <w:t>), с приложением подтверждающих документов;</w:t>
      </w:r>
    </w:p>
    <w:p>
      <w:pPr>
        <w:pStyle w:val="Style25"/>
        <w:rPr/>
      </w:pPr>
      <w:r>
        <w:rPr/>
        <w:t xml:space="preserve">не предоставит Заверение об обстоятельствах, представляющее собой гарантийное письмо об отсутствии обстоятельств, препятствующих заключению Договора, в случаях и по форме, предусмотренных </w:t>
      </w:r>
      <w:hyperlink w:anchor="Прил05_ФормыПобедителя">
        <w:r>
          <w:rPr>
            <w:rStyle w:val="Style13"/>
          </w:rPr>
          <w:t>Приложением № 5</w:t>
        </w:r>
      </w:hyperlink>
      <w:r>
        <w:rPr/>
        <w:t>;</w:t>
      </w:r>
    </w:p>
    <w:p>
      <w:pPr>
        <w:pStyle w:val="Style25"/>
        <w:rPr/>
      </w:pPr>
      <w:r>
        <w:rPr/>
        <w:t>не предоставит в установленный Заказчиком срок документы, указанные в пункте </w:t>
      </w:r>
      <w:r>
        <w:rPr/>
        <w:fldChar w:fldCharType="begin"/>
      </w:r>
      <w:r>
        <w:rPr/>
        <w:instrText xml:space="preserve"> REF _Ref125551776 \r \h </w:instrText>
      </w:r>
      <w:r>
        <w:rPr/>
        <w:fldChar w:fldCharType="separate"/>
      </w:r>
      <w:r>
        <w:rPr/>
        <w:t>5.2.4</w:t>
      </w:r>
      <w:r>
        <w:rPr/>
        <w:fldChar w:fldCharType="end"/>
      </w:r>
      <w:r>
        <w:rPr/>
        <w:t>, или предоставит их с нарушением требований, установленных в Документации о закупке;</w:t>
      </w:r>
    </w:p>
    <w:p>
      <w:pPr>
        <w:pStyle w:val="Style25"/>
        <w:rPr/>
      </w:pPr>
      <w:r>
        <w:rPr/>
        <w:t>не предоставит в установленный Заказчиком срок документы, указанные в пункте </w:t>
      </w:r>
      <w:r>
        <w:rPr/>
        <w:fldChar w:fldCharType="begin"/>
      </w:r>
      <w:r>
        <w:rPr/>
        <w:instrText xml:space="preserve"> REF _Ref125551072 \w \h </w:instrText>
      </w:r>
      <w:r>
        <w:rPr/>
        <w:fldChar w:fldCharType="separate"/>
      </w:r>
      <w:r>
        <w:rPr/>
        <w:t>5.2.5</w:t>
      </w:r>
      <w:r>
        <w:rPr/>
        <w:fldChar w:fldCharType="end"/>
      </w:r>
      <w:r>
        <w:rPr/>
        <w:t>, или предоставит их с нарушением требований, установленных в Документации о закупке;</w:t>
      </w:r>
    </w:p>
    <w:p>
      <w:pPr>
        <w:pStyle w:val="Style25"/>
        <w:rPr/>
      </w:pPr>
      <w:r>
        <w:rPr/>
        <w:t xml:space="preserve">не предоставит копии документов, обязательных к предоставлению Победителем закупки в соответствии с требованиями </w:t>
      </w:r>
      <w:hyperlink w:anchor="Прил01_ТехТребования">
        <w:r>
          <w:rPr>
            <w:rStyle w:val="Style13"/>
          </w:rPr>
          <w:t>Приложения № 1 – Технические требования</w:t>
        </w:r>
      </w:hyperlink>
      <w:r>
        <w:rPr/>
        <w:t xml:space="preserve"> (в случае установления таковых);</w:t>
      </w:r>
    </w:p>
    <w:p>
      <w:pPr>
        <w:pStyle w:val="Style25"/>
        <w:rPr/>
      </w:pPr>
      <w:r>
        <w:rPr/>
        <w:t>не предоставит обеспечение исполнения договора до момента его заключения, если Документация о закупке предусматривает обеспечение исполнения договора с соответствующими обязательствами;</w:t>
      </w:r>
    </w:p>
    <w:p>
      <w:pPr>
        <w:pStyle w:val="Style25"/>
        <w:rPr/>
      </w:pPr>
      <w:r>
        <w:rPr/>
        <w:t>не выполнит другие условия, прямо предусмотренные Документацией о закупке,</w:t>
      </w:r>
    </w:p>
    <w:p>
      <w:pPr>
        <w:pStyle w:val="Style28"/>
        <w:ind w:left="1134" w:hanging="0"/>
        <w:rPr/>
      </w:pPr>
      <w:r>
        <w:rPr/>
        <w:t>то он (по истечению установленных в подразделе </w:t>
      </w:r>
      <w:r>
        <w:rPr/>
        <w:fldChar w:fldCharType="begin"/>
      </w:r>
      <w:r>
        <w:rPr/>
        <w:instrText xml:space="preserve"> REF _Ref138232981 \r \h </w:instrText>
      </w:r>
      <w:r>
        <w:rPr/>
        <w:fldChar w:fldCharType="separate"/>
      </w:r>
      <w:r>
        <w:rPr/>
        <w:t>5.2</w:t>
      </w:r>
      <w:r>
        <w:rPr/>
        <w:fldChar w:fldCharType="end"/>
      </w:r>
      <w:r>
        <w:rPr/>
        <w:t xml:space="preserve"> сроков на заключение Договора) признается уклонившимся от заключения Договора и утрачивает статус Победителя, а Закупочная комиссия имеет право выбрать в качестве Победителя иного Участника, занявшего следующее место в ранжировке заявок после Победителя, из числа остальных действующих заявок.</w:t>
      </w:r>
    </w:p>
    <w:p>
      <w:pPr>
        <w:pStyle w:val="Style22"/>
        <w:rPr/>
      </w:pPr>
      <w:bookmarkStart w:id="226" w:name="_Toc188004694"/>
      <w:bookmarkStart w:id="227" w:name="Прил01_ТехТребования"/>
      <w:bookmarkStart w:id="228" w:name="_Ref125370843"/>
      <w:bookmarkStart w:id="229" w:name="_Ref125370750"/>
      <w:bookmarkStart w:id="230" w:name="_Ref125370746"/>
      <w:bookmarkStart w:id="231" w:name="_Ref125370741"/>
      <w:bookmarkStart w:id="232" w:name="_Ref125370732"/>
      <w:bookmarkStart w:id="233" w:name="_Ref125364201"/>
      <w:bookmarkStart w:id="234" w:name="_Ref125364088"/>
      <w:bookmarkStart w:id="235" w:name="_Ref125363752"/>
      <w:bookmarkStart w:id="236" w:name="_Ref125363600"/>
      <w:bookmarkStart w:id="237" w:name="_Ref125363034"/>
      <w:bookmarkStart w:id="238" w:name="_Ref125363023"/>
      <w:bookmarkStart w:id="239" w:name="_Ref125363016"/>
      <w:r>
        <w:rPr/>
        <w:t>Приложение № 1 – Технические требования</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pPr>
        <w:pStyle w:val="Style23"/>
        <w:rPr/>
      </w:pPr>
      <w:bookmarkStart w:id="240" w:name="_Toc188004695"/>
      <w:r>
        <w:rPr/>
        <w:t>Пояснения к Техническим требованиям</w:t>
      </w:r>
      <w:bookmarkEnd w:id="240"/>
    </w:p>
    <w:p>
      <w:pPr>
        <w:pStyle w:val="Style24"/>
        <w:rPr/>
      </w:pPr>
      <w:r>
        <w:rPr/>
        <w:t>Технические требования к закупаемой продукции приведены в отдельном файле (предоставляются отдельным документом в составе Документации о закупке), являющимся Приложением № 1 к Документации о закупке.</w:t>
      </w:r>
    </w:p>
    <w:p>
      <w:pPr>
        <w:pStyle w:val="Style22"/>
        <w:rPr/>
      </w:pPr>
      <w:bookmarkStart w:id="241" w:name="_Toc188004696"/>
      <w:bookmarkStart w:id="242" w:name="Прил02_ПроектДоговора"/>
      <w:bookmarkStart w:id="243" w:name="_Ref125370754"/>
      <w:bookmarkStart w:id="244" w:name="_Ref125364206"/>
      <w:bookmarkStart w:id="245" w:name="_Ref125364081"/>
      <w:bookmarkStart w:id="246" w:name="_Ref125363759"/>
      <w:bookmarkStart w:id="247" w:name="_Ref125363605"/>
      <w:bookmarkStart w:id="248" w:name="_Ref125363040"/>
      <w:bookmarkStart w:id="249" w:name="_Ref125361746"/>
      <w:r>
        <w:rPr/>
        <w:t>Приложение № 2 – Проект договора</w:t>
      </w:r>
      <w:bookmarkEnd w:id="241"/>
      <w:bookmarkEnd w:id="242"/>
      <w:bookmarkEnd w:id="243"/>
      <w:bookmarkEnd w:id="244"/>
      <w:bookmarkEnd w:id="245"/>
      <w:bookmarkEnd w:id="246"/>
      <w:bookmarkEnd w:id="247"/>
      <w:bookmarkEnd w:id="248"/>
      <w:bookmarkEnd w:id="249"/>
    </w:p>
    <w:p>
      <w:pPr>
        <w:pStyle w:val="Style23"/>
        <w:rPr/>
      </w:pPr>
      <w:bookmarkStart w:id="250" w:name="_Toc188004697"/>
      <w:r>
        <w:rPr/>
        <w:t>Пояснения к Проекту договора</w:t>
      </w:r>
      <w:bookmarkEnd w:id="250"/>
    </w:p>
    <w:p>
      <w:pPr>
        <w:pStyle w:val="Style24"/>
        <w:rPr/>
      </w:pPr>
      <w:r>
        <w:rPr/>
        <w:t>Проект договора, заключаемого по результатам закупки, приведен в отдельном файле (предоставляется отдельным документом в составе Документации о закупке), являющимся Приложением № 2 к Документации о закупке.</w:t>
      </w:r>
    </w:p>
    <w:p>
      <w:pPr>
        <w:pStyle w:val="Style24"/>
        <w:rPr/>
      </w:pPr>
      <w:r>
        <w:rPr/>
        <w:t>Все положения Проекта договора являются существенными условиями для Заказчика, за исключением пунктов договора, указанных в подразделе </w:t>
      </w:r>
      <w:r>
        <w:rPr/>
        <w:fldChar w:fldCharType="begin"/>
      </w:r>
      <w:r>
        <w:rPr/>
        <w:instrText xml:space="preserve"> REF _Ref125359973 \r \h </w:instrText>
      </w:r>
      <w:r>
        <w:rPr/>
        <w:fldChar w:fldCharType="separate"/>
      </w:r>
      <w:r>
        <w:rPr/>
        <w:t>1.2</w:t>
      </w:r>
      <w:r>
        <w:rPr/>
        <w:fldChar w:fldCharType="end"/>
      </w:r>
      <w:r>
        <w:rPr/>
        <w:t xml:space="preserve"> </w:t>
      </w:r>
      <w:bookmarkStart w:id="251" w:name="_Hlk132883778"/>
      <w:r>
        <w:rPr/>
        <w:t>как «Некритичные пункты Проекта договора»</w:t>
      </w:r>
      <w:bookmarkEnd w:id="251"/>
      <w:r>
        <w:rPr/>
        <w:t>.</w:t>
      </w:r>
    </w:p>
    <w:p>
      <w:pPr>
        <w:pStyle w:val="Style24"/>
        <w:rPr/>
      </w:pPr>
      <w:r>
        <w:rPr/>
        <w:t>В случае проведения преддоговорных переговоров Заказчик оставляет за собой право рассмотреть и принять перед подписанием Договора предложения и дополнительные (не носящие принципиального характера) изменения к Договору. Если Стороны не придут к соглашению об этих изменениях, они будут обязаны подписать Договор на условиях, изложенных в Документации о закупке.</w:t>
      </w:r>
    </w:p>
    <w:p>
      <w:pPr>
        <w:pStyle w:val="Style24"/>
        <w:rPr/>
      </w:pPr>
      <w:r>
        <w:rPr/>
        <w:t>Одновременно с подписанием Сторонами Договора или не позднее 3 (трех) рабочих дней после подписания Договора, Сторонами должно быть подписано дополнительное соглашение, форма которого приведена в отдельном файле в формате Microsoft Word (предоставляется отдельным документом в составе Документации о закупке), касающееся вопросов подтверждения Участником информации о цепочке собственников, включая бенефициаров (в том числе конечных):</w:t>
      </w:r>
      <w:bookmarkStart w:id="252" w:name="_MON_1736255517"/>
      <w:bookmarkEnd w:id="252"/>
    </w:p>
    <w:p>
      <w:pPr>
        <w:sectPr>
          <w:headerReference w:type="default" r:id="rId14"/>
          <w:headerReference w:type="first" r:id="rId15"/>
          <w:footerReference w:type="default" r:id="rId16"/>
          <w:footerReference w:type="first" r:id="rId17"/>
          <w:footnotePr>
            <w:numFmt w:val="decimal"/>
          </w:footnotePr>
          <w:type w:val="nextPage"/>
          <w:pgSz w:w="11906" w:h="16838"/>
          <w:pgMar w:left="1134" w:right="850" w:gutter="0" w:header="567" w:top="851" w:footer="567" w:bottom="851"/>
          <w:pgNumType w:fmt="decimal"/>
          <w:formProt w:val="false"/>
          <w:textDirection w:val="lrTb"/>
          <w:docGrid w:type="default" w:linePitch="360" w:charSpace="0"/>
        </w:sectPr>
        <w:pStyle w:val="Style28"/>
        <w:jc w:val="center"/>
        <w:rPr/>
      </w:pPr>
      <w:r>
        <w:rPr/>
        <mc:AlternateContent>
          <mc:Choice Requires="wps">
            <w:drawing>
              <wp:anchor behindDoc="0" distT="0" distB="0" distL="635" distR="0" simplePos="0" locked="0" layoutInCell="0" allowOverlap="1" relativeHeight="2" wp14:anchorId="238BD376">
                <wp:simplePos x="0" y="0"/>
                <wp:positionH relativeFrom="column">
                  <wp:posOffset>635</wp:posOffset>
                </wp:positionH>
                <wp:positionV relativeFrom="paragraph">
                  <wp:posOffset>635</wp:posOffset>
                </wp:positionV>
                <wp:extent cx="635000" cy="635000"/>
                <wp:effectExtent l="635" t="0" r="0" b="0"/>
                <wp:wrapNone/>
                <wp:docPr id="1" name="_x0000_tole_rId1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_x0000_tole_rId12" path="m0,0l-2147483645,0l-2147483645,-2147483646l0,-2147483646xe" stroked="f" o:allowincell="f" style="position:absolute;margin-left:0.05pt;margin-top:0.05pt;width:49.95pt;height:49.95pt;mso-wrap-style:none;v-text-anchor:middle" wp14:anchorId="238BD376">
                <v:fill o:detectmouseclick="t" on="false"/>
                <v:stroke color="#3465a4" joinstyle="round" endcap="flat"/>
                <w10:wrap type="none"/>
              </v:rect>
            </w:pict>
          </mc:Fallback>
        </mc:AlternateContent>
        <mc:AlternateContent>
          <mc:Choice Requires="wps">
            <w:drawing>
              <wp:anchor behindDoc="0" distT="0" distB="0" distL="635" distR="0" simplePos="0" locked="0" layoutInCell="0" allowOverlap="1" relativeHeight="5">
                <wp:simplePos x="0" y="0"/>
                <wp:positionH relativeFrom="column">
                  <wp:posOffset>635</wp:posOffset>
                </wp:positionH>
                <wp:positionV relativeFrom="paragraph">
                  <wp:posOffset>635</wp:posOffset>
                </wp:positionV>
                <wp:extent cx="635000" cy="635000"/>
                <wp:effectExtent l="635" t="0" r="0" b="0"/>
                <wp:wrapNone/>
                <wp:docPr id="2" name="_x0000_tole_rId1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_x0000_tole_rId12" path="m0,0l-2147483645,0l-2147483645,-2147483646l0,-2147483646xe" stroked="f" o:allowincell="f" style="position:absolute;margin-left:0.05pt;margin-top:0.05pt;width:49.95pt;height:49.95pt;mso-wrap-style:none;v-text-anchor:middle">
                <v:fill o:detectmouseclick="t" on="false"/>
                <v:stroke color="#3465a4" joinstyle="round" endcap="flat"/>
                <w10:wrap type="none"/>
              </v:rect>
            </w:pict>
          </mc:Fallback>
        </mc:AlternateContent>
        <w:object>
          <v:shapetype id="_x0000_tole_rId12" coordsize="21600,21600" o:spt="ole_rId1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2" type="_x0000_tole_rId12" style="width:78.8pt;height:50.25pt;mso-wrap-distance-right:0pt" filled="f" o:ole="">
            <v:imagedata r:id="rId13" o:title=""/>
          </v:shape>
          <o:OLEObject Type="Embed" ProgID="Word.Document.12" ShapeID="ole_rId12" DrawAspect="Icon" ObjectID="_1335059714" r:id="rId12"/>
        </w:object>
      </w:r>
    </w:p>
    <w:p>
      <w:pPr>
        <w:pStyle w:val="Style22"/>
        <w:rPr/>
      </w:pPr>
      <w:bookmarkStart w:id="253" w:name="_Toc188004698"/>
      <w:bookmarkStart w:id="254" w:name="Прил03_ТребованияУчастникам"/>
      <w:bookmarkStart w:id="255" w:name="_Ref125370013"/>
      <w:bookmarkStart w:id="256" w:name="_Ref125365476"/>
      <w:bookmarkStart w:id="257" w:name="_Ref125361908"/>
      <w:bookmarkStart w:id="258" w:name="_Ref125361494"/>
      <w:r>
        <w:rPr/>
        <w:t>Приложение № 3 – Требования к Участникам</w:t>
      </w:r>
      <w:bookmarkEnd w:id="253"/>
      <w:bookmarkEnd w:id="254"/>
      <w:bookmarkEnd w:id="255"/>
      <w:bookmarkEnd w:id="256"/>
      <w:bookmarkEnd w:id="257"/>
      <w:bookmarkEnd w:id="258"/>
    </w:p>
    <w:p>
      <w:pPr>
        <w:pStyle w:val="Style23"/>
        <w:rPr/>
      </w:pPr>
      <w:bookmarkStart w:id="259" w:name="_Toc188004699"/>
      <w:r>
        <w:rPr/>
        <w:t>Пояснения к требованиям к Участникам</w:t>
      </w:r>
      <w:bookmarkEnd w:id="259"/>
    </w:p>
    <w:p>
      <w:pPr>
        <w:pStyle w:val="Style24"/>
        <w:rPr/>
      </w:pPr>
      <w:bookmarkStart w:id="260" w:name="_Hlk125628168"/>
      <w:r>
        <w:rPr/>
        <w:t>Чтобы претендовать на победу в закупке и получение права заключить Договор с Заказчиком, Участник самостоятельно или Коллективный участник в целом должен отвечать нижеуказанным требованиям и включить в состав заявки документы, подтверждающие его соответствие установленным требованиям.</w:t>
      </w:r>
      <w:bookmarkEnd w:id="260"/>
    </w:p>
    <w:p>
      <w:pPr>
        <w:pStyle w:val="Style23"/>
        <w:spacing w:before="360" w:after="120"/>
        <w:rPr/>
      </w:pPr>
      <w:bookmarkStart w:id="261" w:name="_Toc188004700"/>
      <w:bookmarkStart w:id="262" w:name="_Ref125370071"/>
      <w:bookmarkStart w:id="263" w:name="_Ref125370064"/>
      <w:bookmarkStart w:id="264" w:name="_Ref125370058"/>
      <w:bookmarkStart w:id="265" w:name="_Ref125369088"/>
      <w:bookmarkStart w:id="266" w:name="_Ref125368895"/>
      <w:bookmarkStart w:id="267" w:name="_Ref125368812"/>
      <w:bookmarkStart w:id="268" w:name="_Ref125366879"/>
      <w:bookmarkStart w:id="269" w:name="_Ref125361926"/>
      <w:bookmarkStart w:id="270" w:name="_Ref125361846"/>
      <w:bookmarkStart w:id="271" w:name="_Ref125361832"/>
      <w:bookmarkStart w:id="272" w:name="_Ref125361617"/>
      <w:bookmarkStart w:id="273" w:name="_Ref125361590"/>
      <w:bookmarkStart w:id="274" w:name="_Ref125361435"/>
      <w:r>
        <w:rPr/>
        <w:t>Обязательные требования</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tbl>
      <w:tblPr>
        <w:tblStyle w:val="afff6"/>
        <w:tblW w:w="15126"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1128"/>
        <w:gridCol w:w="5671"/>
        <w:gridCol w:w="8327"/>
      </w:tblGrid>
      <w:tr>
        <w:trPr>
          <w:cnfStyle w:val="100000000000" w:firstRow="1" w:lastRow="0" w:firstColumn="0" w:lastColumn="0" w:oddVBand="0" w:evenVBand="0" w:oddHBand="0" w:evenHBand="0" w:firstRowFirstColumn="0" w:firstRowLastColumn="0" w:lastRowFirstColumn="0" w:lastRowLastColumn="0"/>
        </w:trPr>
        <w:tc>
          <w:tcPr>
            <w:tcW w:w="1128" w:type="dxa"/>
            <w:tcBorders/>
          </w:tcPr>
          <w:p>
            <w:pPr>
              <w:pStyle w:val="Style28"/>
              <w:widowControl w:val="false"/>
              <w:suppressAutoHyphens w:val="true"/>
              <w:spacing w:before="60" w:after="60"/>
              <w:jc w:val="center"/>
              <w:rPr>
                <w:rFonts w:eastAsia="Calibri"/>
              </w:rPr>
            </w:pPr>
            <w:r>
              <w:rPr>
                <w:rFonts w:eastAsia="Calibri" w:cs=""/>
                <w:b/>
                <w:kern w:val="0"/>
                <w:sz w:val="26"/>
                <w:szCs w:val="22"/>
                <w:lang w:val="ru-RU" w:eastAsia="en-US" w:bidi="ar-SA"/>
              </w:rPr>
              <w:t>№</w:t>
            </w:r>
            <w:r>
              <w:rPr>
                <w:rFonts w:eastAsia="Calibri" w:cs=""/>
                <w:b/>
                <w:kern w:val="0"/>
                <w:sz w:val="26"/>
                <w:szCs w:val="22"/>
                <w:lang w:val="ru-RU" w:eastAsia="en-US" w:bidi="ar-SA"/>
              </w:rPr>
              <w:br/>
              <w:t>п/п</w:t>
            </w:r>
          </w:p>
        </w:tc>
        <w:tc>
          <w:tcPr>
            <w:tcW w:w="5671" w:type="dxa"/>
            <w:tcBorders/>
          </w:tcPr>
          <w:p>
            <w:pPr>
              <w:pStyle w:val="Style28"/>
              <w:widowControl w:val="false"/>
              <w:suppressAutoHyphens w:val="true"/>
              <w:spacing w:before="60" w:after="60"/>
              <w:jc w:val="center"/>
              <w:rPr>
                <w:rFonts w:eastAsia="Calibri"/>
              </w:rPr>
            </w:pPr>
            <w:r>
              <w:rPr>
                <w:rFonts w:eastAsia="Calibri" w:cs=""/>
                <w:b/>
                <w:kern w:val="0"/>
                <w:sz w:val="26"/>
                <w:szCs w:val="22"/>
                <w:lang w:val="ru-RU" w:eastAsia="en-US" w:bidi="ar-SA"/>
              </w:rPr>
              <w:t>Требования к Участнику</w:t>
            </w:r>
          </w:p>
        </w:tc>
        <w:tc>
          <w:tcPr>
            <w:tcW w:w="8327" w:type="dxa"/>
            <w:tcBorders/>
          </w:tcPr>
          <w:p>
            <w:pPr>
              <w:pStyle w:val="Style28"/>
              <w:widowControl w:val="false"/>
              <w:suppressAutoHyphens w:val="true"/>
              <w:spacing w:before="60" w:after="60"/>
              <w:jc w:val="center"/>
              <w:rPr>
                <w:rFonts w:eastAsia="Calibri"/>
              </w:rPr>
            </w:pPr>
            <w:r>
              <w:rPr>
                <w:rFonts w:eastAsia="Calibri" w:cs=""/>
                <w:b/>
                <w:kern w:val="0"/>
                <w:sz w:val="26"/>
                <w:szCs w:val="22"/>
                <w:lang w:val="ru-RU" w:eastAsia="en-US" w:bidi="ar-SA"/>
              </w:rPr>
              <w:t>Требования к документам,</w:t>
              <w:br/>
              <w:t>подтверждающим соответствие Участника установленным требованиям</w:t>
            </w:r>
          </w:p>
        </w:tc>
      </w:tr>
      <w:tr>
        <w:trPr/>
        <w:tc>
          <w:tcPr>
            <w:tcW w:w="1128" w:type="dxa"/>
            <w:tcBorders/>
          </w:tcPr>
          <w:p>
            <w:pPr>
              <w:pStyle w:val="Style28"/>
              <w:widowControl w:val="false"/>
              <w:numPr>
                <w:ilvl w:val="0"/>
                <w:numId w:val="2"/>
              </w:numPr>
              <w:suppressAutoHyphens w:val="true"/>
              <w:spacing w:before="60" w:after="60"/>
              <w:ind w:left="284" w:hanging="0"/>
              <w:jc w:val="center"/>
              <w:rPr>
                <w:rFonts w:eastAsia="Calibri"/>
              </w:rPr>
            </w:pPr>
            <w:r>
              <w:rPr>
                <w:rFonts w:eastAsia="Calibri"/>
              </w:rPr>
            </w:r>
            <w:bookmarkStart w:id="275" w:name="_Ref125552433"/>
            <w:bookmarkStart w:id="276" w:name="_Ref125552433"/>
            <w:bookmarkEnd w:id="276"/>
          </w:p>
        </w:tc>
        <w:tc>
          <w:tcPr>
            <w:tcW w:w="5671"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Участник должен обладать гражданской правоспособностью в полном объеме для заключения и исполнения Договора, а также должен обладать статусом «аккредитован» в соответствии с Положением об аккредитации, либо являться лицом, указанным в пункте 3.11 Положения об аккредитации:</w:t>
            </w:r>
          </w:p>
        </w:tc>
        <w:tc>
          <w:tcPr>
            <w:tcW w:w="8327" w:type="dxa"/>
            <w:tcBorders/>
          </w:tcPr>
          <w:p>
            <w:pPr>
              <w:pStyle w:val="Style28"/>
              <w:widowControl w:val="false"/>
              <w:numPr>
                <w:ilvl w:val="0"/>
                <w:numId w:val="8"/>
              </w:numPr>
              <w:suppressAutoHyphens w:val="true"/>
              <w:spacing w:before="60" w:after="60"/>
              <w:ind w:left="284" w:hanging="284"/>
              <w:rPr>
                <w:rFonts w:eastAsia="Calibri"/>
              </w:rPr>
            </w:pPr>
            <w:r>
              <w:rPr>
                <w:rFonts w:eastAsia="Calibri" w:cs=""/>
                <w:kern w:val="0"/>
                <w:sz w:val="26"/>
                <w:szCs w:val="22"/>
                <w:lang w:val="ru-RU" w:eastAsia="en-US" w:bidi="ar-SA"/>
              </w:rPr>
              <w:t>В отношении гражданской правоспособности:</w:t>
            </w:r>
          </w:p>
          <w:p>
            <w:pPr>
              <w:pStyle w:val="Style28"/>
              <w:widowControl w:val="false"/>
              <w:numPr>
                <w:ilvl w:val="0"/>
                <w:numId w:val="13"/>
              </w:numPr>
              <w:suppressAutoHyphens w:val="true"/>
              <w:spacing w:before="60" w:after="60"/>
              <w:ind w:left="568" w:hanging="284"/>
              <w:rPr>
                <w:rFonts w:eastAsia="Calibri"/>
              </w:rPr>
            </w:pPr>
            <w:r>
              <w:rPr>
                <w:rFonts w:eastAsia="Calibri" w:cs=""/>
                <w:kern w:val="0"/>
                <w:sz w:val="26"/>
                <w:szCs w:val="22"/>
                <w:lang w:val="ru-RU" w:eastAsia="en-US" w:bidi="ar-SA"/>
              </w:rPr>
              <w:t>если заявка подписывается лицом, действующим на основании доверенности, предоставляется электронный образ (файл в формате *.</w:t>
            </w:r>
            <w:r>
              <w:rPr>
                <w:rFonts w:eastAsia="Calibri" w:cs=""/>
                <w:kern w:val="0"/>
                <w:sz w:val="26"/>
                <w:szCs w:val="22"/>
                <w:lang w:val="en-US" w:eastAsia="en-US" w:bidi="ar-SA"/>
              </w:rPr>
              <w:t>pdf</w:t>
            </w:r>
            <w:r>
              <w:rPr>
                <w:rFonts w:eastAsia="Calibri" w:cs=""/>
                <w:kern w:val="0"/>
                <w:sz w:val="26"/>
                <w:szCs w:val="22"/>
                <w:lang w:val="ru-RU" w:eastAsia="en-US" w:bidi="ar-SA"/>
              </w:rPr>
              <w:t>) оригинала соответствующей доверенности либо ее нотариально заверенной копии (с указанием правомочий на подписание заявки);</w:t>
            </w:r>
          </w:p>
          <w:p>
            <w:pPr>
              <w:pStyle w:val="Style28"/>
              <w:widowControl w:val="false"/>
              <w:numPr>
                <w:ilvl w:val="0"/>
                <w:numId w:val="8"/>
              </w:numPr>
              <w:suppressAutoHyphens w:val="true"/>
              <w:spacing w:before="60" w:after="60"/>
              <w:ind w:left="284" w:hanging="284"/>
              <w:rPr>
                <w:rFonts w:eastAsia="Calibri"/>
              </w:rPr>
            </w:pPr>
            <w:r>
              <w:rPr>
                <w:rFonts w:eastAsia="Calibri" w:cs=""/>
                <w:kern w:val="0"/>
                <w:sz w:val="26"/>
                <w:szCs w:val="22"/>
                <w:lang w:val="ru-RU" w:eastAsia="en-US" w:bidi="ar-SA"/>
              </w:rPr>
              <w:t>В отношении аккредитации:</w:t>
            </w:r>
          </w:p>
          <w:p>
            <w:pPr>
              <w:pStyle w:val="Style28"/>
              <w:widowControl w:val="false"/>
              <w:numPr>
                <w:ilvl w:val="0"/>
                <w:numId w:val="13"/>
              </w:numPr>
              <w:suppressAutoHyphens w:val="true"/>
              <w:spacing w:before="60" w:after="60"/>
              <w:ind w:left="568" w:hanging="284"/>
              <w:rPr/>
            </w:pPr>
            <w:r>
              <w:rPr>
                <w:rFonts w:eastAsia="Calibri" w:cs=""/>
                <w:kern w:val="0"/>
                <w:sz w:val="26"/>
                <w:szCs w:val="22"/>
                <w:lang w:val="ru-RU" w:eastAsia="en-US" w:bidi="ar-SA"/>
              </w:rPr>
              <w:t>при наличии у Участника на момент подачи заявки статуса «аккредитован» (по результатам ранее пройденной процедуры аккредитации) / статуса «аккредитация не требуется» (в соответствии с ранее направленными сведениями для включения записи в Реестр аккредитации), и при отсутствии (с момента подачи им Заявки на аккредитацию) изменений, оказывающих влияние на соответствие его критериям аккредитации (на текущий статус), а также следующих изменений: реорганизация, изменение наименования, места нахождения, единоличного исполнительного органа и прочих сведений, указанных ранее в Заявке на аккредитацию – декларация в составе Письма о подаче оферты (форма 2) (</w:t>
            </w:r>
            <w:hyperlink w:anchor="Прил04_ФормыЗаявки">
              <w:r>
                <w:rPr>
                  <w:rStyle w:val="Style13"/>
                  <w:rFonts w:eastAsia="Calibri" w:cs=""/>
                  <w:kern w:val="0"/>
                  <w:sz w:val="26"/>
                  <w:szCs w:val="22"/>
                  <w:lang w:val="ru-RU" w:eastAsia="en-US" w:bidi="ar-SA"/>
                </w:rPr>
                <w:t>Приложение № 4</w:t>
              </w:r>
            </w:hyperlink>
            <w:r>
              <w:rPr>
                <w:rFonts w:eastAsia="Calibri" w:cs=""/>
                <w:kern w:val="0"/>
                <w:sz w:val="26"/>
                <w:szCs w:val="22"/>
                <w:lang w:val="ru-RU" w:eastAsia="en-US" w:bidi="ar-SA"/>
              </w:rPr>
              <w:t>); предоставление Заявки на аккредитацию не требуется;</w:t>
            </w:r>
          </w:p>
          <w:p>
            <w:pPr>
              <w:pStyle w:val="Style28"/>
              <w:widowControl w:val="false"/>
              <w:numPr>
                <w:ilvl w:val="0"/>
                <w:numId w:val="13"/>
              </w:numPr>
              <w:suppressAutoHyphens w:val="true"/>
              <w:spacing w:before="60" w:after="60"/>
              <w:ind w:left="568" w:hanging="284"/>
              <w:rPr/>
            </w:pPr>
            <w:r>
              <w:rPr>
                <w:rFonts w:eastAsia="Calibri" w:cs=""/>
                <w:kern w:val="0"/>
                <w:sz w:val="26"/>
                <w:szCs w:val="22"/>
                <w:lang w:val="ru-RU" w:eastAsia="en-US" w:bidi="ar-SA"/>
              </w:rPr>
              <w:t>при наличии у Участника на момент подачи заявки статуса «аккредитован» (по результатам ранее пройденной процедуры аккредитации) / статуса «аккредитация не требуется» (в соответствии с ранее направленными сведениями для включения записи в Реестр аккредитации), и при наличии (с момента подачи Заявки на аккредитацию) изменений, оказывающих влияние на соответствие его критериям аккредитации (на текущий статус), а также следующих изменений: реорганизация, изменение наименования, места нахождения, единоличного исполнительного органа и прочих сведений, указанных ранее в Заявке на аккредитацию – декларация в составе Письма о подаче оферты (форма 2) (</w:t>
            </w:r>
            <w:hyperlink w:anchor="Прил04_ФормыЗаявки">
              <w:r>
                <w:rPr>
                  <w:rStyle w:val="Style13"/>
                  <w:rFonts w:eastAsia="Calibri" w:cs=""/>
                  <w:kern w:val="0"/>
                  <w:sz w:val="26"/>
                  <w:szCs w:val="22"/>
                  <w:lang w:val="ru-RU" w:eastAsia="en-US" w:bidi="ar-SA"/>
                </w:rPr>
                <w:t>Приложение № 4</w:t>
              </w:r>
            </w:hyperlink>
            <w:r>
              <w:rPr>
                <w:rFonts w:eastAsia="Calibri" w:cs=""/>
                <w:kern w:val="0"/>
                <w:sz w:val="26"/>
                <w:szCs w:val="22"/>
                <w:lang w:val="ru-RU" w:eastAsia="en-US" w:bidi="ar-SA"/>
              </w:rPr>
              <w:t>) и обновленная Заявка на аккредитацию по установленной в Документации о закупке форме (</w:t>
            </w:r>
            <w:hyperlink w:anchor="Прил10_ЗаявкаНаАккредитацию">
              <w:r>
                <w:rPr>
                  <w:rStyle w:val="Style13"/>
                  <w:rFonts w:eastAsia="Calibri" w:cs=""/>
                  <w:kern w:val="0"/>
                  <w:sz w:val="26"/>
                  <w:szCs w:val="22"/>
                  <w:lang w:val="ru-RU" w:eastAsia="en-US" w:bidi="ar-SA"/>
                </w:rPr>
                <w:t>Приложение № 10</w:t>
              </w:r>
            </w:hyperlink>
            <w:r>
              <w:rPr>
                <w:rFonts w:eastAsia="Calibri" w:cs=""/>
                <w:kern w:val="0"/>
                <w:sz w:val="26"/>
                <w:szCs w:val="22"/>
                <w:lang w:val="ru-RU" w:eastAsia="en-US" w:bidi="ar-SA"/>
              </w:rPr>
              <w:t>);</w:t>
            </w:r>
          </w:p>
          <w:p>
            <w:pPr>
              <w:pStyle w:val="Style28"/>
              <w:widowControl w:val="false"/>
              <w:numPr>
                <w:ilvl w:val="0"/>
                <w:numId w:val="13"/>
              </w:numPr>
              <w:suppressAutoHyphens w:val="true"/>
              <w:spacing w:before="60" w:after="60"/>
              <w:ind w:left="568" w:hanging="284"/>
              <w:rPr/>
            </w:pPr>
            <w:r>
              <w:rPr>
                <w:rFonts w:eastAsia="Calibri" w:cs=""/>
                <w:kern w:val="0"/>
                <w:sz w:val="26"/>
                <w:szCs w:val="22"/>
                <w:lang w:val="ru-RU" w:eastAsia="en-US" w:bidi="ar-SA"/>
              </w:rPr>
              <w:t>при отсутствии у Участника на момент подачи заявки статуса «аккредитован» (при условии, что Участник ранее направил Заявку на аккредитацию, но на момент подачи заявки на участие в текущей закупке результаты проверки еще не известны (отсутствует соответствующая запись в Реестре аккредитации)) – декларация в составе Письма о подаче оферты (форма 2) (</w:t>
            </w:r>
            <w:hyperlink w:anchor="Прил04_ФормыЗаявки">
              <w:r>
                <w:rPr>
                  <w:rStyle w:val="Style13"/>
                  <w:rFonts w:eastAsia="Calibri" w:cs=""/>
                  <w:kern w:val="0"/>
                  <w:sz w:val="26"/>
                  <w:szCs w:val="22"/>
                  <w:lang w:val="ru-RU" w:eastAsia="en-US" w:bidi="ar-SA"/>
                </w:rPr>
                <w:t>Приложение № 4</w:t>
              </w:r>
            </w:hyperlink>
            <w:r>
              <w:rPr>
                <w:rFonts w:eastAsia="Calibri" w:cs=""/>
                <w:kern w:val="0"/>
                <w:sz w:val="26"/>
                <w:szCs w:val="22"/>
                <w:lang w:val="ru-RU" w:eastAsia="en-US" w:bidi="ar-SA"/>
              </w:rPr>
              <w:t>); предоставление Заявки на аккредитацию не требуется;</w:t>
            </w:r>
          </w:p>
          <w:p>
            <w:pPr>
              <w:pStyle w:val="Style28"/>
              <w:widowControl w:val="false"/>
              <w:numPr>
                <w:ilvl w:val="0"/>
                <w:numId w:val="13"/>
              </w:numPr>
              <w:suppressAutoHyphens w:val="true"/>
              <w:spacing w:before="60" w:after="60"/>
              <w:ind w:left="568" w:hanging="284"/>
              <w:rPr/>
            </w:pPr>
            <w:r>
              <w:rPr>
                <w:rFonts w:eastAsia="Calibri" w:cs=""/>
                <w:kern w:val="0"/>
                <w:sz w:val="26"/>
                <w:szCs w:val="22"/>
                <w:lang w:val="ru-RU" w:eastAsia="en-US" w:bidi="ar-SA"/>
              </w:rPr>
              <w:t>при отсутствии у Участника на момент подачи заявки статуса «аккредитован» (не проходил ранее процедуру аккредитации или наличия у Участника статуса «не аккредитован» (по результатам ранее пройденной процедуры аккредитации), а также для лиц, указанных в пункте 3.11 Положения об аккредитации (аккредитация не требуется), но которые ранее не направляли соответствующие сведения для включения записи в Реестр аккредитации – декларация в составе Письма о подаче оферты (форма 2) (</w:t>
            </w:r>
            <w:hyperlink w:anchor="Прил04_ФормыЗаявки">
              <w:r>
                <w:rPr>
                  <w:rStyle w:val="Style13"/>
                  <w:rFonts w:eastAsia="Calibri" w:cs=""/>
                  <w:kern w:val="0"/>
                  <w:sz w:val="26"/>
                  <w:szCs w:val="22"/>
                  <w:lang w:val="ru-RU" w:eastAsia="en-US" w:bidi="ar-SA"/>
                </w:rPr>
                <w:t>Приложение № 4</w:t>
              </w:r>
            </w:hyperlink>
            <w:r>
              <w:rPr>
                <w:rFonts w:eastAsia="Calibri" w:cs=""/>
                <w:kern w:val="0"/>
                <w:sz w:val="26"/>
                <w:szCs w:val="22"/>
                <w:lang w:val="ru-RU" w:eastAsia="en-US" w:bidi="ar-SA"/>
              </w:rPr>
              <w:t>) и Заявка на аккредитацию по установленной в Документации о закупке форме (</w:t>
            </w:r>
            <w:hyperlink w:anchor="Прил10_ЗаявкаНаАккредитацию">
              <w:r>
                <w:rPr>
                  <w:rStyle w:val="Style13"/>
                  <w:rFonts w:eastAsia="Calibri" w:cs=""/>
                  <w:kern w:val="0"/>
                  <w:sz w:val="26"/>
                  <w:szCs w:val="22"/>
                  <w:lang w:val="ru-RU" w:eastAsia="en-US" w:bidi="ar-SA"/>
                </w:rPr>
                <w:t>Приложение № 10</w:t>
              </w:r>
            </w:hyperlink>
            <w:r>
              <w:rPr>
                <w:rFonts w:eastAsia="Calibri" w:cs=""/>
                <w:kern w:val="0"/>
                <w:sz w:val="26"/>
                <w:szCs w:val="22"/>
                <w:lang w:val="ru-RU" w:eastAsia="en-US" w:bidi="ar-SA"/>
              </w:rPr>
              <w:t>).</w:t>
            </w:r>
          </w:p>
          <w:p>
            <w:pPr>
              <w:pStyle w:val="Style28"/>
              <w:widowControl w:val="false"/>
              <w:suppressAutoHyphens w:val="true"/>
              <w:spacing w:before="60" w:after="60"/>
              <w:ind w:left="284" w:hanging="0"/>
              <w:rPr>
                <w:rFonts w:eastAsia="Calibri"/>
              </w:rPr>
            </w:pPr>
            <w:r>
              <w:rPr>
                <w:rFonts w:eastAsia="Calibri" w:cs=""/>
                <w:kern w:val="0"/>
                <w:sz w:val="26"/>
                <w:szCs w:val="22"/>
                <w:lang w:val="ru-RU" w:eastAsia="en-US" w:bidi="ar-SA"/>
              </w:rPr>
              <w:t>В случае заинтересованности Участника в дополнительной оценке его финансового состояния, при условии отсутствия опубликованной в государственном информационном ресурсе бухгалтерской (финансовой) отчетности организаций (https://bo.nalog.ru), к Заявке на аккредитацию также прилагается электронная копия бухгалтерского баланса (ОКУД 0710001) и отчета о финансовых результатах (ОКУД 0710002) за последний завершенный финансовый год, с отметкой налогового органа о приеме или с приложением квитанции о приеме и (или) извещения о вводе сведений налоговым органом. Указанные документы не являются обязательными к подаче в рамках процедуры аккредитации и предоставляются по желанию Участника.</w:t>
            </w:r>
          </w:p>
        </w:tc>
      </w:tr>
      <w:tr>
        <w:trPr/>
        <w:tc>
          <w:tcPr>
            <w:tcW w:w="1128" w:type="dxa"/>
            <w:tcBorders/>
          </w:tcPr>
          <w:p>
            <w:pPr>
              <w:pStyle w:val="Style28"/>
              <w:widowControl w:val="false"/>
              <w:numPr>
                <w:ilvl w:val="0"/>
                <w:numId w:val="2"/>
              </w:numPr>
              <w:suppressAutoHyphens w:val="true"/>
              <w:spacing w:before="60" w:after="60"/>
              <w:ind w:left="284" w:hanging="0"/>
              <w:jc w:val="center"/>
              <w:rPr>
                <w:rFonts w:eastAsia="Calibri"/>
              </w:rPr>
            </w:pPr>
            <w:r>
              <w:rPr>
                <w:rFonts w:eastAsia="Calibri"/>
              </w:rPr>
            </w:r>
          </w:p>
        </w:tc>
        <w:tc>
          <w:tcPr>
            <w:tcW w:w="5671"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Участник должен являться субъектом МСП, или физическим лицом, не являющимся индивидуальным предпринимателем и применяющим специальный налоговый режим «Налог на профессиональный доход»:</w:t>
            </w:r>
          </w:p>
        </w:tc>
        <w:tc>
          <w:tcPr>
            <w:tcW w:w="8327" w:type="dxa"/>
            <w:tcBorders/>
          </w:tcPr>
          <w:p>
            <w:pPr>
              <w:pStyle w:val="Style28"/>
              <w:widowControl w:val="false"/>
              <w:suppressAutoHyphens w:val="true"/>
              <w:spacing w:before="60" w:after="60"/>
              <w:rPr/>
            </w:pPr>
            <w:r>
              <w:rPr>
                <w:rFonts w:eastAsia="Calibri" w:cs=""/>
                <w:kern w:val="0"/>
                <w:sz w:val="26"/>
                <w:szCs w:val="22"/>
                <w:lang w:val="ru-RU" w:eastAsia="en-US" w:bidi="ar-SA"/>
              </w:rPr>
              <w:t>Декларация о соответствии Участника данному требованию в составе Письма о подаче оферты (форма 2) (</w:t>
            </w:r>
            <w:hyperlink w:anchor="Прил04_ФормыЗаявки">
              <w:r>
                <w:rPr>
                  <w:rStyle w:val="Style13"/>
                  <w:rFonts w:eastAsia="Calibri" w:cs=""/>
                  <w:kern w:val="0"/>
                  <w:sz w:val="26"/>
                  <w:szCs w:val="22"/>
                  <w:lang w:val="ru-RU" w:eastAsia="en-US" w:bidi="ar-SA"/>
                </w:rPr>
                <w:t>Приложение № 4</w:t>
              </w:r>
            </w:hyperlink>
            <w:r>
              <w:rPr>
                <w:rFonts w:eastAsia="Calibri" w:cs=""/>
                <w:kern w:val="0"/>
                <w:sz w:val="26"/>
                <w:szCs w:val="22"/>
                <w:lang w:val="ru-RU" w:eastAsia="en-US" w:bidi="ar-SA"/>
              </w:rPr>
              <w:t>);</w:t>
            </w:r>
          </w:p>
          <w:p>
            <w:pPr>
              <w:pStyle w:val="Style28"/>
              <w:widowControl w:val="false"/>
              <w:suppressAutoHyphens w:val="true"/>
              <w:spacing w:before="60" w:after="60"/>
              <w:rPr>
                <w:i/>
                <w:i/>
                <w:iCs/>
              </w:rPr>
            </w:pPr>
            <w:r>
              <w:rPr>
                <w:rFonts w:eastAsia="Calibri" w:cs=""/>
                <w:i/>
                <w:iCs/>
                <w:kern w:val="0"/>
                <w:sz w:val="26"/>
                <w:szCs w:val="22"/>
                <w:lang w:val="ru-RU" w:eastAsia="en-US" w:bidi="ar-SA"/>
              </w:rPr>
              <w:t>(В рамках рассмотрения заявок Организатор проверяет наличие информации об Участнике в Реестре МСП, а в отношении физических лиц, не являющихся индивидуальными предпринимателями и применяющих специальный налоговый режим «Налог на профессиональный доход», наличие информации на официальном сайте федерального органа исполнительной власти, уполномоченного по контролю и надзору в области налогов и сборов, о применении ими такого налогового режима.)</w:t>
            </w:r>
          </w:p>
        </w:tc>
      </w:tr>
      <w:tr>
        <w:trPr/>
        <w:tc>
          <w:tcPr>
            <w:tcW w:w="1128" w:type="dxa"/>
            <w:tcBorders/>
          </w:tcPr>
          <w:p>
            <w:pPr>
              <w:pStyle w:val="Style28"/>
              <w:widowControl w:val="false"/>
              <w:numPr>
                <w:ilvl w:val="0"/>
                <w:numId w:val="2"/>
              </w:numPr>
              <w:suppressAutoHyphens w:val="true"/>
              <w:spacing w:before="60" w:after="60"/>
              <w:ind w:left="284" w:hanging="0"/>
              <w:jc w:val="center"/>
              <w:rPr>
                <w:rFonts w:eastAsia="Calibri"/>
              </w:rPr>
            </w:pPr>
            <w:r>
              <w:rPr>
                <w:rFonts w:eastAsia="Calibri"/>
              </w:rPr>
            </w:r>
            <w:bookmarkStart w:id="277" w:name="_Ref139028406"/>
            <w:bookmarkStart w:id="278" w:name="_Ref139028406"/>
            <w:bookmarkEnd w:id="278"/>
          </w:p>
        </w:tc>
        <w:tc>
          <w:tcPr>
            <w:tcW w:w="5671"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Сведения об Участнике должны отсутствовать в перечне юридических лиц, в отношении которых применяются специальные экономические меры, утвержденном Постановлением Правительства Российской Федерации от 11.05.2022 № 851</w:t>
            </w:r>
            <w:r>
              <w:rPr>
                <w:rStyle w:val="FootnoteReference"/>
                <w:rFonts w:eastAsia="Calibri" w:cs=""/>
                <w:kern w:val="0"/>
                <w:sz w:val="26"/>
                <w:szCs w:val="22"/>
                <w:lang w:val="ru-RU" w:eastAsia="en-US" w:bidi="ar-SA"/>
              </w:rPr>
              <w:footnoteReference w:id="14"/>
            </w:r>
            <w:r>
              <w:rPr>
                <w:rFonts w:eastAsia="Calibri" w:cs=""/>
                <w:kern w:val="0"/>
                <w:sz w:val="26"/>
                <w:szCs w:val="22"/>
                <w:lang w:val="ru-RU" w:eastAsia="en-US" w:bidi="ar-SA"/>
              </w:rPr>
              <w:t>, а также Участник не должен являться подконтрольной организацией данных юридических лиц</w:t>
            </w:r>
            <w:r>
              <w:rPr>
                <w:rStyle w:val="FootnoteReference"/>
                <w:rFonts w:eastAsia="Calibri" w:cs=""/>
                <w:kern w:val="0"/>
                <w:sz w:val="26"/>
                <w:szCs w:val="22"/>
                <w:lang w:val="ru-RU" w:eastAsia="en-US" w:bidi="ar-SA"/>
              </w:rPr>
              <w:footnoteReference w:id="15"/>
            </w:r>
            <w:r>
              <w:rPr>
                <w:rFonts w:eastAsia="Calibri" w:cs=""/>
                <w:kern w:val="0"/>
                <w:sz w:val="26"/>
                <w:szCs w:val="22"/>
                <w:lang w:val="ru-RU" w:eastAsia="en-US" w:bidi="ar-SA"/>
              </w:rPr>
              <w:t>:</w:t>
            </w:r>
          </w:p>
        </w:tc>
        <w:tc>
          <w:tcPr>
            <w:tcW w:w="8327" w:type="dxa"/>
            <w:tcBorders/>
          </w:tcPr>
          <w:p>
            <w:pPr>
              <w:pStyle w:val="Style28"/>
              <w:widowControl w:val="false"/>
              <w:suppressAutoHyphens w:val="true"/>
              <w:spacing w:before="60" w:after="60"/>
              <w:rPr/>
            </w:pPr>
            <w:r>
              <w:rPr>
                <w:rFonts w:eastAsia="Calibri" w:cs=""/>
                <w:kern w:val="0"/>
                <w:sz w:val="26"/>
                <w:szCs w:val="22"/>
                <w:lang w:val="ru-RU" w:eastAsia="en-US" w:bidi="ar-SA"/>
              </w:rPr>
              <w:t>Декларация о соответствии Участника данному требованию в составе Письма о подаче оферты (форма 2) (</w:t>
            </w:r>
            <w:hyperlink w:anchor="Прил04_ФормыЗаявки">
              <w:r>
                <w:rPr>
                  <w:rStyle w:val="Style13"/>
                  <w:rFonts w:eastAsia="Calibri" w:cs=""/>
                  <w:kern w:val="0"/>
                  <w:sz w:val="26"/>
                  <w:szCs w:val="22"/>
                  <w:lang w:val="ru-RU" w:eastAsia="en-US" w:bidi="ar-SA"/>
                </w:rPr>
                <w:t>Приложение № 4</w:t>
              </w:r>
            </w:hyperlink>
            <w:r>
              <w:rPr>
                <w:rFonts w:eastAsia="Calibri" w:cs=""/>
                <w:kern w:val="0"/>
                <w:sz w:val="26"/>
                <w:szCs w:val="22"/>
                <w:lang w:val="ru-RU" w:eastAsia="en-US" w:bidi="ar-SA"/>
              </w:rPr>
              <w:t>).</w:t>
            </w:r>
          </w:p>
          <w:p>
            <w:pPr>
              <w:pStyle w:val="Style28"/>
              <w:widowControl w:val="false"/>
              <w:suppressAutoHyphens w:val="true"/>
              <w:spacing w:before="60" w:after="60"/>
              <w:rPr>
                <w:i/>
                <w:i/>
                <w:iCs/>
              </w:rPr>
            </w:pPr>
            <w:r>
              <w:rPr>
                <w:rFonts w:eastAsia="Calibri" w:cs=""/>
                <w:i/>
                <w:iCs/>
                <w:kern w:val="0"/>
                <w:sz w:val="26"/>
                <w:szCs w:val="22"/>
                <w:lang w:val="ru-RU" w:eastAsia="en-US" w:bidi="ar-SA"/>
              </w:rPr>
              <w:t>(В рамках рассмотрения заявок и (или) перед заключением договора Организатор проверяет наличие информации об Участнике в перечне юридических лиц, в отношении которых применяются специальные экономические меры, утвержденном Постановлением Правительства Российской Федерации от 11.05.2022 № 851 «О мерах по реализации Указа Президента Российской Федерации от 3 мая 2022 г. N 252».)</w:t>
            </w:r>
          </w:p>
        </w:tc>
      </w:tr>
      <w:tr>
        <w:trPr/>
        <w:tc>
          <w:tcPr>
            <w:tcW w:w="1128" w:type="dxa"/>
            <w:tcBorders/>
          </w:tcPr>
          <w:p>
            <w:pPr>
              <w:pStyle w:val="Style28"/>
              <w:widowControl w:val="false"/>
              <w:numPr>
                <w:ilvl w:val="0"/>
                <w:numId w:val="2"/>
              </w:numPr>
              <w:suppressAutoHyphens w:val="true"/>
              <w:spacing w:before="60" w:after="60"/>
              <w:ind w:left="284" w:hanging="0"/>
              <w:jc w:val="center"/>
              <w:rPr>
                <w:rFonts w:eastAsia="Calibri"/>
              </w:rPr>
            </w:pPr>
            <w:r>
              <w:rPr>
                <w:rFonts w:eastAsia="Calibri"/>
              </w:rPr>
            </w:r>
            <w:bookmarkStart w:id="279" w:name="_Ref186128496"/>
            <w:bookmarkStart w:id="280" w:name="_Ref186128496"/>
            <w:bookmarkEnd w:id="280"/>
          </w:p>
        </w:tc>
        <w:tc>
          <w:tcPr>
            <w:tcW w:w="5671"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Если в подразделе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_Ref125359973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1.2</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установлен режим запрета закупки иностранной продукции и предметом закупки является оказание услуг и (или) выполнение работ (в том числе с поставкой товаров при выполнении закупаемых работ и (или) оказании закупаемых услуг), то Участник должен быть российским лицом:</w:t>
            </w:r>
          </w:p>
        </w:tc>
        <w:tc>
          <w:tcPr>
            <w:tcW w:w="8327" w:type="dxa"/>
            <w:tcBorders/>
          </w:tcPr>
          <w:p>
            <w:pPr>
              <w:pStyle w:val="Style28"/>
              <w:widowControl w:val="false"/>
              <w:suppressAutoHyphens w:val="true"/>
              <w:spacing w:before="60" w:after="60"/>
              <w:rPr/>
            </w:pPr>
            <w:r>
              <w:rPr>
                <w:rFonts w:eastAsia="Calibri" w:cs=""/>
                <w:kern w:val="0"/>
                <w:sz w:val="26"/>
                <w:szCs w:val="22"/>
                <w:lang w:val="ru-RU" w:eastAsia="en-US" w:bidi="ar-SA"/>
              </w:rPr>
              <w:t>Декларация о соответствии Участника данному требованию в составе Письма о подаче оферты (форма 2) (</w:t>
            </w:r>
            <w:hyperlink w:anchor="Прил04_ФормыЗаявки">
              <w:r>
                <w:rPr>
                  <w:rStyle w:val="Style13"/>
                  <w:rFonts w:eastAsia="Calibri" w:cs=""/>
                  <w:kern w:val="0"/>
                  <w:sz w:val="26"/>
                  <w:szCs w:val="22"/>
                  <w:lang w:val="ru-RU" w:eastAsia="en-US" w:bidi="ar-SA"/>
                </w:rPr>
                <w:t>Приложение № 4</w:t>
              </w:r>
            </w:hyperlink>
            <w:r>
              <w:rPr>
                <w:rFonts w:eastAsia="Calibri" w:cs=""/>
                <w:kern w:val="0"/>
                <w:sz w:val="26"/>
                <w:szCs w:val="22"/>
                <w:lang w:val="ru-RU" w:eastAsia="en-US" w:bidi="ar-SA"/>
              </w:rPr>
              <w:t>).</w:t>
            </w:r>
          </w:p>
          <w:p>
            <w:pPr>
              <w:pStyle w:val="Style28"/>
              <w:widowControl w:val="false"/>
              <w:suppressAutoHyphens w:val="true"/>
              <w:spacing w:before="60" w:after="60"/>
              <w:rPr>
                <w:i/>
                <w:i/>
                <w:iCs/>
              </w:rPr>
            </w:pPr>
            <w:r>
              <w:rPr>
                <w:rFonts w:eastAsia="Calibri" w:cs=""/>
                <w:i/>
                <w:iCs/>
                <w:kern w:val="0"/>
                <w:sz w:val="26"/>
                <w:szCs w:val="22"/>
                <w:lang w:val="ru-RU" w:eastAsia="en-US" w:bidi="ar-SA"/>
              </w:rPr>
              <w:t>(В рамках рассмотрения заявок Организатор на основании результатов аккредитации проверяет на соответствие данному требованию.)</w:t>
            </w:r>
          </w:p>
        </w:tc>
      </w:tr>
      <w:tr>
        <w:trPr/>
        <w:tc>
          <w:tcPr>
            <w:tcW w:w="1128" w:type="dxa"/>
            <w:tcBorders/>
          </w:tcPr>
          <w:p>
            <w:pPr>
              <w:pStyle w:val="Style28"/>
              <w:widowControl w:val="false"/>
              <w:numPr>
                <w:ilvl w:val="0"/>
                <w:numId w:val="2"/>
              </w:numPr>
              <w:suppressAutoHyphens w:val="true"/>
              <w:spacing w:before="60" w:after="60"/>
              <w:ind w:left="284" w:hanging="0"/>
              <w:jc w:val="center"/>
              <w:rPr>
                <w:rFonts w:eastAsia="Calibri"/>
              </w:rPr>
            </w:pPr>
            <w:r>
              <w:rPr>
                <w:rFonts w:eastAsia="Calibri"/>
              </w:rPr>
            </w:r>
            <w:bookmarkStart w:id="281" w:name="_Ref186128503"/>
            <w:bookmarkStart w:id="282" w:name="_Ref186128503"/>
            <w:bookmarkEnd w:id="282"/>
          </w:p>
        </w:tc>
        <w:tc>
          <w:tcPr>
            <w:tcW w:w="5671"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Если в подразделе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_Ref125359973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1.2</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установлен режим ограничения закупки иностранной продукции или режим преимущества российской продукции и предметом закупки является оказание услуг и (или) выполнение работ (в том числе с поставкой товаров при выполнении закупаемых работ и (или) оказании закупаемых услуг), то Участник должен указать свою принадлежность – Участник является иностранным лицом или российским лицом:</w:t>
            </w:r>
          </w:p>
        </w:tc>
        <w:tc>
          <w:tcPr>
            <w:tcW w:w="8327" w:type="dxa"/>
            <w:tcBorders/>
          </w:tcPr>
          <w:p>
            <w:pPr>
              <w:pStyle w:val="Style28"/>
              <w:widowControl w:val="false"/>
              <w:suppressAutoHyphens w:val="true"/>
              <w:spacing w:before="60" w:after="60"/>
              <w:rPr/>
            </w:pPr>
            <w:r>
              <w:rPr>
                <w:rFonts w:eastAsia="Calibri" w:cs=""/>
                <w:kern w:val="0"/>
                <w:sz w:val="26"/>
                <w:szCs w:val="22"/>
                <w:lang w:val="ru-RU" w:eastAsia="en-US" w:bidi="ar-SA"/>
              </w:rPr>
              <w:t>Декларация о принадлежности Участника к иностранному лицу или российскому лицу в составе Письма о подаче оферты (форма 2) (</w:t>
            </w:r>
            <w:hyperlink w:anchor="Прил04_ФормыЗаявки">
              <w:r>
                <w:rPr>
                  <w:rStyle w:val="Style13"/>
                  <w:rFonts w:eastAsia="Calibri" w:cs=""/>
                  <w:kern w:val="0"/>
                  <w:sz w:val="26"/>
                  <w:szCs w:val="22"/>
                  <w:lang w:val="ru-RU" w:eastAsia="en-US" w:bidi="ar-SA"/>
                </w:rPr>
                <w:t>Приложение № 4</w:t>
              </w:r>
            </w:hyperlink>
            <w:r>
              <w:rPr>
                <w:rFonts w:eastAsia="Calibri" w:cs=""/>
                <w:kern w:val="0"/>
                <w:sz w:val="26"/>
                <w:szCs w:val="22"/>
                <w:lang w:val="ru-RU" w:eastAsia="en-US" w:bidi="ar-SA"/>
              </w:rPr>
              <w:t>).</w:t>
            </w:r>
          </w:p>
          <w:p>
            <w:pPr>
              <w:pStyle w:val="Style28"/>
              <w:widowControl w:val="false"/>
              <w:suppressAutoHyphens w:val="true"/>
              <w:spacing w:before="60" w:after="60"/>
              <w:rPr>
                <w:i/>
                <w:i/>
                <w:iCs/>
              </w:rPr>
            </w:pPr>
            <w:r>
              <w:rPr>
                <w:rFonts w:eastAsia="Calibri" w:cs=""/>
                <w:i/>
                <w:iCs/>
                <w:kern w:val="0"/>
                <w:sz w:val="26"/>
                <w:szCs w:val="22"/>
                <w:lang w:val="ru-RU" w:eastAsia="en-US" w:bidi="ar-SA"/>
              </w:rPr>
              <w:t>(В рамках рассмотрения заявок Организатор на основании результатов аккредитации проверяет на соответствие данному требованию.)</w:t>
            </w:r>
          </w:p>
        </w:tc>
      </w:tr>
    </w:tbl>
    <w:p>
      <w:pPr>
        <w:pStyle w:val="Style23"/>
        <w:spacing w:before="360" w:after="120"/>
        <w:rPr/>
      </w:pPr>
      <w:bookmarkStart w:id="283" w:name="_Toc188004701"/>
      <w:bookmarkStart w:id="284" w:name="_Ref125709888"/>
      <w:bookmarkStart w:id="285" w:name="_Ref125709401"/>
      <w:bookmarkStart w:id="286" w:name="_Ref125709250"/>
      <w:bookmarkStart w:id="287" w:name="_Ref125709153"/>
      <w:bookmarkStart w:id="288" w:name="_Ref125370079"/>
      <w:bookmarkStart w:id="289" w:name="_Ref125369099"/>
      <w:bookmarkStart w:id="290" w:name="_Ref125368916"/>
      <w:bookmarkStart w:id="291" w:name="_Ref125368901"/>
      <w:bookmarkStart w:id="292" w:name="_Ref125368818"/>
      <w:bookmarkStart w:id="293" w:name="_Ref125367539"/>
      <w:bookmarkStart w:id="294" w:name="_Ref125367521"/>
      <w:bookmarkStart w:id="295" w:name="_Ref125365459"/>
      <w:bookmarkStart w:id="296" w:name="_Ref125361937"/>
      <w:bookmarkStart w:id="297" w:name="_Ref125361869"/>
      <w:bookmarkStart w:id="298" w:name="_Ref125361671"/>
      <w:bookmarkStart w:id="299" w:name="_Ref125361633"/>
      <w:bookmarkStart w:id="300" w:name="_Ref125361442"/>
      <w:r>
        <w:rPr/>
        <w:t>Специальные требования</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tbl>
      <w:tblPr>
        <w:tblStyle w:val="afff6"/>
        <w:tblW w:w="15126"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1128"/>
        <w:gridCol w:w="5671"/>
        <w:gridCol w:w="8327"/>
      </w:tblGrid>
      <w:tr>
        <w:trPr>
          <w:cnfStyle w:val="100000000000" w:firstRow="1" w:lastRow="0" w:firstColumn="0" w:lastColumn="0" w:oddVBand="0" w:evenVBand="0" w:oddHBand="0" w:evenHBand="0" w:firstRowFirstColumn="0" w:firstRowLastColumn="0" w:lastRowFirstColumn="0" w:lastRowLastColumn="0"/>
        </w:trPr>
        <w:tc>
          <w:tcPr>
            <w:tcW w:w="1128" w:type="dxa"/>
            <w:tcBorders/>
          </w:tcPr>
          <w:p>
            <w:pPr>
              <w:pStyle w:val="Style28"/>
              <w:widowControl w:val="false"/>
              <w:suppressAutoHyphens w:val="true"/>
              <w:spacing w:before="60" w:after="60"/>
              <w:jc w:val="center"/>
              <w:rPr>
                <w:rFonts w:eastAsia="Calibri"/>
              </w:rPr>
            </w:pPr>
            <w:r>
              <w:rPr>
                <w:rFonts w:eastAsia="Calibri" w:cs=""/>
                <w:b/>
                <w:kern w:val="0"/>
                <w:sz w:val="26"/>
                <w:szCs w:val="22"/>
                <w:lang w:val="ru-RU" w:eastAsia="en-US" w:bidi="ar-SA"/>
              </w:rPr>
              <w:t>№</w:t>
            </w:r>
            <w:r>
              <w:rPr>
                <w:rFonts w:eastAsia="Calibri" w:cs=""/>
                <w:b/>
                <w:kern w:val="0"/>
                <w:sz w:val="26"/>
                <w:szCs w:val="22"/>
                <w:lang w:val="ru-RU" w:eastAsia="en-US" w:bidi="ar-SA"/>
              </w:rPr>
              <w:br/>
              <w:t>п/п</w:t>
            </w:r>
          </w:p>
        </w:tc>
        <w:tc>
          <w:tcPr>
            <w:tcW w:w="5671" w:type="dxa"/>
            <w:tcBorders/>
          </w:tcPr>
          <w:p>
            <w:pPr>
              <w:pStyle w:val="Style28"/>
              <w:widowControl w:val="false"/>
              <w:suppressAutoHyphens w:val="true"/>
              <w:spacing w:before="60" w:after="60"/>
              <w:jc w:val="center"/>
              <w:rPr>
                <w:rFonts w:eastAsia="Calibri"/>
              </w:rPr>
            </w:pPr>
            <w:r>
              <w:rPr>
                <w:rFonts w:eastAsia="Calibri" w:cs=""/>
                <w:b/>
                <w:kern w:val="0"/>
                <w:sz w:val="26"/>
                <w:szCs w:val="22"/>
                <w:lang w:val="ru-RU" w:eastAsia="en-US" w:bidi="ar-SA"/>
              </w:rPr>
              <w:t>Требования к Участнику</w:t>
            </w:r>
          </w:p>
        </w:tc>
        <w:tc>
          <w:tcPr>
            <w:tcW w:w="8327" w:type="dxa"/>
            <w:tcBorders/>
          </w:tcPr>
          <w:p>
            <w:pPr>
              <w:pStyle w:val="Style28"/>
              <w:widowControl w:val="false"/>
              <w:suppressAutoHyphens w:val="true"/>
              <w:spacing w:before="60" w:after="60"/>
              <w:jc w:val="center"/>
              <w:rPr>
                <w:rFonts w:eastAsia="Calibri"/>
              </w:rPr>
            </w:pPr>
            <w:r>
              <w:rPr>
                <w:rFonts w:eastAsia="Calibri" w:cs=""/>
                <w:b/>
                <w:kern w:val="0"/>
                <w:sz w:val="26"/>
                <w:szCs w:val="22"/>
                <w:lang w:val="ru-RU" w:eastAsia="en-US" w:bidi="ar-SA"/>
              </w:rPr>
              <w:t>Требования к документам,</w:t>
              <w:br/>
              <w:t>подтверждающим соответствие Участника установленным требованиям</w:t>
            </w:r>
          </w:p>
        </w:tc>
      </w:tr>
      <w:tr>
        <w:trPr/>
        <w:tc>
          <w:tcPr>
            <w:tcW w:w="1128" w:type="dxa"/>
            <w:tcBorders/>
          </w:tcPr>
          <w:p>
            <w:pPr>
              <w:pStyle w:val="Style28"/>
              <w:widowControl w:val="false"/>
              <w:numPr>
                <w:ilvl w:val="0"/>
                <w:numId w:val="3"/>
              </w:numPr>
              <w:suppressAutoHyphens w:val="true"/>
              <w:spacing w:before="60" w:after="60"/>
              <w:ind w:left="284" w:hanging="0"/>
              <w:jc w:val="center"/>
              <w:rPr>
                <w:rFonts w:eastAsia="Calibri"/>
              </w:rPr>
            </w:pPr>
            <w:r>
              <w:rPr>
                <w:rFonts w:eastAsia="Calibri"/>
              </w:rPr>
            </w:r>
          </w:p>
        </w:tc>
        <w:tc>
          <w:tcPr>
            <w:tcW w:w="5671"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Специальные требования не установлены.</w:t>
            </w:r>
          </w:p>
          <w:p>
            <w:pPr>
              <w:pStyle w:val="Style31"/>
              <w:widowControl w:val="false"/>
              <w:suppressAutoHyphens w:val="true"/>
              <w:spacing w:before="60" w:after="60"/>
              <w:rPr>
                <w:lang w:val="en-US"/>
              </w:rPr>
            </w:pPr>
            <w:r>
              <w:rPr>
                <w:lang w:val="en-US"/>
              </w:rPr>
            </w:r>
          </w:p>
        </w:tc>
        <w:tc>
          <w:tcPr>
            <w:tcW w:w="832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Специальные требования не установлены.</w:t>
            </w:r>
          </w:p>
          <w:p>
            <w:pPr>
              <w:pStyle w:val="Style31"/>
              <w:widowControl w:val="false"/>
              <w:suppressAutoHyphens w:val="true"/>
              <w:spacing w:before="60" w:after="60"/>
              <w:rPr>
                <w:rFonts w:eastAsia="Calibri"/>
              </w:rPr>
            </w:pPr>
            <w:r>
              <w:rPr>
                <w:rFonts w:eastAsia="Calibri"/>
              </w:rPr>
            </w:r>
          </w:p>
        </w:tc>
      </w:tr>
    </w:tbl>
    <w:p>
      <w:pPr>
        <w:pStyle w:val="Style23"/>
        <w:spacing w:before="360" w:after="120"/>
        <w:rPr/>
      </w:pPr>
      <w:bookmarkStart w:id="301" w:name="_Toc188004702"/>
      <w:bookmarkStart w:id="302" w:name="_Ref125709895"/>
      <w:bookmarkStart w:id="303" w:name="_Ref125709541"/>
      <w:bookmarkStart w:id="304" w:name="_Ref125709256"/>
      <w:bookmarkStart w:id="305" w:name="_Ref125709154"/>
      <w:bookmarkStart w:id="306" w:name="_Ref125553681"/>
      <w:bookmarkStart w:id="307" w:name="_Ref125553475"/>
      <w:bookmarkStart w:id="308" w:name="_Ref125553296"/>
      <w:bookmarkStart w:id="309" w:name="_Ref125553242"/>
      <w:bookmarkStart w:id="310" w:name="_Ref125550353"/>
      <w:bookmarkStart w:id="311" w:name="_Ref125550270"/>
      <w:r>
        <w:rPr/>
        <w:t>Квалификационные требования</w:t>
      </w:r>
      <w:bookmarkEnd w:id="301"/>
      <w:bookmarkEnd w:id="302"/>
      <w:bookmarkEnd w:id="303"/>
      <w:bookmarkEnd w:id="304"/>
      <w:bookmarkEnd w:id="305"/>
      <w:bookmarkEnd w:id="306"/>
      <w:bookmarkEnd w:id="307"/>
      <w:bookmarkEnd w:id="308"/>
      <w:bookmarkEnd w:id="309"/>
      <w:bookmarkEnd w:id="310"/>
      <w:bookmarkEnd w:id="311"/>
    </w:p>
    <w:tbl>
      <w:tblPr>
        <w:tblStyle w:val="afff6"/>
        <w:tblW w:w="15126"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1128"/>
        <w:gridCol w:w="5671"/>
        <w:gridCol w:w="8327"/>
      </w:tblGrid>
      <w:tr>
        <w:trPr>
          <w:cnfStyle w:val="100000000000" w:firstRow="1" w:lastRow="0" w:firstColumn="0" w:lastColumn="0" w:oddVBand="0" w:evenVBand="0" w:oddHBand="0" w:evenHBand="0" w:firstRowFirstColumn="0" w:firstRowLastColumn="0" w:lastRowFirstColumn="0" w:lastRowLastColumn="0"/>
        </w:trPr>
        <w:tc>
          <w:tcPr>
            <w:tcW w:w="1128" w:type="dxa"/>
            <w:tcBorders/>
          </w:tcPr>
          <w:p>
            <w:pPr>
              <w:pStyle w:val="Style28"/>
              <w:widowControl w:val="false"/>
              <w:suppressAutoHyphens w:val="true"/>
              <w:spacing w:before="60" w:after="60"/>
              <w:jc w:val="center"/>
              <w:rPr>
                <w:rFonts w:eastAsia="Calibri"/>
              </w:rPr>
            </w:pPr>
            <w:r>
              <w:rPr>
                <w:rFonts w:eastAsia="Calibri" w:cs=""/>
                <w:b/>
                <w:kern w:val="0"/>
                <w:sz w:val="26"/>
                <w:szCs w:val="22"/>
                <w:lang w:val="ru-RU" w:eastAsia="en-US" w:bidi="ar-SA"/>
              </w:rPr>
              <w:t>№</w:t>
            </w:r>
            <w:r>
              <w:rPr>
                <w:rFonts w:eastAsia="Calibri" w:cs=""/>
                <w:b/>
                <w:kern w:val="0"/>
                <w:sz w:val="26"/>
                <w:szCs w:val="22"/>
                <w:lang w:val="ru-RU" w:eastAsia="en-US" w:bidi="ar-SA"/>
              </w:rPr>
              <w:br/>
              <w:t>п/п</w:t>
            </w:r>
          </w:p>
        </w:tc>
        <w:tc>
          <w:tcPr>
            <w:tcW w:w="5671" w:type="dxa"/>
            <w:tcBorders/>
          </w:tcPr>
          <w:p>
            <w:pPr>
              <w:pStyle w:val="Style28"/>
              <w:widowControl w:val="false"/>
              <w:suppressAutoHyphens w:val="true"/>
              <w:spacing w:before="60" w:after="60"/>
              <w:jc w:val="center"/>
              <w:rPr>
                <w:rFonts w:eastAsia="Calibri"/>
              </w:rPr>
            </w:pPr>
            <w:r>
              <w:rPr>
                <w:rFonts w:eastAsia="Calibri" w:cs=""/>
                <w:b/>
                <w:kern w:val="0"/>
                <w:sz w:val="26"/>
                <w:szCs w:val="22"/>
                <w:lang w:val="ru-RU" w:eastAsia="en-US" w:bidi="ar-SA"/>
              </w:rPr>
              <w:t>Требования к Участнику</w:t>
            </w:r>
          </w:p>
        </w:tc>
        <w:tc>
          <w:tcPr>
            <w:tcW w:w="8327" w:type="dxa"/>
            <w:tcBorders/>
          </w:tcPr>
          <w:p>
            <w:pPr>
              <w:pStyle w:val="Style28"/>
              <w:widowControl w:val="false"/>
              <w:suppressAutoHyphens w:val="true"/>
              <w:spacing w:before="60" w:after="60"/>
              <w:jc w:val="center"/>
              <w:rPr>
                <w:rFonts w:eastAsia="Calibri"/>
              </w:rPr>
            </w:pPr>
            <w:r>
              <w:rPr>
                <w:rFonts w:eastAsia="Calibri" w:cs=""/>
                <w:b/>
                <w:kern w:val="0"/>
                <w:sz w:val="26"/>
                <w:szCs w:val="22"/>
                <w:lang w:val="ru-RU" w:eastAsia="en-US" w:bidi="ar-SA"/>
              </w:rPr>
              <w:t>Требования к документам,</w:t>
              <w:br/>
              <w:t>подтверждающим соответствие Участника установленным требованиям</w:t>
            </w:r>
          </w:p>
        </w:tc>
      </w:tr>
      <w:tr>
        <w:trPr/>
        <w:tc>
          <w:tcPr>
            <w:tcW w:w="1128" w:type="dxa"/>
            <w:tcBorders/>
          </w:tcPr>
          <w:p>
            <w:pPr>
              <w:pStyle w:val="Style28"/>
              <w:widowControl w:val="false"/>
              <w:numPr>
                <w:ilvl w:val="0"/>
                <w:numId w:val="10"/>
              </w:numPr>
              <w:suppressAutoHyphens w:val="true"/>
              <w:spacing w:before="60" w:after="60"/>
              <w:ind w:left="284" w:hanging="0"/>
              <w:jc w:val="center"/>
              <w:rPr>
                <w:rFonts w:eastAsia="Calibri"/>
              </w:rPr>
            </w:pPr>
            <w:r>
              <w:rPr>
                <w:rFonts w:eastAsia="Calibri"/>
              </w:rPr>
            </w:r>
          </w:p>
        </w:tc>
        <w:tc>
          <w:tcPr>
            <w:tcW w:w="5671"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Квалификационные требования не установлены.</w:t>
            </w:r>
          </w:p>
          <w:p>
            <w:pPr>
              <w:pStyle w:val="Style31"/>
              <w:widowControl w:val="false"/>
              <w:suppressAutoHyphens w:val="true"/>
              <w:spacing w:before="60" w:after="60"/>
              <w:rPr>
                <w:rFonts w:eastAsia="Calibri"/>
              </w:rPr>
            </w:pPr>
            <w:r>
              <w:rPr>
                <w:rFonts w:eastAsia="Calibri"/>
              </w:rPr>
            </w:r>
          </w:p>
        </w:tc>
        <w:tc>
          <w:tcPr>
            <w:tcW w:w="832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Квалификационные требования не установлены.</w:t>
            </w:r>
          </w:p>
          <w:p>
            <w:pPr>
              <w:pStyle w:val="Style31"/>
              <w:widowControl w:val="false"/>
              <w:suppressAutoHyphens w:val="true"/>
              <w:spacing w:before="60" w:after="60"/>
              <w:rPr>
                <w:rFonts w:eastAsia="Calibri"/>
              </w:rPr>
            </w:pPr>
            <w:r>
              <w:rPr>
                <w:rFonts w:eastAsia="Calibri"/>
              </w:rPr>
            </w:r>
          </w:p>
        </w:tc>
      </w:tr>
    </w:tbl>
    <w:p>
      <w:pPr>
        <w:pStyle w:val="Style23"/>
        <w:spacing w:before="360" w:after="120"/>
        <w:rPr/>
      </w:pPr>
      <w:bookmarkStart w:id="312" w:name="_Toc188004703"/>
      <w:bookmarkStart w:id="313" w:name="_Ref125709228"/>
      <w:bookmarkStart w:id="314" w:name="_Ref125553703"/>
      <w:bookmarkStart w:id="315" w:name="_Ref125553692"/>
      <w:bookmarkStart w:id="316" w:name="_Ref125553500"/>
      <w:bookmarkStart w:id="317" w:name="_Ref125552455"/>
      <w:r>
        <w:rPr/>
        <w:t>Дополнительные требования к Коллективным участникам</w:t>
      </w:r>
      <w:bookmarkEnd w:id="312"/>
      <w:bookmarkEnd w:id="313"/>
      <w:bookmarkEnd w:id="314"/>
      <w:bookmarkEnd w:id="315"/>
      <w:bookmarkEnd w:id="316"/>
      <w:bookmarkEnd w:id="317"/>
    </w:p>
    <w:tbl>
      <w:tblPr>
        <w:tblStyle w:val="afff6"/>
        <w:tblW w:w="15126"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1128"/>
        <w:gridCol w:w="5671"/>
        <w:gridCol w:w="8327"/>
      </w:tblGrid>
      <w:tr>
        <w:trPr>
          <w:cnfStyle w:val="100000000000" w:firstRow="1" w:lastRow="0" w:firstColumn="0" w:lastColumn="0" w:oddVBand="0" w:evenVBand="0" w:oddHBand="0" w:evenHBand="0" w:firstRowFirstColumn="0" w:firstRowLastColumn="0" w:lastRowFirstColumn="0" w:lastRowLastColumn="0"/>
        </w:trPr>
        <w:tc>
          <w:tcPr>
            <w:tcW w:w="1128" w:type="dxa"/>
            <w:tcBorders/>
          </w:tcPr>
          <w:p>
            <w:pPr>
              <w:pStyle w:val="Style28"/>
              <w:widowControl w:val="false"/>
              <w:suppressAutoHyphens w:val="true"/>
              <w:spacing w:before="60" w:after="60"/>
              <w:jc w:val="center"/>
              <w:rPr>
                <w:rFonts w:eastAsia="Calibri"/>
              </w:rPr>
            </w:pPr>
            <w:r>
              <w:rPr>
                <w:rFonts w:eastAsia="Calibri" w:cs=""/>
                <w:b/>
                <w:kern w:val="0"/>
                <w:sz w:val="26"/>
                <w:szCs w:val="22"/>
                <w:lang w:val="ru-RU" w:eastAsia="en-US" w:bidi="ar-SA"/>
              </w:rPr>
              <w:t>№</w:t>
            </w:r>
            <w:r>
              <w:rPr>
                <w:rFonts w:eastAsia="Calibri" w:cs=""/>
                <w:b/>
                <w:kern w:val="0"/>
                <w:sz w:val="26"/>
                <w:szCs w:val="22"/>
                <w:lang w:val="ru-RU" w:eastAsia="en-US" w:bidi="ar-SA"/>
              </w:rPr>
              <w:br/>
              <w:t>п/п</w:t>
            </w:r>
          </w:p>
        </w:tc>
        <w:tc>
          <w:tcPr>
            <w:tcW w:w="5671" w:type="dxa"/>
            <w:tcBorders/>
          </w:tcPr>
          <w:p>
            <w:pPr>
              <w:pStyle w:val="Style28"/>
              <w:widowControl w:val="false"/>
              <w:suppressAutoHyphens w:val="true"/>
              <w:spacing w:before="60" w:after="60"/>
              <w:jc w:val="center"/>
              <w:rPr>
                <w:rFonts w:eastAsia="Calibri"/>
              </w:rPr>
            </w:pPr>
            <w:r>
              <w:rPr>
                <w:rFonts w:eastAsia="Calibri" w:cs=""/>
                <w:b/>
                <w:kern w:val="0"/>
                <w:sz w:val="26"/>
                <w:szCs w:val="22"/>
                <w:lang w:val="ru-RU" w:eastAsia="en-US" w:bidi="ar-SA"/>
              </w:rPr>
              <w:t>Требования к Коллективному участнику</w:t>
            </w:r>
          </w:p>
        </w:tc>
        <w:tc>
          <w:tcPr>
            <w:tcW w:w="8327" w:type="dxa"/>
            <w:tcBorders/>
          </w:tcPr>
          <w:p>
            <w:pPr>
              <w:pStyle w:val="Style28"/>
              <w:widowControl w:val="false"/>
              <w:suppressAutoHyphens w:val="true"/>
              <w:spacing w:before="60" w:after="60"/>
              <w:jc w:val="center"/>
              <w:rPr>
                <w:rFonts w:eastAsia="Calibri"/>
              </w:rPr>
            </w:pPr>
            <w:r>
              <w:rPr>
                <w:rFonts w:eastAsia="Calibri" w:cs=""/>
                <w:b/>
                <w:kern w:val="0"/>
                <w:sz w:val="26"/>
                <w:szCs w:val="22"/>
                <w:lang w:val="ru-RU" w:eastAsia="en-US" w:bidi="ar-SA"/>
              </w:rPr>
              <w:t>Требования к документам, подтверждающим соответствие</w:t>
              <w:br/>
              <w:t>Коллективного участника установленным требованиям</w:t>
            </w:r>
          </w:p>
        </w:tc>
      </w:tr>
      <w:tr>
        <w:trPr/>
        <w:tc>
          <w:tcPr>
            <w:tcW w:w="1128" w:type="dxa"/>
            <w:tcBorders/>
          </w:tcPr>
          <w:p>
            <w:pPr>
              <w:pStyle w:val="Style28"/>
              <w:widowControl w:val="false"/>
              <w:numPr>
                <w:ilvl w:val="0"/>
                <w:numId w:val="4"/>
              </w:numPr>
              <w:suppressAutoHyphens w:val="true"/>
              <w:spacing w:before="60" w:after="60"/>
              <w:ind w:left="284" w:hanging="0"/>
              <w:jc w:val="center"/>
              <w:rPr>
                <w:rFonts w:eastAsia="Calibri"/>
              </w:rPr>
            </w:pPr>
            <w:r>
              <w:rPr>
                <w:rFonts w:eastAsia="Calibri"/>
              </w:rPr>
            </w:r>
            <w:bookmarkStart w:id="318" w:name="_Ref125370156"/>
            <w:bookmarkStart w:id="319" w:name="_Ref125370156"/>
            <w:bookmarkEnd w:id="319"/>
          </w:p>
        </w:tc>
        <w:tc>
          <w:tcPr>
            <w:tcW w:w="5671"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Члены Коллективного участника должны иметь между собой соглашение (или иной документ), соответствующее нормам ГК РФ:</w:t>
            </w:r>
          </w:p>
        </w:tc>
        <w:tc>
          <w:tcPr>
            <w:tcW w:w="832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Копия Соглашения между членами Коллективного участника, подготовленного в соответствии с требованиями пункта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_Ref125366972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3.2.3</w:t>
            </w:r>
            <w:r>
              <w:rPr>
                <w:sz w:val="26"/>
                <w:kern w:val="0"/>
                <w:szCs w:val="22"/>
                <w:rFonts w:eastAsia="Calibri" w:cs=""/>
                <w:lang w:val="ru-RU" w:eastAsia="en-US" w:bidi="ar-SA"/>
              </w:rPr>
              <w:fldChar w:fldCharType="end"/>
            </w:r>
            <w:r>
              <w:rPr>
                <w:rFonts w:eastAsia="Calibri" w:cs=""/>
                <w:kern w:val="0"/>
                <w:sz w:val="26"/>
                <w:szCs w:val="22"/>
                <w:lang w:val="ru-RU" w:eastAsia="en-US" w:bidi="ar-SA"/>
              </w:rPr>
              <w:t>;</w:t>
            </w:r>
          </w:p>
        </w:tc>
      </w:tr>
      <w:tr>
        <w:trPr/>
        <w:tc>
          <w:tcPr>
            <w:tcW w:w="1128" w:type="dxa"/>
            <w:tcBorders/>
          </w:tcPr>
          <w:p>
            <w:pPr>
              <w:pStyle w:val="Style28"/>
              <w:widowControl w:val="false"/>
              <w:numPr>
                <w:ilvl w:val="0"/>
                <w:numId w:val="4"/>
              </w:numPr>
              <w:suppressAutoHyphens w:val="true"/>
              <w:spacing w:before="60" w:after="60"/>
              <w:ind w:left="284" w:hanging="0"/>
              <w:jc w:val="center"/>
              <w:rPr>
                <w:rFonts w:eastAsia="Calibri"/>
              </w:rPr>
            </w:pPr>
            <w:r>
              <w:rPr>
                <w:rFonts w:eastAsia="Calibri"/>
              </w:rPr>
            </w:r>
            <w:bookmarkStart w:id="320" w:name="_Ref125553738"/>
            <w:bookmarkStart w:id="321" w:name="_Ref125553738"/>
            <w:bookmarkEnd w:id="321"/>
          </w:p>
        </w:tc>
        <w:tc>
          <w:tcPr>
            <w:tcW w:w="5671"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Заявка Коллективного участника дополнительно должна включать сведения о распределении объемов поставки продукции между членами Коллективного участника:</w:t>
            </w:r>
          </w:p>
        </w:tc>
        <w:tc>
          <w:tcPr>
            <w:tcW w:w="8327" w:type="dxa"/>
            <w:tcBorders/>
          </w:tcPr>
          <w:p>
            <w:pPr>
              <w:pStyle w:val="Style28"/>
              <w:widowControl w:val="false"/>
              <w:suppressAutoHyphens w:val="true"/>
              <w:spacing w:before="60" w:after="60"/>
              <w:rPr/>
            </w:pPr>
            <w:r>
              <w:rPr>
                <w:rFonts w:eastAsia="Calibri" w:cs=""/>
                <w:kern w:val="0"/>
                <w:sz w:val="26"/>
                <w:szCs w:val="22"/>
                <w:lang w:val="ru-RU" w:eastAsia="en-US" w:bidi="ar-SA"/>
              </w:rPr>
              <w:t>План распределения объемов поставки продукции (форма 11) (</w:t>
            </w:r>
            <w:hyperlink w:anchor="Прил04_ФормыЗаявки">
              <w:r>
                <w:rPr>
                  <w:rStyle w:val="Style13"/>
                  <w:rFonts w:eastAsia="Calibri" w:cs=""/>
                  <w:kern w:val="0"/>
                  <w:sz w:val="26"/>
                  <w:szCs w:val="22"/>
                  <w:lang w:val="ru-RU" w:eastAsia="en-US" w:bidi="ar-SA"/>
                </w:rPr>
                <w:t>Приложение № 4</w:t>
              </w:r>
            </w:hyperlink>
            <w:r>
              <w:rPr>
                <w:rFonts w:eastAsia="Calibri" w:cs=""/>
                <w:kern w:val="0"/>
                <w:sz w:val="26"/>
                <w:szCs w:val="22"/>
                <w:lang w:val="ru-RU" w:eastAsia="en-US" w:bidi="ar-SA"/>
              </w:rPr>
              <w:t>) с указанием необходимой информации;</w:t>
            </w:r>
          </w:p>
        </w:tc>
      </w:tr>
      <w:tr>
        <w:trPr/>
        <w:tc>
          <w:tcPr>
            <w:tcW w:w="1128" w:type="dxa"/>
            <w:tcBorders/>
          </w:tcPr>
          <w:p>
            <w:pPr>
              <w:pStyle w:val="Style28"/>
              <w:widowControl w:val="false"/>
              <w:numPr>
                <w:ilvl w:val="0"/>
                <w:numId w:val="4"/>
              </w:numPr>
              <w:suppressAutoHyphens w:val="true"/>
              <w:spacing w:before="60" w:after="60"/>
              <w:ind w:left="284" w:hanging="0"/>
              <w:jc w:val="center"/>
              <w:rPr>
                <w:rFonts w:eastAsia="Calibri"/>
              </w:rPr>
            </w:pPr>
            <w:r>
              <w:rPr>
                <w:rFonts w:eastAsia="Calibri"/>
              </w:rPr>
            </w:r>
            <w:bookmarkStart w:id="322" w:name="_Ref125370162"/>
            <w:bookmarkStart w:id="323" w:name="_Ref125370162"/>
            <w:bookmarkEnd w:id="323"/>
          </w:p>
        </w:tc>
        <w:tc>
          <w:tcPr>
            <w:tcW w:w="5671" w:type="dxa"/>
            <w:tcBorders/>
          </w:tcPr>
          <w:p>
            <w:pPr>
              <w:pStyle w:val="Style28"/>
              <w:widowControl w:val="false"/>
              <w:suppressAutoHyphens w:val="true"/>
              <w:spacing w:before="60" w:after="60"/>
              <w:rPr/>
            </w:pPr>
            <w:r>
              <w:rPr>
                <w:rFonts w:eastAsia="Calibri" w:cs=""/>
                <w:kern w:val="0"/>
                <w:sz w:val="26"/>
                <w:szCs w:val="22"/>
                <w:lang w:val="ru-RU" w:eastAsia="en-US" w:bidi="ar-SA"/>
              </w:rPr>
              <w:t>Соответствие каждого члена Коллективного участника установленным требованиям (с учетом пунктов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_Ref125368791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3.2.5</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_Ref134705077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3.2.7</w:t>
            </w:r>
            <w:r>
              <w:rPr>
                <w:sz w:val="26"/>
                <w:kern w:val="0"/>
                <w:szCs w:val="22"/>
                <w:rFonts w:eastAsia="Calibri" w:cs=""/>
                <w:lang w:val="ru-RU" w:eastAsia="en-US" w:bidi="ar-SA"/>
              </w:rPr>
              <w:fldChar w:fldCharType="end"/>
            </w:r>
            <w:r>
              <w:rPr>
                <w:rFonts w:eastAsia="Calibri" w:cs=""/>
                <w:kern w:val="0"/>
                <w:sz w:val="26"/>
                <w:szCs w:val="22"/>
                <w:lang w:val="ru-RU" w:eastAsia="en-US" w:bidi="ar-SA"/>
              </w:rPr>
              <w:t>), в том числе с учетом объема поставки продукции, который ему предполагается поручить в соответствии с Планом распределения объемов поставки продукции внутри (форма 11) (</w:t>
            </w:r>
            <w:hyperlink w:anchor="Прил04_ФормыЗаявки">
              <w:r>
                <w:rPr>
                  <w:rStyle w:val="Style13"/>
                  <w:rFonts w:eastAsia="Calibri" w:cs=""/>
                  <w:kern w:val="0"/>
                  <w:sz w:val="26"/>
                  <w:szCs w:val="22"/>
                  <w:lang w:val="ru-RU" w:eastAsia="en-US" w:bidi="ar-SA"/>
                </w:rPr>
                <w:t>Приложение № 4</w:t>
              </w:r>
            </w:hyperlink>
            <w:r>
              <w:rPr>
                <w:rFonts w:eastAsia="Calibri" w:cs=""/>
                <w:kern w:val="0"/>
                <w:sz w:val="26"/>
                <w:szCs w:val="22"/>
                <w:lang w:val="ru-RU" w:eastAsia="en-US" w:bidi="ar-SA"/>
              </w:rPr>
              <w:t>):</w:t>
            </w:r>
          </w:p>
        </w:tc>
        <w:tc>
          <w:tcPr>
            <w:tcW w:w="832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Сведения и документы, аналогичные установленным в подразделах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_Ref125361435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8.2</w:t>
            </w:r>
            <w:r>
              <w:rPr>
                <w:sz w:val="26"/>
                <w:kern w:val="0"/>
                <w:szCs w:val="22"/>
                <w:rFonts w:eastAsia="Calibri" w:cs=""/>
                <w:lang w:val="ru-RU" w:eastAsia="en-US" w:bidi="ar-SA"/>
              </w:rPr>
              <w:fldChar w:fldCharType="end"/>
            </w:r>
            <w:r>
              <w:rPr>
                <w:rFonts w:eastAsia="Calibri" w:cs=""/>
                <w:kern w:val="0"/>
                <w:sz w:val="26"/>
                <w:szCs w:val="22"/>
                <w:lang w:val="ru-RU" w:eastAsia="en-US" w:bidi="ar-SA"/>
              </w:rPr>
              <w:t> –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_Ref125553242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8.4</w:t>
            </w:r>
            <w:r>
              <w:rPr>
                <w:sz w:val="26"/>
                <w:kern w:val="0"/>
                <w:szCs w:val="22"/>
                <w:rFonts w:eastAsia="Calibri" w:cs=""/>
                <w:lang w:val="ru-RU" w:eastAsia="en-US" w:bidi="ar-SA"/>
              </w:rPr>
              <w:fldChar w:fldCharType="end"/>
            </w:r>
            <w:r>
              <w:rPr>
                <w:rFonts w:eastAsia="Calibri" w:cs=""/>
                <w:kern w:val="0"/>
                <w:sz w:val="26"/>
                <w:szCs w:val="22"/>
                <w:lang w:val="ru-RU" w:eastAsia="en-US" w:bidi="ar-SA"/>
              </w:rPr>
              <w:t>, в отношении каждого члена Коллективного участника, подтверждающие его соответствие данным требованиям.</w:t>
            </w:r>
          </w:p>
        </w:tc>
      </w:tr>
    </w:tbl>
    <w:p>
      <w:pPr>
        <w:pStyle w:val="Style23"/>
        <w:spacing w:before="360" w:after="120"/>
        <w:rPr/>
      </w:pPr>
      <w:bookmarkStart w:id="324" w:name="_Toc188004704"/>
      <w:bookmarkStart w:id="325" w:name="_Ref125709973"/>
      <w:bookmarkStart w:id="326" w:name="_Ref125709777"/>
      <w:bookmarkStart w:id="327" w:name="_Ref125370209"/>
      <w:bookmarkStart w:id="328" w:name="_Ref125370180"/>
      <w:bookmarkStart w:id="329" w:name="_Ref125370173"/>
      <w:bookmarkStart w:id="330" w:name="_Ref125369117"/>
      <w:bookmarkStart w:id="331" w:name="_Ref125362031"/>
      <w:bookmarkStart w:id="332" w:name="_Ref125361823"/>
      <w:r>
        <w:rPr/>
        <w:t>Дополнительные требования к Генеральным подрядчикам</w:t>
      </w:r>
      <w:bookmarkEnd w:id="324"/>
      <w:bookmarkEnd w:id="325"/>
      <w:bookmarkEnd w:id="326"/>
      <w:bookmarkEnd w:id="327"/>
      <w:bookmarkEnd w:id="328"/>
      <w:bookmarkEnd w:id="329"/>
      <w:bookmarkEnd w:id="330"/>
      <w:bookmarkEnd w:id="331"/>
      <w:bookmarkEnd w:id="332"/>
    </w:p>
    <w:tbl>
      <w:tblPr>
        <w:tblStyle w:val="afff6"/>
        <w:tblW w:w="15126"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1128"/>
        <w:gridCol w:w="5671"/>
        <w:gridCol w:w="8327"/>
      </w:tblGrid>
      <w:tr>
        <w:trPr>
          <w:cnfStyle w:val="100000000000" w:firstRow="1" w:lastRow="0" w:firstColumn="0" w:lastColumn="0" w:oddVBand="0" w:evenVBand="0" w:oddHBand="0" w:evenHBand="0" w:firstRowFirstColumn="0" w:firstRowLastColumn="0" w:lastRowFirstColumn="0" w:lastRowLastColumn="0"/>
        </w:trPr>
        <w:tc>
          <w:tcPr>
            <w:tcW w:w="1128" w:type="dxa"/>
            <w:tcBorders/>
          </w:tcPr>
          <w:p>
            <w:pPr>
              <w:pStyle w:val="Style28"/>
              <w:widowControl w:val="false"/>
              <w:suppressAutoHyphens w:val="true"/>
              <w:spacing w:before="60" w:after="60"/>
              <w:jc w:val="center"/>
              <w:rPr>
                <w:rFonts w:eastAsia="Calibri"/>
              </w:rPr>
            </w:pPr>
            <w:r>
              <w:rPr>
                <w:rFonts w:eastAsia="Calibri" w:cs=""/>
                <w:b/>
                <w:kern w:val="0"/>
                <w:sz w:val="26"/>
                <w:szCs w:val="22"/>
                <w:lang w:val="ru-RU" w:eastAsia="en-US" w:bidi="ar-SA"/>
              </w:rPr>
              <w:t>№</w:t>
            </w:r>
            <w:r>
              <w:rPr>
                <w:rFonts w:eastAsia="Calibri" w:cs=""/>
                <w:b/>
                <w:kern w:val="0"/>
                <w:sz w:val="26"/>
                <w:szCs w:val="22"/>
                <w:lang w:val="ru-RU" w:eastAsia="en-US" w:bidi="ar-SA"/>
              </w:rPr>
              <w:br/>
              <w:t>п/п</w:t>
            </w:r>
          </w:p>
        </w:tc>
        <w:tc>
          <w:tcPr>
            <w:tcW w:w="5671" w:type="dxa"/>
            <w:tcBorders/>
          </w:tcPr>
          <w:p>
            <w:pPr>
              <w:pStyle w:val="Style28"/>
              <w:widowControl w:val="false"/>
              <w:suppressAutoHyphens w:val="true"/>
              <w:spacing w:before="60" w:after="60"/>
              <w:jc w:val="center"/>
              <w:rPr>
                <w:rFonts w:eastAsia="Calibri"/>
              </w:rPr>
            </w:pPr>
            <w:r>
              <w:rPr>
                <w:rFonts w:eastAsia="Calibri" w:cs=""/>
                <w:b/>
                <w:kern w:val="0"/>
                <w:sz w:val="26"/>
                <w:szCs w:val="22"/>
                <w:lang w:val="ru-RU" w:eastAsia="en-US" w:bidi="ar-SA"/>
              </w:rPr>
              <w:t>Требования к Генеральному подрядчику</w:t>
            </w:r>
          </w:p>
        </w:tc>
        <w:tc>
          <w:tcPr>
            <w:tcW w:w="8327" w:type="dxa"/>
            <w:tcBorders/>
          </w:tcPr>
          <w:p>
            <w:pPr>
              <w:pStyle w:val="Style28"/>
              <w:widowControl w:val="false"/>
              <w:suppressAutoHyphens w:val="true"/>
              <w:spacing w:before="60" w:after="60"/>
              <w:jc w:val="center"/>
              <w:rPr>
                <w:rFonts w:eastAsia="Calibri"/>
              </w:rPr>
            </w:pPr>
            <w:r>
              <w:rPr>
                <w:rFonts w:eastAsia="Calibri" w:cs=""/>
                <w:b/>
                <w:kern w:val="0"/>
                <w:sz w:val="26"/>
                <w:szCs w:val="22"/>
                <w:lang w:val="ru-RU" w:eastAsia="en-US" w:bidi="ar-SA"/>
              </w:rPr>
              <w:t>Требования к документам, подтверждающим соответствие</w:t>
              <w:br/>
              <w:t>Генерального подрядчика установленным требованиям</w:t>
            </w:r>
          </w:p>
        </w:tc>
      </w:tr>
      <w:tr>
        <w:trPr/>
        <w:tc>
          <w:tcPr>
            <w:tcW w:w="1128" w:type="dxa"/>
            <w:tcBorders/>
          </w:tcPr>
          <w:p>
            <w:pPr>
              <w:pStyle w:val="Style28"/>
              <w:widowControl w:val="false"/>
              <w:numPr>
                <w:ilvl w:val="0"/>
                <w:numId w:val="5"/>
              </w:numPr>
              <w:suppressAutoHyphens w:val="true"/>
              <w:spacing w:before="60" w:after="60"/>
              <w:ind w:left="284" w:hanging="0"/>
              <w:jc w:val="center"/>
              <w:rPr>
                <w:rFonts w:eastAsia="Calibri"/>
              </w:rPr>
            </w:pPr>
            <w:r>
              <w:rPr>
                <w:rFonts w:eastAsia="Calibri"/>
              </w:rPr>
            </w:r>
            <w:bookmarkStart w:id="333" w:name="_Ref125370187"/>
            <w:bookmarkStart w:id="334" w:name="_Ref125370187"/>
            <w:bookmarkEnd w:id="334"/>
          </w:p>
        </w:tc>
        <w:tc>
          <w:tcPr>
            <w:tcW w:w="5671"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Заявка Генерального подрядчика дополнительно должна включать сведения о распределении объемов поставки продукции между Генеральным подрядчиком и субподрядчиками:</w:t>
            </w:r>
          </w:p>
        </w:tc>
        <w:tc>
          <w:tcPr>
            <w:tcW w:w="8327" w:type="dxa"/>
            <w:tcBorders/>
          </w:tcPr>
          <w:p>
            <w:pPr>
              <w:pStyle w:val="Style28"/>
              <w:widowControl w:val="false"/>
              <w:suppressAutoHyphens w:val="true"/>
              <w:spacing w:before="60" w:after="60"/>
              <w:rPr/>
            </w:pPr>
            <w:r>
              <w:rPr>
                <w:rFonts w:eastAsia="Calibri" w:cs=""/>
                <w:kern w:val="0"/>
                <w:sz w:val="26"/>
                <w:szCs w:val="22"/>
                <w:lang w:val="ru-RU" w:eastAsia="en-US" w:bidi="ar-SA"/>
              </w:rPr>
              <w:t>План распределения объемов поставки продукции (форма 11) (</w:t>
            </w:r>
            <w:hyperlink w:anchor="Прил04_ФормыЗаявки">
              <w:r>
                <w:rPr>
                  <w:rStyle w:val="Style13"/>
                  <w:rFonts w:eastAsia="Calibri" w:cs=""/>
                  <w:kern w:val="0"/>
                  <w:sz w:val="26"/>
                  <w:szCs w:val="22"/>
                  <w:lang w:val="ru-RU" w:eastAsia="en-US" w:bidi="ar-SA"/>
                </w:rPr>
                <w:t>Приложение № 4</w:t>
              </w:r>
            </w:hyperlink>
            <w:r>
              <w:rPr>
                <w:rFonts w:eastAsia="Calibri" w:cs=""/>
                <w:kern w:val="0"/>
                <w:sz w:val="26"/>
                <w:szCs w:val="22"/>
                <w:lang w:val="ru-RU" w:eastAsia="en-US" w:bidi="ar-SA"/>
              </w:rPr>
              <w:t>) с указанием необходимой информации;</w:t>
            </w:r>
          </w:p>
        </w:tc>
      </w:tr>
      <w:tr>
        <w:trPr/>
        <w:tc>
          <w:tcPr>
            <w:tcW w:w="1128" w:type="dxa"/>
            <w:tcBorders/>
          </w:tcPr>
          <w:p>
            <w:pPr>
              <w:pStyle w:val="Style28"/>
              <w:widowControl w:val="false"/>
              <w:numPr>
                <w:ilvl w:val="0"/>
                <w:numId w:val="5"/>
              </w:numPr>
              <w:suppressAutoHyphens w:val="true"/>
              <w:spacing w:before="60" w:after="60"/>
              <w:ind w:left="284" w:hanging="0"/>
              <w:jc w:val="center"/>
              <w:rPr>
                <w:rFonts w:eastAsia="Calibri"/>
              </w:rPr>
            </w:pPr>
            <w:r>
              <w:rPr>
                <w:rFonts w:eastAsia="Calibri"/>
              </w:rPr>
            </w:r>
            <w:bookmarkStart w:id="335" w:name="_Ref125370199"/>
            <w:bookmarkStart w:id="336" w:name="_Ref125370199"/>
            <w:bookmarkEnd w:id="336"/>
          </w:p>
        </w:tc>
        <w:tc>
          <w:tcPr>
            <w:tcW w:w="5671"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Генеральный подрядчик должен доказать, что каждый из привлекаемых им субподрядчиков:</w:t>
            </w:r>
          </w:p>
          <w:p>
            <w:pPr>
              <w:pStyle w:val="Style28"/>
              <w:widowControl w:val="false"/>
              <w:numPr>
                <w:ilvl w:val="0"/>
                <w:numId w:val="12"/>
              </w:numPr>
              <w:suppressAutoHyphens w:val="true"/>
              <w:spacing w:before="60" w:after="60"/>
              <w:ind w:left="284" w:hanging="284"/>
              <w:rPr>
                <w:rFonts w:eastAsia="Calibri"/>
              </w:rPr>
            </w:pPr>
            <w:r>
              <w:rPr>
                <w:rFonts w:eastAsia="Calibri" w:cs=""/>
                <w:kern w:val="0"/>
                <w:sz w:val="26"/>
                <w:szCs w:val="22"/>
                <w:lang w:val="ru-RU" w:eastAsia="en-US" w:bidi="ar-SA"/>
              </w:rPr>
              <w:t>осведомлен о привлечении его в качестве субподрядчика;</w:t>
            </w:r>
          </w:p>
          <w:p>
            <w:pPr>
              <w:pStyle w:val="Style28"/>
              <w:widowControl w:val="false"/>
              <w:numPr>
                <w:ilvl w:val="0"/>
                <w:numId w:val="12"/>
              </w:numPr>
              <w:suppressAutoHyphens w:val="true"/>
              <w:spacing w:before="60" w:after="60"/>
              <w:ind w:left="284" w:hanging="284"/>
              <w:rPr>
                <w:rFonts w:eastAsia="Calibri"/>
              </w:rPr>
            </w:pPr>
            <w:r>
              <w:rPr>
                <w:rFonts w:eastAsia="Calibri" w:cs=""/>
                <w:kern w:val="0"/>
                <w:sz w:val="26"/>
                <w:szCs w:val="22"/>
                <w:lang w:val="ru-RU" w:eastAsia="en-US" w:bidi="ar-SA"/>
              </w:rPr>
              <w:t>согласен с выделяемым ему перечнем, объемами, сроками и стоимостью поставки продукции:</w:t>
            </w:r>
          </w:p>
        </w:tc>
        <w:tc>
          <w:tcPr>
            <w:tcW w:w="832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Письмо от имени каждого привлекаемого субподрядчика (составляется в произвольной форме), подтверждающее его согласие на привлечение в качестве субподрядчика, с указанием объема и стоимости возлагаемой на него поставки продукции, а также сроков поставки продукции;</w:t>
            </w:r>
          </w:p>
        </w:tc>
      </w:tr>
      <w:tr>
        <w:trPr/>
        <w:tc>
          <w:tcPr>
            <w:tcW w:w="1128" w:type="dxa"/>
            <w:tcBorders/>
          </w:tcPr>
          <w:p>
            <w:pPr>
              <w:pStyle w:val="Style28"/>
              <w:widowControl w:val="false"/>
              <w:numPr>
                <w:ilvl w:val="0"/>
                <w:numId w:val="5"/>
              </w:numPr>
              <w:suppressAutoHyphens w:val="true"/>
              <w:spacing w:before="60" w:after="60"/>
              <w:ind w:left="284" w:hanging="0"/>
              <w:jc w:val="center"/>
              <w:rPr>
                <w:rFonts w:eastAsia="Calibri"/>
              </w:rPr>
            </w:pPr>
            <w:r>
              <w:rPr>
                <w:rFonts w:eastAsia="Calibri"/>
              </w:rPr>
            </w:r>
            <w:bookmarkStart w:id="337" w:name="_Ref125370193"/>
            <w:bookmarkStart w:id="338" w:name="_Ref125370193"/>
            <w:bookmarkEnd w:id="338"/>
          </w:p>
        </w:tc>
        <w:tc>
          <w:tcPr>
            <w:tcW w:w="5671" w:type="dxa"/>
            <w:tcBorders/>
          </w:tcPr>
          <w:p>
            <w:pPr>
              <w:pStyle w:val="Style28"/>
              <w:widowControl w:val="false"/>
              <w:suppressAutoHyphens w:val="true"/>
              <w:spacing w:before="60" w:after="60"/>
              <w:rPr/>
            </w:pPr>
            <w:r>
              <w:rPr>
                <w:rFonts w:eastAsia="Calibri" w:cs=""/>
                <w:kern w:val="0"/>
                <w:sz w:val="26"/>
                <w:szCs w:val="22"/>
                <w:lang w:val="ru-RU" w:eastAsia="en-US" w:bidi="ar-SA"/>
              </w:rPr>
              <w:t>Соответствие каждого субподрядчика установленным требованиям (с учетом пункта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_Ref125368863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r>
            <w:r>
              <w:rPr>
                <w:sz w:val="26"/>
                <w:kern w:val="0"/>
                <w:szCs w:val="22"/>
                <w:rFonts w:eastAsia="Calibri" w:cs=""/>
                <w:lang w:val="ru-RU" w:eastAsia="en-US" w:bidi="ar-SA"/>
              </w:rPr>
              <w:fldChar w:fldCharType="end"/>
            </w:r>
            <w:r>
              <w:rPr>
                <w:rFonts w:eastAsia="Calibri" w:cs=""/>
                <w:kern w:val="0"/>
                <w:sz w:val="26"/>
                <w:szCs w:val="22"/>
                <w:lang w:val="ru-RU" w:eastAsia="en-US" w:bidi="ar-SA"/>
              </w:rPr>
              <w:t>) в том числе с учетом объема поставки продукции, который ему предполагается поручить в соответствии с Планом распределения объемов (форма 11) (</w:t>
            </w:r>
            <w:hyperlink w:anchor="Прил04_ФормыЗаявки">
              <w:r>
                <w:rPr>
                  <w:rStyle w:val="Style13"/>
                  <w:rFonts w:eastAsia="Calibri" w:cs=""/>
                  <w:kern w:val="0"/>
                  <w:sz w:val="26"/>
                  <w:szCs w:val="22"/>
                  <w:lang w:val="ru-RU" w:eastAsia="en-US" w:bidi="ar-SA"/>
                </w:rPr>
                <w:t>Приложение № 4</w:t>
              </w:r>
            </w:hyperlink>
            <w:r>
              <w:rPr>
                <w:rFonts w:eastAsia="Calibri" w:cs=""/>
                <w:kern w:val="0"/>
                <w:sz w:val="26"/>
                <w:szCs w:val="22"/>
                <w:lang w:val="ru-RU" w:eastAsia="en-US" w:bidi="ar-SA"/>
              </w:rPr>
              <w:t>):</w:t>
            </w:r>
          </w:p>
        </w:tc>
        <w:tc>
          <w:tcPr>
            <w:tcW w:w="832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Сведения и документы, аналогичные установленным в подразделах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_Ref125361435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8.2</w:t>
            </w:r>
            <w:r>
              <w:rPr>
                <w:sz w:val="26"/>
                <w:kern w:val="0"/>
                <w:szCs w:val="22"/>
                <w:rFonts w:eastAsia="Calibri" w:cs=""/>
                <w:lang w:val="ru-RU" w:eastAsia="en-US" w:bidi="ar-SA"/>
              </w:rPr>
              <w:fldChar w:fldCharType="end"/>
            </w:r>
            <w:r>
              <w:rPr>
                <w:rFonts w:eastAsia="Calibri" w:cs=""/>
                <w:kern w:val="0"/>
                <w:sz w:val="26"/>
                <w:szCs w:val="22"/>
                <w:lang w:val="ru-RU" w:eastAsia="en-US" w:bidi="ar-SA"/>
              </w:rPr>
              <w:t> –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_Ref125553242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8.4</w:t>
            </w:r>
            <w:r>
              <w:rPr>
                <w:sz w:val="26"/>
                <w:kern w:val="0"/>
                <w:szCs w:val="22"/>
                <w:rFonts w:eastAsia="Calibri" w:cs=""/>
                <w:lang w:val="ru-RU" w:eastAsia="en-US" w:bidi="ar-SA"/>
              </w:rPr>
              <w:fldChar w:fldCharType="end"/>
            </w:r>
            <w:r>
              <w:rPr>
                <w:rFonts w:eastAsia="Calibri" w:cs=""/>
                <w:kern w:val="0"/>
                <w:sz w:val="26"/>
                <w:szCs w:val="22"/>
                <w:lang w:val="ru-RU" w:eastAsia="en-US" w:bidi="ar-SA"/>
              </w:rPr>
              <w:t>, в отношении каждого субподрядчика, подтверждающие его соответствие данным требованиям;</w:t>
            </w:r>
          </w:p>
        </w:tc>
      </w:tr>
      <w:tr>
        <w:trPr/>
        <w:tc>
          <w:tcPr>
            <w:tcW w:w="1128" w:type="dxa"/>
            <w:tcBorders/>
          </w:tcPr>
          <w:p>
            <w:pPr>
              <w:pStyle w:val="Style28"/>
              <w:widowControl w:val="false"/>
              <w:numPr>
                <w:ilvl w:val="0"/>
                <w:numId w:val="5"/>
              </w:numPr>
              <w:suppressAutoHyphens w:val="true"/>
              <w:spacing w:before="60" w:after="60"/>
              <w:ind w:left="284" w:hanging="0"/>
              <w:jc w:val="center"/>
              <w:rPr>
                <w:rFonts w:eastAsia="Calibri"/>
              </w:rPr>
            </w:pPr>
            <w:r>
              <w:rPr>
                <w:rFonts w:eastAsia="Calibri"/>
              </w:rPr>
            </w:r>
            <w:bookmarkStart w:id="339" w:name="_Ref125553847"/>
            <w:bookmarkStart w:id="340" w:name="_Ref125553847"/>
            <w:bookmarkEnd w:id="340"/>
          </w:p>
        </w:tc>
        <w:tc>
          <w:tcPr>
            <w:tcW w:w="5671"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Дополнительные требования не установлены.</w:t>
            </w:r>
          </w:p>
          <w:p>
            <w:pPr>
              <w:pStyle w:val="Style31"/>
              <w:widowControl w:val="false"/>
              <w:suppressAutoHyphens w:val="true"/>
              <w:spacing w:before="60" w:after="60"/>
              <w:rPr>
                <w:rFonts w:eastAsia="Calibri"/>
              </w:rPr>
            </w:pPr>
            <w:r>
              <w:rPr>
                <w:rFonts w:eastAsia="Calibri"/>
              </w:rPr>
            </w:r>
          </w:p>
        </w:tc>
        <w:tc>
          <w:tcPr>
            <w:tcW w:w="8327"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Дополнительные требования не установлены.</w:t>
            </w:r>
          </w:p>
          <w:p>
            <w:pPr>
              <w:pStyle w:val="Style31"/>
              <w:widowControl w:val="false"/>
              <w:suppressAutoHyphens w:val="true"/>
              <w:spacing w:before="60" w:after="60"/>
              <w:rPr>
                <w:rFonts w:eastAsia="Calibri"/>
              </w:rPr>
            </w:pPr>
            <w:r>
              <w:rPr>
                <w:rFonts w:eastAsia="Calibri"/>
              </w:rPr>
            </w:r>
          </w:p>
        </w:tc>
      </w:tr>
    </w:tbl>
    <w:p>
      <w:pPr>
        <w:sectPr>
          <w:headerReference w:type="default" r:id="rId18"/>
          <w:headerReference w:type="first" r:id="rId19"/>
          <w:footerReference w:type="default" r:id="rId20"/>
          <w:footerReference w:type="first" r:id="rId21"/>
          <w:footnotePr>
            <w:numFmt w:val="decimal"/>
          </w:footnotePr>
          <w:type w:val="nextPage"/>
          <w:pgSz w:orient="landscape" w:w="16838" w:h="11906"/>
          <w:pgMar w:left="851" w:right="851" w:gutter="0" w:header="567" w:top="1134" w:footer="567" w:bottom="850"/>
          <w:pgNumType w:fmt="decimal"/>
          <w:formProt w:val="false"/>
          <w:textDirection w:val="lrTb"/>
          <w:docGrid w:type="default" w:linePitch="360" w:charSpace="0"/>
        </w:sectPr>
      </w:pPr>
    </w:p>
    <w:p>
      <w:pPr>
        <w:pStyle w:val="Style22"/>
        <w:rPr/>
      </w:pPr>
      <w:bookmarkStart w:id="341" w:name="_Toc188004705"/>
      <w:bookmarkStart w:id="342" w:name="Прил04_ФормыЗаявки"/>
      <w:bookmarkEnd w:id="342"/>
      <w:r>
        <w:rPr/>
        <w:t>Приложение № 4 – Образцы форм документов, включаемых в состав заявки</w:t>
      </w:r>
      <w:bookmarkEnd w:id="341"/>
    </w:p>
    <w:p>
      <w:pPr>
        <w:pStyle w:val="Style23"/>
        <w:rPr/>
      </w:pPr>
      <w:bookmarkStart w:id="343" w:name="_Toc188004706"/>
      <w:r>
        <w:rPr/>
        <w:t>Пояснения к Образцам форм документов, включаемых в состав заявки</w:t>
      </w:r>
      <w:bookmarkEnd w:id="343"/>
    </w:p>
    <w:p>
      <w:pPr>
        <w:pStyle w:val="Style24"/>
        <w:rPr/>
      </w:pPr>
      <w:r>
        <w:rPr/>
        <w:t>Образцы форм документов, включаемых в состав заявки (с инструкциями по их оформлению), приведены в отдельном файле (предоставляются отдельным документом в составе Документации о закупке), являющимся Приложением № 4 к Документации о закупке.</w:t>
      </w:r>
    </w:p>
    <w:p>
      <w:pPr>
        <w:pStyle w:val="Style22"/>
        <w:rPr/>
      </w:pPr>
      <w:bookmarkStart w:id="344" w:name="_Toc188004707"/>
      <w:bookmarkStart w:id="345" w:name="Прил05_ФормыПобедителя"/>
      <w:bookmarkEnd w:id="345"/>
      <w:r>
        <w:rPr/>
        <w:t>Приложение № 5 – Образцы форм документов, предоставляемых Победителем</w:t>
      </w:r>
      <w:bookmarkEnd w:id="344"/>
    </w:p>
    <w:p>
      <w:pPr>
        <w:pStyle w:val="Style23"/>
        <w:rPr/>
      </w:pPr>
      <w:bookmarkStart w:id="346" w:name="_Toc188004708"/>
      <w:r>
        <w:rPr/>
        <w:t>Пояснения к Образцам форм документов, предоставляемых Победителем</w:t>
      </w:r>
      <w:bookmarkEnd w:id="346"/>
    </w:p>
    <w:p>
      <w:pPr>
        <w:pStyle w:val="Style24"/>
        <w:rPr/>
      </w:pPr>
      <w:r>
        <w:rPr/>
        <w:t>Образцы форм документов, предоставляемых Победителем (или Единственным участником, в случае признания закупки несостоявшейся и принятия решения о заключении договора с ее Единственным участником), а также дополнительные пояснения по их предоставлению и инструкции по их оформлению, приведены в подразделах </w:t>
      </w:r>
      <w:r>
        <w:rPr/>
        <w:fldChar w:fldCharType="begin"/>
      </w:r>
      <w:r>
        <w:rPr/>
        <w:instrText xml:space="preserve"> REF _Ref130395470 \r \h </w:instrText>
      </w:r>
      <w:r>
        <w:rPr/>
        <w:fldChar w:fldCharType="separate"/>
      </w:r>
      <w:r>
        <w:rPr/>
        <w:t>10.2</w:t>
      </w:r>
      <w:r>
        <w:rPr/>
        <w:fldChar w:fldCharType="end"/>
      </w:r>
      <w:r>
        <w:rPr/>
        <w:t xml:space="preserve">, </w:t>
      </w:r>
      <w:r>
        <w:rPr/>
        <w:fldChar w:fldCharType="begin"/>
      </w:r>
      <w:r>
        <w:rPr/>
        <w:instrText xml:space="preserve"> REF _Ref130395475 \r \h </w:instrText>
      </w:r>
      <w:r>
        <w:rPr/>
        <w:fldChar w:fldCharType="separate"/>
      </w:r>
      <w:r>
        <w:rPr/>
        <w:t>10.3</w:t>
      </w:r>
      <w:r>
        <w:rPr/>
        <w:fldChar w:fldCharType="end"/>
      </w:r>
      <w:r>
        <w:rPr/>
        <w:t>.</w:t>
      </w:r>
    </w:p>
    <w:p>
      <w:pPr>
        <w:pStyle w:val="Style23"/>
        <w:rPr/>
      </w:pPr>
      <w:bookmarkStart w:id="347" w:name="_Toc188004709"/>
      <w:bookmarkStart w:id="348" w:name="_Ref130395470"/>
      <w:r>
        <w:rPr/>
        <w:t>Форма справки «Сведения о цепочке собственников, включая бенефициаров (в том числе конечных)»</w:t>
      </w:r>
      <w:bookmarkEnd w:id="347"/>
      <w:bookmarkEnd w:id="348"/>
    </w:p>
    <w:p>
      <w:pPr>
        <w:pStyle w:val="Style24"/>
        <w:rPr/>
      </w:pPr>
      <w:r>
        <w:rPr/>
        <w:t>Справка «Сведения о цепочке собственников, включая бенефициаров (в том числе конечных)» предоставляется Победителем закупки (поставщиком).</w:t>
      </w:r>
    </w:p>
    <w:p>
      <w:pPr>
        <w:pStyle w:val="Style24"/>
        <w:rPr/>
      </w:pPr>
      <w:r>
        <w:rPr/>
        <w:t xml:space="preserve">Форма справки «Сведения о цепочке собственников, включая бенефициаров (в том числе конечных)» </w:t>
      </w:r>
      <w:r>
        <w:rPr>
          <w:lang w:val="en-US"/>
        </w:rPr>
        <w:t>c</w:t>
      </w:r>
      <w:r>
        <w:rPr/>
        <w:t xml:space="preserve"> приложением 1 «Перечень подтверждающих документов» и приложением 2 «Согласие на обработку и передачу персональных и иных охраняемых законом данных» приведена в отдельном файле в формате </w:t>
      </w:r>
      <w:r>
        <w:rPr>
          <w:lang w:val="en-US"/>
        </w:rPr>
        <w:t>Microsoft</w:t>
      </w:r>
      <w:r>
        <w:rPr/>
        <w:t xml:space="preserve"> </w:t>
      </w:r>
      <w:r>
        <w:rPr>
          <w:lang w:val="en-US"/>
        </w:rPr>
        <w:t>Word</w:t>
      </w:r>
      <w:r>
        <w:rPr/>
        <w:t>:</w:t>
      </w:r>
      <w:bookmarkStart w:id="349" w:name="_MON_1741074142"/>
      <w:bookmarkEnd w:id="349"/>
    </w:p>
    <w:p>
      <w:pPr>
        <w:pStyle w:val="Style28"/>
        <w:jc w:val="center"/>
        <w:rPr/>
      </w:pPr>
      <w:r>
        <w:rPr/>
        <mc:AlternateContent>
          <mc:Choice Requires="wps">
            <w:drawing>
              <wp:anchor behindDoc="0" distT="0" distB="0" distL="635" distR="0" simplePos="0" locked="0" layoutInCell="0" allowOverlap="1" relativeHeight="3" wp14:anchorId="0D94A937">
                <wp:simplePos x="0" y="0"/>
                <wp:positionH relativeFrom="column">
                  <wp:posOffset>635</wp:posOffset>
                </wp:positionH>
                <wp:positionV relativeFrom="paragraph">
                  <wp:posOffset>635</wp:posOffset>
                </wp:positionV>
                <wp:extent cx="635000" cy="635000"/>
                <wp:effectExtent l="635" t="0" r="0" b="0"/>
                <wp:wrapNone/>
                <wp:docPr id="3" name="_x0000_tole_rId2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_x0000_tole_rId22" path="m0,0l-2147483645,0l-2147483645,-2147483646l0,-2147483646xe" stroked="f" o:allowincell="f" style="position:absolute;margin-left:0.05pt;margin-top:0.05pt;width:49.95pt;height:49.95pt;mso-wrap-style:none;v-text-anchor:middle" wp14:anchorId="0D94A937">
                <v:fill o:detectmouseclick="t" on="false"/>
                <v:stroke color="#3465a4" joinstyle="round" endcap="flat"/>
                <w10:wrap type="none"/>
              </v:rect>
            </w:pict>
          </mc:Fallback>
        </mc:AlternateContent>
        <mc:AlternateContent>
          <mc:Choice Requires="wps">
            <w:drawing>
              <wp:anchor behindDoc="0" distT="0" distB="0" distL="635" distR="0" simplePos="0" locked="0" layoutInCell="0" allowOverlap="1" relativeHeight="6">
                <wp:simplePos x="0" y="0"/>
                <wp:positionH relativeFrom="column">
                  <wp:posOffset>635</wp:posOffset>
                </wp:positionH>
                <wp:positionV relativeFrom="paragraph">
                  <wp:posOffset>635</wp:posOffset>
                </wp:positionV>
                <wp:extent cx="635000" cy="635000"/>
                <wp:effectExtent l="635" t="0" r="0" b="0"/>
                <wp:wrapNone/>
                <wp:docPr id="4" name="_x0000_tole_rId2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_x0000_tole_rId22" path="m0,0l-2147483645,0l-2147483645,-2147483646l0,-2147483646xe" stroked="f" o:allowincell="f" style="position:absolute;margin-left:0.05pt;margin-top:0.05pt;width:49.95pt;height:49.95pt;mso-wrap-style:none;v-text-anchor:middle">
                <v:fill o:detectmouseclick="t" on="false"/>
                <v:stroke color="#3465a4" joinstyle="round" endcap="flat"/>
                <w10:wrap type="none"/>
              </v:rect>
            </w:pict>
          </mc:Fallback>
        </mc:AlternateContent>
        <w:object>
          <v:shapetype id="_x0000_tole_rId22" coordsize="21600,21600" o:spt="ole_rId2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2" type="_x0000_tole_rId22" style="width:78.8pt;height:50.25pt;mso-wrap-distance-right:0pt" filled="f" o:ole="">
            <v:imagedata r:id="rId23" o:title=""/>
          </v:shape>
          <o:OLEObject Type="Embed" ProgID="Word.Document.12" ShapeID="ole_rId22" DrawAspect="Icon" ObjectID="_1874474791" r:id="rId22"/>
        </w:object>
      </w:r>
    </w:p>
    <w:p>
      <w:pPr>
        <w:pStyle w:val="Style23"/>
        <w:rPr/>
      </w:pPr>
      <w:bookmarkStart w:id="350" w:name="_Toc188004710"/>
      <w:bookmarkStart w:id="351" w:name="_Ref130395475"/>
      <w:r>
        <w:rPr/>
        <w:t>Форма «Заверение об обстоятельствах»</w:t>
      </w:r>
      <w:bookmarkEnd w:id="350"/>
      <w:bookmarkEnd w:id="351"/>
    </w:p>
    <w:p>
      <w:pPr>
        <w:pStyle w:val="Style24"/>
        <w:rPr/>
      </w:pPr>
      <w:r>
        <w:rPr/>
        <w:t>Форма Заверения об обстоятельствах предоставляется Победителем закупки (поставщиком) только при заключении договоров стоимостью свыше 100 000</w:t>
      </w:r>
      <w:r>
        <w:rPr>
          <w:lang w:val="en-US"/>
        </w:rPr>
        <w:t> </w:t>
      </w:r>
      <w:r>
        <w:rPr/>
        <w:t>000 (Ста миллионов) рублей либо договоров (без ограничения по сумме), положения которых не содержат аналогичных заверений об обстоятельствах, и предоставляется Заказчику в срок не позднее 3</w:t>
      </w:r>
      <w:r>
        <w:rPr>
          <w:lang w:val="en-US"/>
        </w:rPr>
        <w:t> </w:t>
      </w:r>
      <w:r>
        <w:rPr/>
        <w:t>(трех) рабочих дней с даты официального размещения Организатором итогового протокола по результатам закупки.</w:t>
      </w:r>
    </w:p>
    <w:p>
      <w:pPr>
        <w:pStyle w:val="Style24"/>
        <w:rPr/>
      </w:pPr>
      <w:r>
        <w:rPr/>
        <w:t>Победитель закупки (поставщик) должен выбрать соответствующий ему вариант Заверения об обстоятельствах, исходя из необходимости получения согласий органов управления / одобрения сделки органами управления Поставщика в соответствии с законодательством, уставом, внутренними документами и отдельными решениями органов управления Поставщика, для последующего заключения Договора по предмету настоящей закупки.</w:t>
      </w:r>
    </w:p>
    <w:p>
      <w:pPr>
        <w:pStyle w:val="Style24"/>
        <w:rPr/>
      </w:pPr>
      <w:r>
        <w:rPr/>
        <w:t>Заверение об обстоятельствах следует оформить на официальном бланке Победителя закупки (поставщика) (с указанием даты и номера в соответствии с принятыми у него правилами документооборота) и заверить подписью единоличного исполнительного органа Победителя закупки (поставщика) (или иным уполномоченным лицом на основании доверенности), а также скрепить печатью (при наличии).</w:t>
      </w:r>
    </w:p>
    <w:p>
      <w:pPr>
        <w:pStyle w:val="Style24"/>
        <w:keepNext w:val="true"/>
        <w:rPr/>
      </w:pPr>
      <w:r>
        <w:rPr/>
        <w:t xml:space="preserve">Форма «Заверение об обстоятельствах» приведена в отдельном файле в формате </w:t>
      </w:r>
      <w:r>
        <w:rPr>
          <w:lang w:val="en-US"/>
        </w:rPr>
        <w:t>Microsoft</w:t>
      </w:r>
      <w:r>
        <w:rPr/>
        <w:t xml:space="preserve"> </w:t>
      </w:r>
      <w:r>
        <w:rPr>
          <w:lang w:val="en-US"/>
        </w:rPr>
        <w:t>Word</w:t>
      </w:r>
      <w:r>
        <w:rPr/>
        <w:t>:</w:t>
      </w:r>
      <w:bookmarkStart w:id="352" w:name="_MON_1741074184"/>
      <w:bookmarkEnd w:id="352"/>
    </w:p>
    <w:p>
      <w:pPr>
        <w:pStyle w:val="Style28"/>
        <w:spacing w:before="120" w:after="120"/>
        <w:jc w:val="center"/>
        <w:rPr/>
      </w:pPr>
      <w:r>
        <w:rPr/>
        <mc:AlternateContent>
          <mc:Choice Requires="wps">
            <w:drawing>
              <wp:anchor behindDoc="0" distT="0" distB="0" distL="635" distR="0" simplePos="0" locked="0" layoutInCell="0" allowOverlap="1" relativeHeight="4" wp14:anchorId="0EC6FAA3">
                <wp:simplePos x="0" y="0"/>
                <wp:positionH relativeFrom="column">
                  <wp:posOffset>635</wp:posOffset>
                </wp:positionH>
                <wp:positionV relativeFrom="paragraph">
                  <wp:posOffset>635</wp:posOffset>
                </wp:positionV>
                <wp:extent cx="635000" cy="635000"/>
                <wp:effectExtent l="635" t="0" r="0" b="0"/>
                <wp:wrapNone/>
                <wp:docPr id="5" name="_x0000_tole_rId24"/>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_x0000_tole_rId24" path="m0,0l-2147483645,0l-2147483645,-2147483646l0,-2147483646xe" stroked="f" o:allowincell="f" style="position:absolute;margin-left:0.05pt;margin-top:0.05pt;width:49.95pt;height:49.95pt;mso-wrap-style:none;v-text-anchor:middle" wp14:anchorId="0EC6FAA3">
                <v:fill o:detectmouseclick="t" on="false"/>
                <v:stroke color="#3465a4" joinstyle="round" endcap="flat"/>
                <w10:wrap type="none"/>
              </v:rect>
            </w:pict>
          </mc:Fallback>
        </mc:AlternateContent>
        <mc:AlternateContent>
          <mc:Choice Requires="wps">
            <w:drawing>
              <wp:anchor behindDoc="0" distT="0" distB="0" distL="635" distR="0" simplePos="0" locked="0" layoutInCell="0" allowOverlap="1" relativeHeight="7">
                <wp:simplePos x="0" y="0"/>
                <wp:positionH relativeFrom="column">
                  <wp:posOffset>635</wp:posOffset>
                </wp:positionH>
                <wp:positionV relativeFrom="paragraph">
                  <wp:posOffset>635</wp:posOffset>
                </wp:positionV>
                <wp:extent cx="635000" cy="635000"/>
                <wp:effectExtent l="635" t="0" r="0" b="0"/>
                <wp:wrapNone/>
                <wp:docPr id="6" name="_x0000_tole_rId24"/>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_x0000_tole_rId24" path="m0,0l-2147483645,0l-2147483645,-2147483646l0,-2147483646xe" stroked="f" o:allowincell="f" style="position:absolute;margin-left:0.05pt;margin-top:0.05pt;width:49.95pt;height:49.95pt;mso-wrap-style:none;v-text-anchor:middle">
                <v:fill o:detectmouseclick="t" on="false"/>
                <v:stroke color="#3465a4" joinstyle="round" endcap="flat"/>
                <w10:wrap type="none"/>
              </v:rect>
            </w:pict>
          </mc:Fallback>
        </mc:AlternateContent>
        <w:object>
          <v:shapetype id="_x0000_tole_rId24" coordsize="21600,21600" o:spt="ole_rId24"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4" type="_x0000_tole_rId24" style="width:78.8pt;height:50.25pt;mso-wrap-distance-right:0pt;mso-wrap-distance-bottom:6pt" filled="f" o:ole="">
            <v:imagedata r:id="rId25" o:title=""/>
          </v:shape>
          <o:OLEObject Type="Embed" ProgID="Word.Document.12" ShapeID="ole_rId24" DrawAspect="Icon" ObjectID="_1261939478" r:id="rId24"/>
        </w:object>
      </w:r>
    </w:p>
    <w:p>
      <w:pPr>
        <w:pStyle w:val="Style22"/>
        <w:rPr/>
      </w:pPr>
      <w:bookmarkStart w:id="353" w:name="_Ref125362900"/>
      <w:bookmarkStart w:id="354" w:name="_Ref125362865"/>
      <w:bookmarkStart w:id="355" w:name="_Toc188004711"/>
      <w:bookmarkStart w:id="356" w:name="Прил06_СоставЗаявки"/>
      <w:bookmarkEnd w:id="356"/>
      <w:r>
        <w:rPr/>
        <w:t>Приложение № 6 – Состав заявки</w:t>
      </w:r>
      <w:bookmarkEnd w:id="353"/>
      <w:bookmarkEnd w:id="354"/>
      <w:bookmarkEnd w:id="355"/>
    </w:p>
    <w:p>
      <w:pPr>
        <w:pStyle w:val="Style23"/>
        <w:rPr/>
      </w:pPr>
      <w:bookmarkStart w:id="357" w:name="_Toc188004712"/>
      <w:r>
        <w:rPr/>
        <w:t>Состав заявки</w:t>
      </w:r>
      <w:bookmarkEnd w:id="357"/>
    </w:p>
    <w:p>
      <w:pPr>
        <w:pStyle w:val="Style24"/>
        <w:spacing w:before="120" w:after="120"/>
        <w:rPr/>
      </w:pPr>
      <w:r>
        <w:rPr/>
        <w:t xml:space="preserve">Заявка на участие в закупке должна содержать следующий комплект документов (образцы форм документов, включаемых в состав заявки (с инструкциями по их оформлению), приведены в </w:t>
      </w:r>
      <w:hyperlink w:anchor="Прил04_ФормыЗаявки">
        <w:r>
          <w:rPr>
            <w:rStyle w:val="Style13"/>
          </w:rPr>
          <w:t>Приложении № 4</w:t>
        </w:r>
      </w:hyperlink>
      <w:r>
        <w:rPr/>
        <w:t>):</w:t>
      </w:r>
    </w:p>
    <w:tbl>
      <w:tblPr>
        <w:tblStyle w:val="afff6"/>
        <w:tblW w:w="8783" w:type="dxa"/>
        <w:jc w:val="left"/>
        <w:tblInd w:w="1129" w:type="dxa"/>
        <w:tblLayout w:type="fixed"/>
        <w:tblCellMar>
          <w:top w:w="0" w:type="dxa"/>
          <w:left w:w="57" w:type="dxa"/>
          <w:bottom w:w="0" w:type="dxa"/>
          <w:right w:w="57" w:type="dxa"/>
        </w:tblCellMar>
        <w:tblLook w:noVBand="1" w:val="04a0" w:noHBand="0" w:lastColumn="0" w:firstColumn="1" w:lastRow="0" w:firstRow="1"/>
      </w:tblPr>
      <w:tblGrid>
        <w:gridCol w:w="707"/>
        <w:gridCol w:w="8075"/>
      </w:tblGrid>
      <w:tr>
        <w:trPr>
          <w:cnfStyle w:val="100000000000" w:firstRow="1" w:lastRow="0" w:firstColumn="0" w:lastColumn="0" w:oddVBand="0" w:evenVBand="0" w:oddHBand="0" w:evenHBand="0" w:firstRowFirstColumn="0" w:firstRowLastColumn="0" w:lastRowFirstColumn="0" w:lastRowLastColumn="0"/>
        </w:trPr>
        <w:tc>
          <w:tcPr>
            <w:tcW w:w="707" w:type="dxa"/>
            <w:tcBorders/>
          </w:tcPr>
          <w:p>
            <w:pPr>
              <w:pStyle w:val="Style28"/>
              <w:keepNext w:val="true"/>
              <w:widowControl w:val="false"/>
              <w:suppressAutoHyphens w:val="true"/>
              <w:spacing w:before="60" w:after="60"/>
              <w:jc w:val="center"/>
              <w:rPr>
                <w:rFonts w:eastAsia="Calibri"/>
              </w:rPr>
            </w:pPr>
            <w:r>
              <w:rPr>
                <w:rFonts w:eastAsia="Calibri" w:cs=""/>
                <w:b/>
                <w:kern w:val="0"/>
                <w:sz w:val="26"/>
                <w:szCs w:val="22"/>
                <w:lang w:val="ru-RU" w:eastAsia="en-US" w:bidi="ar-SA"/>
              </w:rPr>
              <w:t>№</w:t>
            </w:r>
            <w:r>
              <w:rPr>
                <w:rFonts w:eastAsia="Calibri" w:cs=""/>
                <w:b/>
                <w:kern w:val="0"/>
                <w:sz w:val="26"/>
                <w:szCs w:val="22"/>
                <w:lang w:val="ru-RU" w:eastAsia="en-US" w:bidi="ar-SA"/>
              </w:rPr>
              <w:br/>
              <w:t>п/п</w:t>
            </w:r>
          </w:p>
        </w:tc>
        <w:tc>
          <w:tcPr>
            <w:tcW w:w="8075" w:type="dxa"/>
            <w:tcBorders/>
          </w:tcPr>
          <w:p>
            <w:pPr>
              <w:pStyle w:val="Style28"/>
              <w:keepNext w:val="true"/>
              <w:widowControl w:val="false"/>
              <w:suppressAutoHyphens w:val="true"/>
              <w:spacing w:before="60" w:after="60"/>
              <w:jc w:val="center"/>
              <w:rPr>
                <w:rFonts w:eastAsia="Calibri"/>
              </w:rPr>
            </w:pPr>
            <w:r>
              <w:rPr>
                <w:rFonts w:eastAsia="Calibri" w:cs=""/>
                <w:b/>
                <w:kern w:val="0"/>
                <w:sz w:val="26"/>
                <w:szCs w:val="22"/>
                <w:lang w:val="ru-RU" w:eastAsia="en-US" w:bidi="ar-SA"/>
              </w:rPr>
              <w:t>Наименование документа</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p>
        </w:tc>
        <w:tc>
          <w:tcPr>
            <w:tcW w:w="8075"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Опись документов (форма 1) – носит рекомендательный характер и не обязательна к предоставлению в составе заявки;</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p>
        </w:tc>
        <w:tc>
          <w:tcPr>
            <w:tcW w:w="8075"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Письмо о подаче оферты (форма 2);</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p>
        </w:tc>
        <w:tc>
          <w:tcPr>
            <w:tcW w:w="8075"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Копия банковской гарантии – предоставляется при необходимости и в случае отсутствия внесенных Участником денежных средств на индивидуальный счет, открытый Участнику Оператором ЭП в соответствии с Регламентом ЭП;</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p>
        </w:tc>
        <w:tc>
          <w:tcPr>
            <w:tcW w:w="8075" w:type="dxa"/>
            <w:tcBorders/>
          </w:tcPr>
          <w:p>
            <w:pPr>
              <w:pStyle w:val="Style28"/>
              <w:widowControl w:val="false"/>
              <w:suppressAutoHyphens w:val="true"/>
              <w:spacing w:before="60" w:after="60"/>
              <w:rPr/>
            </w:pPr>
            <w:r>
              <w:rPr>
                <w:rFonts w:eastAsia="Calibri" w:cs=""/>
                <w:kern w:val="0"/>
                <w:sz w:val="26"/>
                <w:szCs w:val="22"/>
                <w:lang w:val="ru-RU" w:eastAsia="en-US" w:bidi="ar-SA"/>
              </w:rPr>
              <w:t xml:space="preserve">Коммерческое предложение (включая Структуру НМЦ) (форма 3); также дополнительно предоставляется подтверждающая документация, составленная в соответствии с </w:t>
            </w:r>
            <w:hyperlink w:anchor="Прил01_ТехТребования">
              <w:r>
                <w:rPr>
                  <w:rStyle w:val="Style13"/>
                  <w:rFonts w:eastAsia="Calibri" w:cs=""/>
                  <w:kern w:val="0"/>
                  <w:sz w:val="26"/>
                  <w:szCs w:val="22"/>
                  <w:lang w:val="ru-RU" w:eastAsia="en-US" w:bidi="ar-SA"/>
                </w:rPr>
                <w:t>Техническими требованиями (Приложение № 1)</w:t>
              </w:r>
            </w:hyperlink>
            <w:r>
              <w:rPr>
                <w:rFonts w:eastAsia="Calibri" w:cs=""/>
                <w:kern w:val="0"/>
                <w:sz w:val="26"/>
                <w:szCs w:val="22"/>
                <w:lang w:val="ru-RU" w:eastAsia="en-US" w:bidi="ar-SA"/>
              </w:rPr>
              <w:t xml:space="preserve"> – только если в Технических требованиях установлены требования к документации по ценообразованию (подраздел «Требования к документации по ценообразованию на этапе закупки») либо аналогичные по смыслу;</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p>
        </w:tc>
        <w:tc>
          <w:tcPr>
            <w:tcW w:w="8075"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Техническое предложение (форма 4);</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p>
        </w:tc>
        <w:tc>
          <w:tcPr>
            <w:tcW w:w="8075"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Календарный график (форма 5);</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p>
        </w:tc>
        <w:tc>
          <w:tcPr>
            <w:tcW w:w="8075"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Анкета Участника (форма 6);</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bookmarkStart w:id="358" w:name="_Ref130389408"/>
            <w:bookmarkStart w:id="359" w:name="_Ref130389408"/>
            <w:bookmarkEnd w:id="359"/>
          </w:p>
        </w:tc>
        <w:tc>
          <w:tcPr>
            <w:tcW w:w="8075" w:type="dxa"/>
            <w:tcBorders/>
          </w:tcPr>
          <w:p>
            <w:pPr>
              <w:pStyle w:val="Style28"/>
              <w:widowControl w:val="false"/>
              <w:suppressAutoHyphens w:val="true"/>
              <w:spacing w:before="60" w:after="60"/>
              <w:rPr/>
            </w:pPr>
            <w:r>
              <w:rPr>
                <w:rFonts w:eastAsia="Calibri" w:cs=""/>
                <w:kern w:val="0"/>
                <w:sz w:val="26"/>
                <w:szCs w:val="22"/>
                <w:lang w:val="ru-RU" w:eastAsia="en-US" w:bidi="ar-SA"/>
              </w:rPr>
              <w:t>Справка об опыте Участника (форма 7), с необходимыми приложениями к ней, – предоставляется, если установлено соответствующее квалификационное требование к опыту (подраздел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_Ref125709154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8.4</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w:t>
            </w:r>
            <w:hyperlink w:anchor="Прил03_ТребованияУчастникам">
              <w:r>
                <w:rPr>
                  <w:rStyle w:val="Style13"/>
                  <w:rFonts w:eastAsia="Calibri" w:cs=""/>
                  <w:kern w:val="0"/>
                  <w:sz w:val="26"/>
                  <w:szCs w:val="22"/>
                  <w:lang w:val="ru-RU" w:eastAsia="en-US" w:bidi="ar-SA"/>
                </w:rPr>
                <w:t>Приложения № 3</w:t>
              </w:r>
            </w:hyperlink>
            <w:r>
              <w:rPr>
                <w:rFonts w:eastAsia="Calibri" w:cs=""/>
                <w:kern w:val="0"/>
                <w:sz w:val="26"/>
                <w:szCs w:val="22"/>
                <w:lang w:val="ru-RU" w:eastAsia="en-US" w:bidi="ar-SA"/>
              </w:rPr>
              <w:t xml:space="preserve">) и (или) если в </w:t>
            </w:r>
            <w:hyperlink w:anchor="Прил08_ПорядокОценки">
              <w:r>
                <w:rPr>
                  <w:rStyle w:val="Style13"/>
                  <w:rFonts w:eastAsia="Calibri" w:cs=""/>
                  <w:kern w:val="0"/>
                  <w:sz w:val="26"/>
                  <w:szCs w:val="22"/>
                  <w:lang w:val="ru-RU" w:eastAsia="en-US" w:bidi="ar-SA"/>
                </w:rPr>
                <w:t>Порядке и критериях оценки и сопоставления заявок (Приложение № 8)</w:t>
              </w:r>
            </w:hyperlink>
            <w:r>
              <w:rPr>
                <w:rFonts w:eastAsia="Calibri" w:cs=""/>
                <w:kern w:val="0"/>
                <w:sz w:val="26"/>
                <w:szCs w:val="22"/>
                <w:lang w:val="ru-RU" w:eastAsia="en-US" w:bidi="ar-SA"/>
              </w:rPr>
              <w:t xml:space="preserve"> установлен соответствующий критерий оценки в части опыта;</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bookmarkStart w:id="360" w:name="_Ref130389413"/>
            <w:bookmarkStart w:id="361" w:name="_Ref130389413"/>
            <w:bookmarkEnd w:id="361"/>
          </w:p>
        </w:tc>
        <w:tc>
          <w:tcPr>
            <w:tcW w:w="8075" w:type="dxa"/>
            <w:tcBorders/>
          </w:tcPr>
          <w:p>
            <w:pPr>
              <w:pStyle w:val="Style28"/>
              <w:widowControl w:val="false"/>
              <w:suppressAutoHyphens w:val="true"/>
              <w:spacing w:before="60" w:after="60"/>
              <w:rPr/>
            </w:pPr>
            <w:r>
              <w:rPr>
                <w:rFonts w:eastAsia="Calibri" w:cs=""/>
                <w:kern w:val="0"/>
                <w:sz w:val="26"/>
                <w:szCs w:val="22"/>
                <w:lang w:val="ru-RU" w:eastAsia="en-US" w:bidi="ar-SA"/>
              </w:rPr>
              <w:t>Справка о материально-технических ресурсах (форма 8), с необходимыми приложениями к ней – предоставляется, если установлено соответствующее квалификационное требование к наличию (привлечению) материально-технических ресурсов (подраздел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_Ref125709154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8.4</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w:t>
            </w:r>
            <w:hyperlink w:anchor="Прил03_ТребованияУчастникам">
              <w:r>
                <w:rPr>
                  <w:rStyle w:val="Style13"/>
                  <w:rFonts w:eastAsia="Calibri" w:cs=""/>
                  <w:kern w:val="0"/>
                  <w:sz w:val="26"/>
                  <w:szCs w:val="22"/>
                  <w:lang w:val="ru-RU" w:eastAsia="en-US" w:bidi="ar-SA"/>
                </w:rPr>
                <w:t>Приложения № 3</w:t>
              </w:r>
            </w:hyperlink>
            <w:r>
              <w:rPr>
                <w:rFonts w:eastAsia="Calibri" w:cs=""/>
                <w:kern w:val="0"/>
                <w:sz w:val="26"/>
                <w:szCs w:val="22"/>
                <w:lang w:val="ru-RU" w:eastAsia="en-US" w:bidi="ar-SA"/>
              </w:rPr>
              <w:t xml:space="preserve">) и (или) если в </w:t>
            </w:r>
            <w:hyperlink w:anchor="Прил08_ПорядокОценки">
              <w:r>
                <w:rPr>
                  <w:rStyle w:val="Style13"/>
                  <w:rFonts w:eastAsia="Calibri" w:cs=""/>
                  <w:kern w:val="0"/>
                  <w:sz w:val="26"/>
                  <w:szCs w:val="22"/>
                  <w:lang w:val="ru-RU" w:eastAsia="en-US" w:bidi="ar-SA"/>
                </w:rPr>
                <w:t>Порядке и критериях оценки и сопоставления заявок (Приложение № 8)</w:t>
              </w:r>
            </w:hyperlink>
            <w:r>
              <w:rPr>
                <w:rFonts w:eastAsia="Calibri" w:cs=""/>
                <w:kern w:val="0"/>
                <w:sz w:val="26"/>
                <w:szCs w:val="22"/>
                <w:lang w:val="ru-RU" w:eastAsia="en-US" w:bidi="ar-SA"/>
              </w:rPr>
              <w:t xml:space="preserve"> установлен соответствующий критерий оценки в части наличия (привлечения) материально-технических ресурсов;</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bookmarkStart w:id="362" w:name="_Ref130389419"/>
            <w:bookmarkStart w:id="363" w:name="_Ref130389419"/>
            <w:bookmarkEnd w:id="363"/>
          </w:p>
        </w:tc>
        <w:tc>
          <w:tcPr>
            <w:tcW w:w="8075" w:type="dxa"/>
            <w:tcBorders/>
          </w:tcPr>
          <w:p>
            <w:pPr>
              <w:pStyle w:val="Style28"/>
              <w:widowControl w:val="false"/>
              <w:suppressAutoHyphens w:val="true"/>
              <w:spacing w:before="60" w:after="60"/>
              <w:rPr/>
            </w:pPr>
            <w:r>
              <w:rPr>
                <w:rFonts w:eastAsia="Calibri" w:cs=""/>
                <w:kern w:val="0"/>
                <w:sz w:val="26"/>
                <w:szCs w:val="22"/>
                <w:lang w:val="ru-RU" w:eastAsia="en-US" w:bidi="ar-SA"/>
              </w:rPr>
              <w:t>Справка о кадровых ресурсах (форма 9), с необходимыми приложениями к ней – предоставляется, если установлено соответствующее квалификационное требование к наличию (привлечения) кадровых ресурсов (подраздел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_Ref125709154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8.4</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w:t>
            </w:r>
            <w:hyperlink w:anchor="Прил03_ТребованияУчастникам">
              <w:r>
                <w:rPr>
                  <w:rStyle w:val="Style13"/>
                  <w:rFonts w:eastAsia="Calibri" w:cs=""/>
                  <w:kern w:val="0"/>
                  <w:sz w:val="26"/>
                  <w:szCs w:val="22"/>
                  <w:lang w:val="ru-RU" w:eastAsia="en-US" w:bidi="ar-SA"/>
                </w:rPr>
                <w:t>Приложения № 3</w:t>
              </w:r>
            </w:hyperlink>
            <w:r>
              <w:rPr>
                <w:rFonts w:eastAsia="Calibri" w:cs=""/>
                <w:kern w:val="0"/>
                <w:sz w:val="26"/>
                <w:szCs w:val="22"/>
                <w:lang w:val="ru-RU" w:eastAsia="en-US" w:bidi="ar-SA"/>
              </w:rPr>
              <w:t xml:space="preserve">) и (или) если в </w:t>
            </w:r>
            <w:hyperlink w:anchor="Прил08_ПорядокОценки">
              <w:r>
                <w:rPr>
                  <w:rStyle w:val="Style13"/>
                  <w:rFonts w:eastAsia="Calibri" w:cs=""/>
                  <w:kern w:val="0"/>
                  <w:sz w:val="26"/>
                  <w:szCs w:val="22"/>
                  <w:lang w:val="ru-RU" w:eastAsia="en-US" w:bidi="ar-SA"/>
                </w:rPr>
                <w:t>Порядке и критериях оценки и сопоставления заявок (Приложение № 8)</w:t>
              </w:r>
            </w:hyperlink>
            <w:r>
              <w:rPr>
                <w:rFonts w:eastAsia="Calibri" w:cs=""/>
                <w:kern w:val="0"/>
                <w:sz w:val="26"/>
                <w:szCs w:val="22"/>
                <w:lang w:val="ru-RU" w:eastAsia="en-US" w:bidi="ar-SA"/>
              </w:rPr>
              <w:t xml:space="preserve"> установлен соответствующий критерий оценки в части наличия (привлечения) кадровых ресурсов;</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p>
        </w:tc>
        <w:tc>
          <w:tcPr>
            <w:tcW w:w="8075" w:type="dxa"/>
            <w:tcBorders/>
          </w:tcPr>
          <w:p>
            <w:pPr>
              <w:pStyle w:val="Style28"/>
              <w:widowControl w:val="false"/>
              <w:suppressAutoHyphens w:val="true"/>
              <w:spacing w:before="60" w:after="60"/>
              <w:rPr/>
            </w:pPr>
            <w:r>
              <w:rPr>
                <w:rFonts w:eastAsia="Calibri" w:cs=""/>
                <w:kern w:val="0"/>
                <w:sz w:val="26"/>
                <w:szCs w:val="22"/>
                <w:lang w:val="ru-RU" w:eastAsia="en-US" w:bidi="ar-SA"/>
              </w:rPr>
              <w:t xml:space="preserve">Справка об аффилированности Участника с изготовителем (производителем) предлагаемого товара (форма 10) – предоставляется, если Участник имеет признаки аффилированности согласно критериям, установленным в инструкции к указанной справке (дополнительно предоставляются документы, подтверждающие аффилированность по тому или иному критерию) и если в </w:t>
            </w:r>
            <w:hyperlink w:anchor="Прил08_ПорядокОценки">
              <w:r>
                <w:rPr>
                  <w:rStyle w:val="Style13"/>
                  <w:rFonts w:eastAsia="Calibri" w:cs=""/>
                  <w:kern w:val="0"/>
                  <w:sz w:val="26"/>
                  <w:szCs w:val="22"/>
                  <w:lang w:val="ru-RU" w:eastAsia="en-US" w:bidi="ar-SA"/>
                </w:rPr>
                <w:t>Порядке и критериях оценки и сопоставления заявок (Приложение № 8)</w:t>
              </w:r>
            </w:hyperlink>
            <w:r>
              <w:rPr>
                <w:rFonts w:eastAsia="Calibri" w:cs=""/>
                <w:kern w:val="0"/>
                <w:sz w:val="26"/>
                <w:szCs w:val="22"/>
                <w:lang w:val="ru-RU" w:eastAsia="en-US" w:bidi="ar-SA"/>
              </w:rPr>
              <w:t xml:space="preserve"> установлен соответствующий критерий оценки в части наличия аффилированности;</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p>
        </w:tc>
        <w:tc>
          <w:tcPr>
            <w:tcW w:w="8075" w:type="dxa"/>
            <w:tcBorders/>
          </w:tcPr>
          <w:p>
            <w:pPr>
              <w:pStyle w:val="Normal"/>
              <w:widowControl w:val="false"/>
              <w:suppressAutoHyphens w:val="true"/>
              <w:spacing w:before="120" w:after="60"/>
              <w:jc w:val="both"/>
              <w:rPr/>
            </w:pPr>
            <w:r>
              <w:rPr>
                <w:rFonts w:eastAsia="Calibri" w:cs=""/>
                <w:kern w:val="0"/>
                <w:sz w:val="26"/>
                <w:szCs w:val="22"/>
                <w:lang w:val="ru-RU" w:eastAsia="en-US" w:bidi="ar-SA"/>
              </w:rPr>
              <w:t>Документы, подтверждающие соответствие Участника обязательным требованиям Документации о закупке (подраздел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_Ref125361435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8.2</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w:t>
            </w:r>
            <w:hyperlink w:anchor="Прил03_ТребованияУчастникам">
              <w:r>
                <w:rPr>
                  <w:rStyle w:val="Style13"/>
                  <w:rFonts w:eastAsia="Calibri" w:cs=""/>
                  <w:kern w:val="0"/>
                  <w:sz w:val="26"/>
                  <w:szCs w:val="22"/>
                  <w:lang w:val="ru-RU" w:eastAsia="en-US" w:bidi="ar-SA"/>
                </w:rPr>
                <w:t>Приложения № 3</w:t>
              </w:r>
            </w:hyperlink>
            <w:r>
              <w:rPr>
                <w:rFonts w:eastAsia="Calibri" w:cs=""/>
                <w:kern w:val="0"/>
                <w:sz w:val="26"/>
                <w:szCs w:val="22"/>
                <w:lang w:val="ru-RU" w:eastAsia="en-US" w:bidi="ar-SA"/>
              </w:rPr>
              <w:t>), а также необходимые документы для прохождения (при необходимости) процедуры аккредитации – требования к подтверждающим документам приведены в указанном подразделе;</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p>
        </w:tc>
        <w:tc>
          <w:tcPr>
            <w:tcW w:w="8075" w:type="dxa"/>
            <w:tcBorders/>
          </w:tcPr>
          <w:p>
            <w:pPr>
              <w:pStyle w:val="Style28"/>
              <w:widowControl w:val="false"/>
              <w:suppressAutoHyphens w:val="true"/>
              <w:spacing w:before="60" w:after="60"/>
              <w:rPr/>
            </w:pPr>
            <w:r>
              <w:rPr>
                <w:rFonts w:eastAsia="Calibri" w:cs=""/>
                <w:kern w:val="0"/>
                <w:sz w:val="26"/>
                <w:szCs w:val="22"/>
                <w:lang w:val="ru-RU" w:eastAsia="en-US" w:bidi="ar-SA"/>
              </w:rPr>
              <w:t>Документы, подтверждающие соответствие Участника специальным требованиям – предоставляются, если соответствующие требования установлены в Документации о закупке (подраздел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_Ref125709153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8.3</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w:t>
            </w:r>
            <w:hyperlink w:anchor="Прил03_ТребованияУчастникам">
              <w:r>
                <w:rPr>
                  <w:rStyle w:val="Style13"/>
                  <w:rFonts w:eastAsia="Calibri" w:cs=""/>
                  <w:kern w:val="0"/>
                  <w:sz w:val="26"/>
                  <w:szCs w:val="22"/>
                  <w:lang w:val="ru-RU" w:eastAsia="en-US" w:bidi="ar-SA"/>
                </w:rPr>
                <w:t>Приложения № 3</w:t>
              </w:r>
            </w:hyperlink>
            <w:r>
              <w:rPr>
                <w:rFonts w:eastAsia="Calibri" w:cs=""/>
                <w:kern w:val="0"/>
                <w:sz w:val="26"/>
                <w:szCs w:val="22"/>
                <w:lang w:val="ru-RU" w:eastAsia="en-US" w:bidi="ar-SA"/>
              </w:rPr>
              <w:t>);</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p>
        </w:tc>
        <w:tc>
          <w:tcPr>
            <w:tcW w:w="8075" w:type="dxa"/>
            <w:tcBorders/>
          </w:tcPr>
          <w:p>
            <w:pPr>
              <w:pStyle w:val="Style28"/>
              <w:widowControl w:val="false"/>
              <w:suppressAutoHyphens w:val="true"/>
              <w:spacing w:before="60" w:after="60"/>
              <w:rPr/>
            </w:pPr>
            <w:r>
              <w:rPr>
                <w:rFonts w:eastAsia="Calibri" w:cs=""/>
                <w:kern w:val="0"/>
                <w:sz w:val="26"/>
                <w:szCs w:val="22"/>
                <w:lang w:val="ru-RU" w:eastAsia="en-US" w:bidi="ar-SA"/>
              </w:rPr>
              <w:t>Документы, подтверждающие соответствие Коллективного участника требованиям Документации о закупке (подраздел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_Ref125709228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8.5</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w:t>
            </w:r>
            <w:hyperlink w:anchor="Прил03_ТребованияУчастникам">
              <w:r>
                <w:rPr>
                  <w:rStyle w:val="Style13"/>
                  <w:rFonts w:eastAsia="Calibri" w:cs=""/>
                  <w:kern w:val="0"/>
                  <w:sz w:val="26"/>
                  <w:szCs w:val="22"/>
                  <w:lang w:val="ru-RU" w:eastAsia="en-US" w:bidi="ar-SA"/>
                </w:rPr>
                <w:t>Приложения № 3</w:t>
              </w:r>
            </w:hyperlink>
            <w:r>
              <w:rPr>
                <w:rFonts w:eastAsia="Calibri" w:cs=""/>
                <w:kern w:val="0"/>
                <w:sz w:val="26"/>
                <w:szCs w:val="22"/>
                <w:lang w:val="ru-RU" w:eastAsia="en-US" w:bidi="ar-SA"/>
              </w:rPr>
              <w:t>) – предоставляются, если Участник подает заявку от лица Коллективного участника (подраздел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_Ref130305355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3.2</w:t>
            </w:r>
            <w:r>
              <w:rPr>
                <w:sz w:val="26"/>
                <w:kern w:val="0"/>
                <w:szCs w:val="22"/>
                <w:rFonts w:eastAsia="Calibri" w:cs=""/>
                <w:lang w:val="ru-RU" w:eastAsia="en-US" w:bidi="ar-SA"/>
              </w:rPr>
              <w:fldChar w:fldCharType="end"/>
            </w:r>
            <w:r>
              <w:rPr>
                <w:rFonts w:eastAsia="Calibri" w:cs=""/>
                <w:kern w:val="0"/>
                <w:sz w:val="26"/>
                <w:szCs w:val="22"/>
                <w:lang w:val="ru-RU" w:eastAsia="en-US" w:bidi="ar-SA"/>
              </w:rPr>
              <w:t>), а именно:</w:t>
            </w:r>
          </w:p>
          <w:p>
            <w:pPr>
              <w:pStyle w:val="Style28"/>
              <w:widowControl w:val="false"/>
              <w:numPr>
                <w:ilvl w:val="0"/>
                <w:numId w:val="9"/>
              </w:numPr>
              <w:suppressAutoHyphens w:val="true"/>
              <w:spacing w:before="60" w:after="60"/>
              <w:ind w:left="284" w:hanging="284"/>
              <w:rPr>
                <w:rFonts w:eastAsia="Calibri"/>
              </w:rPr>
            </w:pPr>
            <w:r>
              <w:rPr>
                <w:rFonts w:eastAsia="Calibri" w:cs=""/>
                <w:kern w:val="0"/>
                <w:sz w:val="26"/>
                <w:szCs w:val="22"/>
                <w:lang w:val="ru-RU" w:eastAsia="en-US" w:bidi="ar-SA"/>
              </w:rPr>
              <w:t>План распределения объемов поставки продукции (форма 11);</w:t>
            </w:r>
          </w:p>
          <w:p>
            <w:pPr>
              <w:pStyle w:val="Style28"/>
              <w:widowControl w:val="false"/>
              <w:numPr>
                <w:ilvl w:val="0"/>
                <w:numId w:val="9"/>
              </w:numPr>
              <w:suppressAutoHyphens w:val="true"/>
              <w:spacing w:before="60" w:after="60"/>
              <w:ind w:left="284" w:hanging="284"/>
              <w:rPr>
                <w:rFonts w:eastAsia="Calibri"/>
              </w:rPr>
            </w:pPr>
            <w:r>
              <w:rPr>
                <w:rFonts w:eastAsia="Calibri" w:cs=""/>
                <w:kern w:val="0"/>
                <w:sz w:val="26"/>
                <w:szCs w:val="22"/>
                <w:lang w:val="ru-RU" w:eastAsia="en-US" w:bidi="ar-SA"/>
              </w:rPr>
              <w:t>Копия Соглашения между членами Коллективного участника, подготовленного в соответствии с требованиями пункта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_Ref125366972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3.2.3</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Документации о закупке;</w:t>
            </w:r>
          </w:p>
          <w:p>
            <w:pPr>
              <w:pStyle w:val="Style28"/>
              <w:widowControl w:val="false"/>
              <w:numPr>
                <w:ilvl w:val="0"/>
                <w:numId w:val="9"/>
              </w:numPr>
              <w:suppressAutoHyphens w:val="true"/>
              <w:spacing w:before="60" w:after="60"/>
              <w:ind w:left="284" w:hanging="284"/>
              <w:rPr/>
            </w:pPr>
            <w:r>
              <w:rPr>
                <w:rFonts w:eastAsia="Calibri" w:cs=""/>
                <w:kern w:val="0"/>
                <w:sz w:val="26"/>
                <w:szCs w:val="22"/>
                <w:lang w:val="ru-RU" w:eastAsia="en-US" w:bidi="ar-SA"/>
              </w:rPr>
              <w:t>прочие документы, определенные в подразделе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_Ref125709228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8.5</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w:t>
            </w:r>
            <w:hyperlink w:anchor="Прил03_ТребованияУчастникам">
              <w:r>
                <w:rPr>
                  <w:rStyle w:val="Style13"/>
                  <w:rFonts w:eastAsia="Calibri" w:cs=""/>
                  <w:kern w:val="0"/>
                  <w:sz w:val="26"/>
                  <w:szCs w:val="22"/>
                  <w:lang w:val="ru-RU" w:eastAsia="en-US" w:bidi="ar-SA"/>
                </w:rPr>
                <w:t>Приложения № 3</w:t>
              </w:r>
            </w:hyperlink>
            <w:r>
              <w:rPr>
                <w:rStyle w:val="Style13"/>
                <w:rFonts w:eastAsia="Calibri" w:cs=""/>
                <w:kern w:val="0"/>
                <w:sz w:val="26"/>
                <w:szCs w:val="22"/>
                <w:lang w:val="ru-RU" w:eastAsia="en-US" w:bidi="ar-SA"/>
              </w:rPr>
              <w:t>;</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p>
        </w:tc>
        <w:tc>
          <w:tcPr>
            <w:tcW w:w="8075" w:type="dxa"/>
            <w:tcBorders/>
          </w:tcPr>
          <w:p>
            <w:pPr>
              <w:pStyle w:val="Style28"/>
              <w:widowControl w:val="false"/>
              <w:suppressAutoHyphens w:val="true"/>
              <w:spacing w:before="60" w:after="60"/>
              <w:rPr/>
            </w:pPr>
            <w:r>
              <w:rPr>
                <w:rFonts w:eastAsia="Calibri" w:cs=""/>
                <w:kern w:val="0"/>
                <w:sz w:val="26"/>
                <w:szCs w:val="22"/>
                <w:lang w:val="ru-RU" w:eastAsia="en-US" w:bidi="ar-SA"/>
              </w:rPr>
              <w:t>Документы, подтверждающие соответствие Генерального подрядчика требованиям Документации о закупке (подраздел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_Ref125709777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8.6</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w:t>
            </w:r>
            <w:hyperlink w:anchor="Прил03_ТребованияУчастникам">
              <w:r>
                <w:rPr>
                  <w:rStyle w:val="Style13"/>
                  <w:rFonts w:eastAsia="Calibri" w:cs=""/>
                  <w:kern w:val="0"/>
                  <w:sz w:val="26"/>
                  <w:szCs w:val="22"/>
                  <w:lang w:val="ru-RU" w:eastAsia="en-US" w:bidi="ar-SA"/>
                </w:rPr>
                <w:t>Приложения № 3</w:t>
              </w:r>
            </w:hyperlink>
            <w:r>
              <w:rPr>
                <w:rFonts w:eastAsia="Calibri" w:cs=""/>
                <w:kern w:val="0"/>
                <w:sz w:val="26"/>
                <w:szCs w:val="22"/>
                <w:lang w:val="ru-RU" w:eastAsia="en-US" w:bidi="ar-SA"/>
              </w:rPr>
              <w:t>) – предоставляются, если условиями проводимой закупки (подраздел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_Ref125359973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1.2</w:t>
            </w:r>
            <w:r>
              <w:rPr>
                <w:sz w:val="26"/>
                <w:kern w:val="0"/>
                <w:szCs w:val="22"/>
                <w:rFonts w:eastAsia="Calibri" w:cs=""/>
                <w:lang w:val="ru-RU" w:eastAsia="en-US" w:bidi="ar-SA"/>
              </w:rPr>
              <w:fldChar w:fldCharType="end"/>
            </w:r>
            <w:r>
              <w:rPr>
                <w:rFonts w:eastAsia="Calibri" w:cs=""/>
                <w:kern w:val="0"/>
                <w:sz w:val="26"/>
                <w:szCs w:val="22"/>
                <w:lang w:val="ru-RU" w:eastAsia="en-US" w:bidi="ar-SA"/>
              </w:rPr>
              <w:t>) рассмотрение, оценка и сопоставление заявок Участников осуществляется с учетом привлекаемых субподрядчиков, и Участник подает заявку от лица Генерального подрядчика (подраздел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_Ref125361702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3.3</w:t>
            </w:r>
            <w:r>
              <w:rPr>
                <w:sz w:val="26"/>
                <w:kern w:val="0"/>
                <w:szCs w:val="22"/>
                <w:rFonts w:eastAsia="Calibri" w:cs=""/>
                <w:lang w:val="ru-RU" w:eastAsia="en-US" w:bidi="ar-SA"/>
              </w:rPr>
              <w:fldChar w:fldCharType="end"/>
            </w:r>
            <w:r>
              <w:rPr>
                <w:rFonts w:eastAsia="Calibri" w:cs=""/>
                <w:kern w:val="0"/>
                <w:sz w:val="26"/>
                <w:szCs w:val="22"/>
                <w:lang w:val="ru-RU" w:eastAsia="en-US" w:bidi="ar-SA"/>
              </w:rPr>
              <w:t>), а именно:</w:t>
            </w:r>
          </w:p>
          <w:p>
            <w:pPr>
              <w:pStyle w:val="Style28"/>
              <w:widowControl w:val="false"/>
              <w:numPr>
                <w:ilvl w:val="0"/>
                <w:numId w:val="9"/>
              </w:numPr>
              <w:suppressAutoHyphens w:val="true"/>
              <w:spacing w:before="60" w:after="60"/>
              <w:ind w:left="284" w:hanging="284"/>
              <w:rPr>
                <w:rFonts w:eastAsia="Calibri"/>
              </w:rPr>
            </w:pPr>
            <w:r>
              <w:rPr>
                <w:rFonts w:eastAsia="Calibri" w:cs=""/>
                <w:kern w:val="0"/>
                <w:sz w:val="26"/>
                <w:szCs w:val="22"/>
                <w:lang w:val="ru-RU" w:eastAsia="en-US" w:bidi="ar-SA"/>
              </w:rPr>
              <w:t>План распределения объемов поставки продукции (форма 11);</w:t>
            </w:r>
          </w:p>
          <w:p>
            <w:pPr>
              <w:pStyle w:val="Style28"/>
              <w:widowControl w:val="false"/>
              <w:numPr>
                <w:ilvl w:val="0"/>
                <w:numId w:val="9"/>
              </w:numPr>
              <w:suppressAutoHyphens w:val="true"/>
              <w:spacing w:before="60" w:after="60"/>
              <w:ind w:left="284" w:hanging="284"/>
              <w:rPr/>
            </w:pPr>
            <w:r>
              <w:rPr>
                <w:rFonts w:eastAsia="Calibri" w:cs=""/>
                <w:kern w:val="0"/>
                <w:sz w:val="26"/>
                <w:szCs w:val="22"/>
                <w:lang w:val="ru-RU" w:eastAsia="en-US" w:bidi="ar-SA"/>
              </w:rPr>
              <w:t>прочие документы, определенные в подразделе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_Ref125709777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8.6</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w:t>
            </w:r>
            <w:hyperlink w:anchor="Прил03_ТребованияУчастникам">
              <w:r>
                <w:rPr>
                  <w:rStyle w:val="Style13"/>
                  <w:rFonts w:eastAsia="Calibri" w:cs=""/>
                  <w:kern w:val="0"/>
                  <w:sz w:val="26"/>
                  <w:szCs w:val="22"/>
                  <w:lang w:val="ru-RU" w:eastAsia="en-US" w:bidi="ar-SA"/>
                </w:rPr>
                <w:t>Приложения № 3</w:t>
              </w:r>
            </w:hyperlink>
            <w:r>
              <w:rPr>
                <w:rStyle w:val="Style13"/>
                <w:rFonts w:eastAsia="Calibri" w:cs=""/>
                <w:kern w:val="0"/>
                <w:sz w:val="26"/>
                <w:szCs w:val="22"/>
                <w:lang w:val="ru-RU" w:eastAsia="en-US" w:bidi="ar-SA"/>
              </w:rPr>
              <w:t>;</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p>
        </w:tc>
        <w:tc>
          <w:tcPr>
            <w:tcW w:w="8075" w:type="dxa"/>
            <w:tcBorders/>
          </w:tcPr>
          <w:p>
            <w:pPr>
              <w:pStyle w:val="Style28"/>
              <w:widowControl w:val="false"/>
              <w:suppressAutoHyphens w:val="true"/>
              <w:spacing w:before="60" w:after="60"/>
              <w:rPr/>
            </w:pPr>
            <w:r>
              <w:rPr>
                <w:rFonts w:eastAsia="Calibri" w:cs=""/>
                <w:kern w:val="0"/>
                <w:sz w:val="26"/>
                <w:szCs w:val="22"/>
                <w:lang w:val="ru-RU" w:eastAsia="en-US" w:bidi="ar-SA"/>
              </w:rPr>
              <w:t>Документы (или их копии), подтверждающие соответствие предлагаемой к поставке продукции требованиям, установленным в </w:t>
            </w:r>
            <w:hyperlink w:anchor="Прил01_ТехТребования">
              <w:r>
                <w:rPr>
                  <w:rStyle w:val="Style13"/>
                  <w:rFonts w:eastAsia="Calibri" w:cs=""/>
                  <w:kern w:val="0"/>
                  <w:sz w:val="26"/>
                  <w:szCs w:val="22"/>
                  <w:lang w:val="ru-RU" w:eastAsia="en-US" w:bidi="ar-SA"/>
                </w:rPr>
                <w:t>Технических требованиях (Приложение № 1)</w:t>
              </w:r>
            </w:hyperlink>
            <w:r>
              <w:rPr>
                <w:rFonts w:eastAsia="Calibri" w:cs=""/>
                <w:kern w:val="0"/>
                <w:sz w:val="26"/>
                <w:szCs w:val="22"/>
                <w:lang w:val="ru-RU" w:eastAsia="en-US" w:bidi="ar-SA"/>
              </w:rPr>
              <w:t xml:space="preserve"> – предоставляются, если в </w:t>
            </w:r>
            <w:hyperlink w:anchor="Прил01_ТехТребования">
              <w:r>
                <w:rPr>
                  <w:rStyle w:val="Style13"/>
                  <w:rFonts w:eastAsia="Calibri" w:cs=""/>
                  <w:kern w:val="0"/>
                  <w:sz w:val="26"/>
                  <w:szCs w:val="22"/>
                  <w:lang w:val="ru-RU" w:eastAsia="en-US" w:bidi="ar-SA"/>
                </w:rPr>
                <w:t>Технических требованиях (Приложение № 1)</w:t>
              </w:r>
            </w:hyperlink>
            <w:r>
              <w:rPr>
                <w:rFonts w:eastAsia="Calibri" w:cs=""/>
                <w:kern w:val="0"/>
                <w:sz w:val="26"/>
                <w:szCs w:val="22"/>
                <w:lang w:val="ru-RU" w:eastAsia="en-US" w:bidi="ar-SA"/>
              </w:rPr>
              <w:t xml:space="preserve"> было установлено соответствующее требование;</w:t>
            </w:r>
          </w:p>
        </w:tc>
      </w:tr>
      <w:tr>
        <w:trPr/>
        <w:tc>
          <w:tcPr>
            <w:tcW w:w="707" w:type="dxa"/>
            <w:tcBorders/>
          </w:tcPr>
          <w:p>
            <w:pPr>
              <w:pStyle w:val="Style28"/>
              <w:widowControl w:val="false"/>
              <w:numPr>
                <w:ilvl w:val="0"/>
                <w:numId w:val="6"/>
              </w:numPr>
              <w:suppressAutoHyphens w:val="true"/>
              <w:spacing w:before="60" w:after="60"/>
              <w:ind w:left="170" w:hanging="0"/>
              <w:jc w:val="center"/>
              <w:rPr>
                <w:rFonts w:eastAsia="Calibri"/>
              </w:rPr>
            </w:pPr>
            <w:r>
              <w:rPr>
                <w:rFonts w:eastAsia="Calibri"/>
              </w:rPr>
            </w:r>
          </w:p>
        </w:tc>
        <w:tc>
          <w:tcPr>
            <w:tcW w:w="8075" w:type="dxa"/>
            <w:tcBorders/>
          </w:tcPr>
          <w:p>
            <w:pPr>
              <w:pStyle w:val="Style28"/>
              <w:widowControl w:val="false"/>
              <w:suppressAutoHyphens w:val="true"/>
              <w:spacing w:before="60" w:after="60"/>
              <w:rPr/>
            </w:pPr>
            <w:r>
              <w:rPr>
                <w:rFonts w:eastAsia="Calibri" w:cs=""/>
                <w:kern w:val="0"/>
                <w:sz w:val="26"/>
                <w:szCs w:val="22"/>
                <w:lang w:val="ru-RU" w:eastAsia="en-US" w:bidi="ar-SA"/>
              </w:rPr>
              <w:t xml:space="preserve">Электронная копия бухгалтерского баланса (ОКУД 0710001) и отчета о финансовых результатах (ОКУД 0710002) за последний завершенный финансовый год – предоставляется, если на основании ПП 395 в государственном информационном ресурсе https://bo.nalog.ru не размещаются сведения о бухгалтерской (финансовой) отчетности Участника и если в </w:t>
            </w:r>
            <w:hyperlink w:anchor="Прил08_ПорядокОценки">
              <w:r>
                <w:rPr>
                  <w:rStyle w:val="Style13"/>
                  <w:rFonts w:eastAsia="Calibri" w:cs=""/>
                  <w:kern w:val="0"/>
                  <w:sz w:val="26"/>
                  <w:szCs w:val="22"/>
                  <w:lang w:val="ru-RU" w:eastAsia="en-US" w:bidi="ar-SA"/>
                </w:rPr>
                <w:t>Порядке и критериях оценки и сопоставления заявок (Приложение № 8)</w:t>
              </w:r>
            </w:hyperlink>
            <w:r>
              <w:rPr>
                <w:rFonts w:eastAsia="Calibri" w:cs=""/>
                <w:kern w:val="0"/>
                <w:sz w:val="26"/>
                <w:szCs w:val="22"/>
                <w:lang w:val="ru-RU" w:eastAsia="en-US" w:bidi="ar-SA"/>
              </w:rPr>
              <w:t xml:space="preserve"> установлен соответствующий критерий оценки в части оценки финансового состояния (устойчивости) Участника.</w:t>
            </w:r>
          </w:p>
        </w:tc>
      </w:tr>
    </w:tbl>
    <w:p>
      <w:pPr>
        <w:sectPr>
          <w:headerReference w:type="default" r:id="rId26"/>
          <w:headerReference w:type="first" r:id="rId27"/>
          <w:footerReference w:type="default" r:id="rId28"/>
          <w:footerReference w:type="first" r:id="rId29"/>
          <w:footnotePr>
            <w:numFmt w:val="decimal"/>
          </w:footnotePr>
          <w:type w:val="nextPage"/>
          <w:pgSz w:w="11906" w:h="16838"/>
          <w:pgMar w:left="1134" w:right="850" w:gutter="0" w:header="567" w:top="851" w:footer="567" w:bottom="851"/>
          <w:pgNumType w:fmt="decimal"/>
          <w:formProt w:val="false"/>
          <w:textDirection w:val="lrTb"/>
          <w:docGrid w:type="default" w:linePitch="360" w:charSpace="0"/>
        </w:sectPr>
        <w:pStyle w:val="Style24"/>
        <w:rPr>
          <w:rStyle w:val="Style10"/>
          <w:i w:val="false"/>
          <w:i w:val="false"/>
          <w:iCs w:val="false"/>
          <w:shd w:fill="auto" w:val="clear"/>
        </w:rPr>
      </w:pPr>
      <w:r>
        <w:rPr>
          <w:rStyle w:val="Style10"/>
          <w:i w:val="false"/>
          <w:iCs w:val="false"/>
          <w:shd w:fill="auto" w:val="clear"/>
        </w:rPr>
        <w:t>Если по каким-либо причинам Участник не может предоставить какой-либо из требуемых документов, он может в составе заявки приложить составленную в произвольной форме справку, объясняющую причину отсутствия требуемого документа (однако предоставление данной справки носит исключительно информационный характер и не может являться основанием для снятия с Участника обязанности по предоставлению требуемого документа).</w:t>
      </w:r>
    </w:p>
    <w:p>
      <w:pPr>
        <w:pStyle w:val="Style22"/>
        <w:rPr/>
      </w:pPr>
      <w:bookmarkStart w:id="364" w:name="_Toc188004713"/>
      <w:bookmarkStart w:id="365" w:name="_Ref125365264"/>
      <w:bookmarkStart w:id="366" w:name="Прил07_ОтборочныеКритерии"/>
      <w:bookmarkEnd w:id="366"/>
      <w:r>
        <w:rPr/>
        <w:t>Приложение № 7 – Отборочные критерии рассмотрения заявок</w:t>
      </w:r>
      <w:bookmarkEnd w:id="364"/>
      <w:bookmarkEnd w:id="365"/>
    </w:p>
    <w:p>
      <w:pPr>
        <w:pStyle w:val="Style23"/>
        <w:spacing w:before="360" w:after="120"/>
        <w:rPr>
          <w:rStyle w:val="Style10"/>
          <w:i w:val="false"/>
          <w:i w:val="false"/>
          <w:iCs w:val="false"/>
          <w:shd w:fill="auto" w:val="clear"/>
        </w:rPr>
      </w:pPr>
      <w:bookmarkStart w:id="367" w:name="_Toc188004714"/>
      <w:r>
        <w:rPr>
          <w:rStyle w:val="Style10"/>
          <w:i w:val="false"/>
          <w:iCs w:val="false"/>
          <w:shd w:fill="auto" w:val="clear"/>
        </w:rPr>
        <w:t>Отборочные критерии рассмотрения заявок</w:t>
      </w:r>
      <w:bookmarkEnd w:id="367"/>
    </w:p>
    <w:tbl>
      <w:tblPr>
        <w:tblStyle w:val="afff6"/>
        <w:tblW w:w="15126"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1411"/>
        <w:gridCol w:w="8508"/>
        <w:gridCol w:w="3116"/>
        <w:gridCol w:w="2090"/>
      </w:tblGrid>
      <w:tr>
        <w:trPr>
          <w:cnfStyle w:val="100000000000" w:firstRow="1" w:lastRow="0" w:firstColumn="0" w:lastColumn="0" w:oddVBand="0" w:evenVBand="0" w:oddHBand="0" w:evenHBand="0" w:firstRowFirstColumn="0" w:firstRowLastColumn="0" w:lastRowFirstColumn="0" w:lastRowLastColumn="0"/>
        </w:trPr>
        <w:tc>
          <w:tcPr>
            <w:tcW w:w="1411" w:type="dxa"/>
            <w:tcBorders/>
          </w:tcPr>
          <w:p>
            <w:pPr>
              <w:pStyle w:val="Style28"/>
              <w:keepNext w:val="true"/>
              <w:widowControl w:val="false"/>
              <w:suppressAutoHyphens w:val="true"/>
              <w:spacing w:before="60" w:after="60"/>
              <w:jc w:val="center"/>
              <w:rPr>
                <w:rFonts w:eastAsia="Calibri"/>
              </w:rPr>
            </w:pPr>
            <w:r>
              <w:rPr>
                <w:rFonts w:eastAsia="Calibri" w:cs=""/>
                <w:b/>
                <w:kern w:val="0"/>
                <w:sz w:val="26"/>
                <w:szCs w:val="22"/>
                <w:lang w:val="ru-RU" w:eastAsia="en-US" w:bidi="ar-SA"/>
              </w:rPr>
              <w:t>Номер</w:t>
              <w:br/>
              <w:t>критерия</w:t>
            </w:r>
          </w:p>
        </w:tc>
        <w:tc>
          <w:tcPr>
            <w:tcW w:w="8508" w:type="dxa"/>
            <w:tcBorders/>
          </w:tcPr>
          <w:p>
            <w:pPr>
              <w:pStyle w:val="Style28"/>
              <w:keepNext w:val="true"/>
              <w:widowControl w:val="false"/>
              <w:suppressAutoHyphens w:val="true"/>
              <w:spacing w:before="60" w:after="60"/>
              <w:jc w:val="center"/>
              <w:rPr>
                <w:rFonts w:eastAsia="Calibri"/>
              </w:rPr>
            </w:pPr>
            <w:r>
              <w:rPr>
                <w:rFonts w:eastAsia="Calibri" w:cs=""/>
                <w:b/>
                <w:kern w:val="0"/>
                <w:sz w:val="26"/>
                <w:szCs w:val="22"/>
                <w:lang w:val="ru-RU" w:eastAsia="en-US" w:bidi="ar-SA"/>
              </w:rPr>
              <w:t>Наименование</w:t>
              <w:br/>
              <w:t>отборочного критерия</w:t>
            </w:r>
          </w:p>
        </w:tc>
        <w:tc>
          <w:tcPr>
            <w:tcW w:w="3116" w:type="dxa"/>
            <w:tcBorders/>
          </w:tcPr>
          <w:p>
            <w:pPr>
              <w:pStyle w:val="Style28"/>
              <w:keepNext w:val="true"/>
              <w:widowControl w:val="false"/>
              <w:suppressAutoHyphens w:val="true"/>
              <w:spacing w:before="60" w:after="60"/>
              <w:jc w:val="center"/>
              <w:rPr>
                <w:rFonts w:eastAsia="Calibri"/>
              </w:rPr>
            </w:pPr>
            <w:r>
              <w:rPr>
                <w:rFonts w:eastAsia="Calibri" w:cs=""/>
                <w:b/>
                <w:kern w:val="0"/>
                <w:sz w:val="26"/>
                <w:szCs w:val="22"/>
                <w:lang w:val="ru-RU" w:eastAsia="en-US" w:bidi="ar-SA"/>
              </w:rPr>
              <w:t>Номер пункта</w:t>
              <w:br/>
              <w:t>Документации о закупке</w:t>
            </w:r>
          </w:p>
        </w:tc>
        <w:tc>
          <w:tcPr>
            <w:tcW w:w="2090" w:type="dxa"/>
            <w:tcBorders/>
          </w:tcPr>
          <w:p>
            <w:pPr>
              <w:pStyle w:val="Style28"/>
              <w:keepNext w:val="true"/>
              <w:widowControl w:val="false"/>
              <w:suppressAutoHyphens w:val="true"/>
              <w:spacing w:before="60" w:after="60"/>
              <w:jc w:val="center"/>
              <w:rPr>
                <w:rFonts w:eastAsia="Calibri"/>
              </w:rPr>
            </w:pPr>
            <w:r>
              <w:rPr>
                <w:rFonts w:eastAsia="Calibri" w:cs=""/>
                <w:b/>
                <w:kern w:val="0"/>
                <w:sz w:val="26"/>
                <w:szCs w:val="22"/>
                <w:lang w:val="ru-RU" w:eastAsia="en-US" w:bidi="ar-SA"/>
              </w:rPr>
              <w:t>Направления</w:t>
              <w:br/>
              <w:t>оценки заявок*</w:t>
            </w:r>
          </w:p>
        </w:tc>
      </w:tr>
      <w:tr>
        <w:trPr/>
        <w:tc>
          <w:tcPr>
            <w:tcW w:w="9919" w:type="dxa"/>
            <w:gridSpan w:val="2"/>
            <w:tcBorders/>
          </w:tcPr>
          <w:p>
            <w:pPr>
              <w:pStyle w:val="Style28"/>
              <w:keepNext w:val="true"/>
              <w:widowControl w:val="false"/>
              <w:suppressAutoHyphens w:val="true"/>
              <w:spacing w:before="60" w:after="60"/>
              <w:rPr>
                <w:b/>
                <w:bCs/>
              </w:rPr>
            </w:pPr>
            <w:r>
              <w:rPr>
                <w:rFonts w:eastAsia="Calibri" w:cs=""/>
                <w:b/>
                <w:bCs/>
                <w:kern w:val="0"/>
                <w:sz w:val="26"/>
                <w:szCs w:val="22"/>
                <w:lang w:val="ru-RU" w:eastAsia="en-US" w:bidi="ar-SA"/>
              </w:rPr>
              <w:t>Состав заявки и правильность ее оформления, в том числе:</w:t>
            </w:r>
          </w:p>
        </w:tc>
        <w:tc>
          <w:tcPr>
            <w:tcW w:w="3116" w:type="dxa"/>
            <w:tcBorders/>
          </w:tcPr>
          <w:p>
            <w:pPr>
              <w:pStyle w:val="Style28"/>
              <w:widowControl w:val="false"/>
              <w:suppressAutoHyphens w:val="true"/>
              <w:spacing w:before="60" w:after="60"/>
              <w:jc w:val="center"/>
              <w:rPr>
                <w:b/>
                <w:bCs/>
              </w:rPr>
            </w:pPr>
            <w:r>
              <w:rPr>
                <w:rFonts w:eastAsia="Calibri" w:cs=""/>
                <w:b/>
                <w:bCs/>
                <w:kern w:val="0"/>
                <w:sz w:val="26"/>
                <w:szCs w:val="22"/>
                <w:lang w:val="ru-RU" w:eastAsia="en-US" w:bidi="ar-SA"/>
              </w:rPr>
              <w:t>–</w:t>
            </w:r>
          </w:p>
        </w:tc>
        <w:tc>
          <w:tcPr>
            <w:tcW w:w="2090" w:type="dxa"/>
            <w:tcBorders/>
          </w:tcPr>
          <w:p>
            <w:pPr>
              <w:pStyle w:val="Style28"/>
              <w:widowControl w:val="false"/>
              <w:suppressAutoHyphens w:val="true"/>
              <w:spacing w:before="60" w:after="60"/>
              <w:jc w:val="center"/>
              <w:rPr>
                <w:b/>
                <w:bCs/>
              </w:rPr>
            </w:pPr>
            <w:r>
              <w:rPr>
                <w:rFonts w:eastAsia="Calibri" w:cs=""/>
                <w:b/>
                <w:bCs/>
                <w:kern w:val="0"/>
                <w:sz w:val="26"/>
                <w:szCs w:val="22"/>
                <w:lang w:val="ru-RU" w:eastAsia="en-US" w:bidi="ar-SA"/>
              </w:rPr>
              <w:t>–</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pPr>
            <w:r>
              <w:rPr>
                <w:rFonts w:eastAsia="Calibri" w:cs=""/>
                <w:kern w:val="0"/>
                <w:sz w:val="26"/>
                <w:szCs w:val="22"/>
                <w:lang w:val="ru-RU" w:eastAsia="en-US" w:bidi="ar-SA"/>
              </w:rPr>
              <w:t xml:space="preserve">Наличие в составе заявки обязательных к предоставлению (для целей рассмотрения заявок в рамках отборочной стадии) документов в соответствии с требованиями </w:t>
            </w:r>
            <w:hyperlink w:anchor="Прил06_СоставЗаявки">
              <w:r>
                <w:rPr>
                  <w:rStyle w:val="Style13"/>
                  <w:rFonts w:eastAsia="Calibri" w:cs=""/>
                  <w:kern w:val="0"/>
                  <w:sz w:val="26"/>
                  <w:szCs w:val="22"/>
                  <w:lang w:val="ru-RU" w:eastAsia="en-US" w:bidi="ar-SA"/>
                </w:rPr>
                <w:t>Приложения № 6 «Состав заявки»</w:t>
              </w:r>
            </w:hyperlink>
            <w:r>
              <w:rPr>
                <w:rFonts w:eastAsia="Calibri" w:cs=""/>
                <w:kern w:val="0"/>
                <w:sz w:val="26"/>
                <w:szCs w:val="22"/>
                <w:lang w:val="ru-RU" w:eastAsia="en-US" w:bidi="ar-SA"/>
              </w:rPr>
              <w:t>, а также правильность их оформления (в т.ч. в части наличия должных печатей, подписей, формы заверения, языка и валюты заявки)</w:t>
            </w:r>
          </w:p>
        </w:tc>
        <w:tc>
          <w:tcPr>
            <w:tcW w:w="3116" w:type="dxa"/>
            <w:tcBorders/>
          </w:tcPr>
          <w:p>
            <w:pPr>
              <w:pStyle w:val="Style28"/>
              <w:widowControl w:val="false"/>
              <w:suppressAutoHyphens w:val="true"/>
              <w:spacing w:before="60" w:after="60"/>
              <w:jc w:val="center"/>
              <w:rPr>
                <w:rStyle w:val="Style13"/>
              </w:rPr>
            </w:pPr>
            <w:r>
              <w:rPr>
                <w:rFonts w:eastAsia="Calibri" w:cs=""/>
                <w:kern w:val="0"/>
                <w:sz w:val="26"/>
                <w:szCs w:val="22"/>
                <w:lang w:val="ru-RU" w:eastAsia="en-US" w:bidi="ar-SA"/>
              </w:rPr>
              <w:t>подразделы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_Ref130394681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4.3</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_Ref125362119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4.6</w:t>
            </w:r>
            <w:r>
              <w:rPr>
                <w:sz w:val="26"/>
                <w:kern w:val="0"/>
                <w:szCs w:val="22"/>
                <w:rFonts w:eastAsia="Calibri" w:cs=""/>
                <w:lang w:val="ru-RU" w:eastAsia="en-US" w:bidi="ar-SA"/>
              </w:rPr>
              <w:fldChar w:fldCharType="end"/>
            </w:r>
            <w:r>
              <w:rPr>
                <w:rFonts w:eastAsia="Calibri" w:cs=""/>
                <w:kern w:val="0"/>
                <w:sz w:val="26"/>
                <w:szCs w:val="22"/>
                <w:lang w:val="ru-RU" w:eastAsia="en-US" w:bidi="ar-SA"/>
              </w:rPr>
              <w:t>,</w:t>
              <w:br/>
            </w:r>
            <w:hyperlink w:anchor="Прил06_СоставЗаявки">
              <w:r>
                <w:rPr>
                  <w:rStyle w:val="Style13"/>
                  <w:rFonts w:eastAsia="Calibri" w:cs=""/>
                  <w:kern w:val="0"/>
                  <w:sz w:val="26"/>
                  <w:szCs w:val="22"/>
                  <w:lang w:val="ru-RU" w:eastAsia="en-US" w:bidi="ar-SA"/>
                </w:rPr>
                <w:t>Приложение № 6</w:t>
              </w:r>
            </w:hyperlink>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Орг, Тех,</w:t>
              <w:br/>
              <w:t>Цена, Юр</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Наличие обеспечения обязательств Участника, связанного с подачей заявки, в виде банковской гарантии и ее соответствие установленным требованиям Документации о закупке – если подразделом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_Ref125359973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1.2</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предусмотрена обязанность Участников предоставить обеспечение заявки на участие в закупке и в случае отсутствия внесенных Участником денежных средств на индивидуальный счет, открытый Участнику Оператором ЭП в соответствии с Регламентом ЭП</w:t>
            </w:r>
          </w:p>
        </w:tc>
        <w:tc>
          <w:tcPr>
            <w:tcW w:w="3116"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_Ref130455226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4.17</w:t>
            </w:r>
            <w:r>
              <w:rPr>
                <w:sz w:val="26"/>
                <w:kern w:val="0"/>
                <w:szCs w:val="22"/>
                <w:rFonts w:eastAsia="Calibri" w:cs=""/>
                <w:lang w:val="ru-RU" w:eastAsia="en-US" w:bidi="ar-SA"/>
              </w:rPr>
              <w:fldChar w:fldCharType="end"/>
            </w:r>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Орг – в части наличия сведений в реестре,</w:t>
            </w:r>
          </w:p>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Фин – в части соответствия</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Отсутствие в материалах (документах) заявки недостоверных сведений или намеренно искаженной информации и (или) документов, внутренних противоречий между различными частями и (или) документами заявки, в том числе по тексту внутри одного документа, а также противоречий между документами заявки и сведениями, указанными Участником в структурированных формах на ЭП</w:t>
            </w:r>
          </w:p>
        </w:tc>
        <w:tc>
          <w:tcPr>
            <w:tcW w:w="3116"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_Ref130394681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4.3</w:t>
            </w:r>
            <w:r>
              <w:rPr>
                <w:sz w:val="26"/>
                <w:kern w:val="0"/>
                <w:szCs w:val="22"/>
                <w:rFonts w:eastAsia="Calibri" w:cs=""/>
                <w:lang w:val="ru-RU" w:eastAsia="en-US" w:bidi="ar-SA"/>
              </w:rPr>
              <w:fldChar w:fldCharType="end"/>
            </w:r>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Орг, Тех,</w:t>
              <w:br/>
              <w:t>Цена, Юр</w:t>
            </w:r>
          </w:p>
        </w:tc>
      </w:tr>
      <w:tr>
        <w:trPr/>
        <w:tc>
          <w:tcPr>
            <w:tcW w:w="9919" w:type="dxa"/>
            <w:gridSpan w:val="2"/>
            <w:tcBorders/>
          </w:tcPr>
          <w:p>
            <w:pPr>
              <w:pStyle w:val="Style28"/>
              <w:keepNext w:val="true"/>
              <w:widowControl w:val="false"/>
              <w:suppressAutoHyphens w:val="true"/>
              <w:spacing w:before="60" w:after="60"/>
              <w:rPr>
                <w:b/>
                <w:bCs/>
              </w:rPr>
            </w:pPr>
            <w:r>
              <w:rPr>
                <w:rFonts w:eastAsia="Calibri" w:cs=""/>
                <w:b/>
                <w:bCs/>
                <w:kern w:val="0"/>
                <w:sz w:val="26"/>
                <w:szCs w:val="22"/>
                <w:lang w:val="ru-RU" w:eastAsia="en-US" w:bidi="ar-SA"/>
              </w:rPr>
              <w:t>Соответствие Письма о подаче оферты:</w:t>
            </w:r>
          </w:p>
        </w:tc>
        <w:tc>
          <w:tcPr>
            <w:tcW w:w="3116" w:type="dxa"/>
            <w:tcBorders/>
          </w:tcPr>
          <w:p>
            <w:pPr>
              <w:pStyle w:val="Style28"/>
              <w:keepNext w:val="true"/>
              <w:widowControl w:val="false"/>
              <w:suppressAutoHyphens w:val="true"/>
              <w:spacing w:before="60" w:after="60"/>
              <w:jc w:val="center"/>
              <w:rPr>
                <w:rFonts w:eastAsia="Calibri"/>
              </w:rPr>
            </w:pPr>
            <w:r>
              <w:rPr>
                <w:rFonts w:eastAsia="Calibri" w:cs=""/>
                <w:b/>
                <w:bCs/>
                <w:kern w:val="0"/>
                <w:sz w:val="26"/>
                <w:szCs w:val="22"/>
                <w:lang w:val="ru-RU" w:eastAsia="en-US" w:bidi="ar-SA"/>
              </w:rPr>
              <w:t>–</w:t>
            </w:r>
          </w:p>
        </w:tc>
        <w:tc>
          <w:tcPr>
            <w:tcW w:w="2090" w:type="dxa"/>
            <w:tcBorders/>
          </w:tcPr>
          <w:p>
            <w:pPr>
              <w:pStyle w:val="Style28"/>
              <w:keepNext w:val="true"/>
              <w:widowControl w:val="false"/>
              <w:suppressAutoHyphens w:val="true"/>
              <w:spacing w:before="60" w:after="60"/>
              <w:jc w:val="center"/>
              <w:rPr>
                <w:rFonts w:eastAsia="Calibri"/>
              </w:rPr>
            </w:pPr>
            <w:r>
              <w:rPr>
                <w:rFonts w:eastAsia="Calibri" w:cs=""/>
                <w:b/>
                <w:bCs/>
                <w:kern w:val="0"/>
                <w:sz w:val="26"/>
                <w:szCs w:val="22"/>
                <w:lang w:val="ru-RU" w:eastAsia="en-US" w:bidi="ar-SA"/>
              </w:rPr>
              <w:t>–</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Соответствие (в том числе содержание) Письма о подаче оферты установленной форме и иным требованиям Документации о закупке, в т.ч. в части наличия должных печатей, подписей, формы заверения, языка, валюты и срока действия заявки</w:t>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подразделы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_Ref130394681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4.3</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_Ref125362119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4.6</w:t>
            </w:r>
            <w:r>
              <w:rPr>
                <w:sz w:val="26"/>
                <w:kern w:val="0"/>
                <w:szCs w:val="22"/>
                <w:rFonts w:eastAsia="Calibri" w:cs=""/>
                <w:lang w:val="ru-RU" w:eastAsia="en-US" w:bidi="ar-SA"/>
              </w:rPr>
              <w:fldChar w:fldCharType="end"/>
            </w:r>
            <w:r>
              <w:rPr>
                <w:rFonts w:eastAsia="Calibri" w:cs=""/>
                <w:kern w:val="0"/>
                <w:sz w:val="26"/>
                <w:szCs w:val="22"/>
                <w:lang w:val="ru-RU" w:eastAsia="en-US" w:bidi="ar-SA"/>
              </w:rPr>
              <w:br/>
            </w:r>
            <w:hyperlink w:anchor="Прил04_ФормыЗаявки">
              <w:r>
                <w:rPr>
                  <w:rStyle w:val="Style13"/>
                  <w:rFonts w:eastAsia="Calibri" w:cs=""/>
                  <w:kern w:val="0"/>
                  <w:sz w:val="26"/>
                  <w:szCs w:val="22"/>
                  <w:lang w:val="ru-RU" w:eastAsia="en-US" w:bidi="ar-SA"/>
                </w:rPr>
                <w:t>Приложение № 4</w:t>
              </w:r>
            </w:hyperlink>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Орг</w:t>
            </w:r>
          </w:p>
        </w:tc>
      </w:tr>
      <w:tr>
        <w:trPr/>
        <w:tc>
          <w:tcPr>
            <w:tcW w:w="9919" w:type="dxa"/>
            <w:gridSpan w:val="2"/>
            <w:tcBorders/>
          </w:tcPr>
          <w:p>
            <w:pPr>
              <w:pStyle w:val="Style28"/>
              <w:keepNext w:val="true"/>
              <w:widowControl w:val="false"/>
              <w:suppressAutoHyphens w:val="true"/>
              <w:spacing w:before="60" w:after="60"/>
              <w:rPr>
                <w:b/>
                <w:bCs/>
              </w:rPr>
            </w:pPr>
            <w:r>
              <w:rPr>
                <w:rFonts w:eastAsia="Calibri" w:cs=""/>
                <w:b/>
                <w:bCs/>
                <w:kern w:val="0"/>
                <w:sz w:val="26"/>
                <w:szCs w:val="22"/>
                <w:lang w:val="ru-RU" w:eastAsia="en-US" w:bidi="ar-SA"/>
              </w:rPr>
              <w:t>Соответствие Участника установленным требованиям Документации о закупке, в том числе:</w:t>
            </w:r>
          </w:p>
        </w:tc>
        <w:tc>
          <w:tcPr>
            <w:tcW w:w="3116" w:type="dxa"/>
            <w:tcBorders/>
          </w:tcPr>
          <w:p>
            <w:pPr>
              <w:pStyle w:val="Style28"/>
              <w:widowControl w:val="false"/>
              <w:suppressAutoHyphens w:val="true"/>
              <w:spacing w:before="60" w:after="60"/>
              <w:jc w:val="center"/>
              <w:rPr>
                <w:b/>
                <w:bCs/>
              </w:rPr>
            </w:pPr>
            <w:r>
              <w:rPr>
                <w:rFonts w:eastAsia="Calibri" w:cs=""/>
                <w:b/>
                <w:bCs/>
                <w:kern w:val="0"/>
                <w:sz w:val="26"/>
                <w:szCs w:val="22"/>
                <w:lang w:val="ru-RU" w:eastAsia="en-US" w:bidi="ar-SA"/>
              </w:rPr>
              <w:t>–</w:t>
            </w:r>
          </w:p>
        </w:tc>
        <w:tc>
          <w:tcPr>
            <w:tcW w:w="2090" w:type="dxa"/>
            <w:tcBorders/>
          </w:tcPr>
          <w:p>
            <w:pPr>
              <w:pStyle w:val="Style28"/>
              <w:widowControl w:val="false"/>
              <w:suppressAutoHyphens w:val="true"/>
              <w:spacing w:before="60" w:after="60"/>
              <w:jc w:val="center"/>
              <w:rPr>
                <w:b/>
                <w:bCs/>
              </w:rPr>
            </w:pPr>
            <w:r>
              <w:rPr>
                <w:rFonts w:eastAsia="Calibri" w:cs=""/>
                <w:b/>
                <w:bCs/>
                <w:kern w:val="0"/>
                <w:sz w:val="26"/>
                <w:szCs w:val="22"/>
                <w:lang w:val="ru-RU" w:eastAsia="en-US" w:bidi="ar-SA"/>
              </w:rPr>
              <w:t>–</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Соответствие Участника пункту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_Ref125552433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1</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обязательных требований к Участникам</w:t>
            </w:r>
          </w:p>
          <w:p>
            <w:pPr>
              <w:pStyle w:val="Style28"/>
              <w:widowControl w:val="false"/>
              <w:suppressAutoHyphens w:val="true"/>
              <w:spacing w:before="60" w:after="60"/>
              <w:rPr>
                <w:i/>
                <w:i/>
                <w:iCs/>
              </w:rPr>
            </w:pPr>
            <w:r>
              <w:rPr>
                <w:rFonts w:eastAsia="Calibri" w:cs=""/>
                <w:i/>
                <w:iCs/>
                <w:kern w:val="0"/>
                <w:sz w:val="26"/>
                <w:szCs w:val="22"/>
                <w:lang w:val="ru-RU" w:eastAsia="en-US" w:bidi="ar-SA"/>
              </w:rPr>
              <w:t>(в рамках осуществления экспертизы заявки Участника в том числе проверяется наличие у него статуса «аккредитован» / «аккредитация не требуется», или проводится процедура его аккредитации (при</w:t>
            </w:r>
            <w:r>
              <w:rPr>
                <w:rFonts w:eastAsia="Calibri" w:cs=""/>
                <w:i/>
                <w:iCs/>
                <w:kern w:val="0"/>
                <w:sz w:val="26"/>
                <w:szCs w:val="22"/>
                <w:lang w:val="en-US" w:eastAsia="en-US" w:bidi="ar-SA"/>
              </w:rPr>
              <w:t> </w:t>
            </w:r>
            <w:r>
              <w:rPr>
                <w:rFonts w:eastAsia="Calibri" w:cs=""/>
                <w:i/>
                <w:iCs/>
                <w:kern w:val="0"/>
                <w:sz w:val="26"/>
                <w:szCs w:val="22"/>
                <w:lang w:val="ru-RU" w:eastAsia="en-US" w:bidi="ar-SA"/>
              </w:rPr>
              <w:t>необходимости). В рамках заключения Договора Победитель в целях подтверждения своего соответствия предоставляет документы в порядке, предусмотренном подразделом </w:t>
            </w:r>
            <w:r>
              <w:rPr>
                <w:rFonts w:eastAsia="Calibri" w:cs=""/>
                <w:i/>
                <w:iCs/>
                <w:kern w:val="0"/>
                <w:sz w:val="26"/>
                <w:szCs w:val="22"/>
                <w:lang w:val="ru-RU" w:eastAsia="en-US" w:bidi="ar-SA"/>
              </w:rPr>
              <w:fldChar w:fldCharType="begin"/>
            </w:r>
            <w:r>
              <w:rPr>
                <w:sz w:val="26"/>
                <w:i/>
                <w:kern w:val="0"/>
                <w:szCs w:val="22"/>
                <w:iCs/>
                <w:rFonts w:eastAsia="Calibri" w:cs=""/>
                <w:lang w:val="ru-RU" w:eastAsia="en-US" w:bidi="ar-SA"/>
              </w:rPr>
              <w:instrText xml:space="preserve"> REF _Ref138232981 \r \h </w:instrText>
            </w:r>
            <w:r>
              <w:rPr>
                <w:sz w:val="26"/>
                <w:i/>
                <w:kern w:val="0"/>
                <w:szCs w:val="22"/>
                <w:iCs/>
                <w:rFonts w:eastAsia="Calibri" w:cs=""/>
                <w:lang w:val="ru-RU" w:eastAsia="en-US" w:bidi="ar-SA"/>
              </w:rPr>
              <w:fldChar w:fldCharType="separate"/>
            </w:r>
            <w:r>
              <w:rPr>
                <w:sz w:val="26"/>
                <w:i/>
                <w:kern w:val="0"/>
                <w:szCs w:val="22"/>
                <w:iCs/>
                <w:rFonts w:eastAsia="Calibri" w:cs=""/>
                <w:lang w:val="ru-RU" w:eastAsia="en-US" w:bidi="ar-SA"/>
              </w:rPr>
              <w:t>5.2</w:t>
            </w:r>
            <w:r>
              <w:rPr>
                <w:sz w:val="26"/>
                <w:i/>
                <w:kern w:val="0"/>
                <w:szCs w:val="22"/>
                <w:iCs/>
                <w:rFonts w:eastAsia="Calibri" w:cs=""/>
                <w:lang w:val="ru-RU" w:eastAsia="en-US" w:bidi="ar-SA"/>
              </w:rPr>
              <w:fldChar w:fldCharType="end"/>
            </w:r>
            <w:r>
              <w:rPr>
                <w:rFonts w:eastAsia="Calibri" w:cs=""/>
                <w:i/>
                <w:iCs/>
                <w:kern w:val="0"/>
                <w:sz w:val="26"/>
                <w:szCs w:val="22"/>
                <w:lang w:val="ru-RU" w:eastAsia="en-US" w:bidi="ar-SA"/>
              </w:rPr>
              <w:t>)</w:t>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_Ref125361435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8.2</w:t>
            </w:r>
            <w:r>
              <w:rPr>
                <w:sz w:val="26"/>
                <w:kern w:val="0"/>
                <w:szCs w:val="22"/>
                <w:rFonts w:eastAsia="Calibri" w:cs=""/>
                <w:lang w:val="ru-RU" w:eastAsia="en-US" w:bidi="ar-SA"/>
              </w:rPr>
              <w:fldChar w:fldCharType="end"/>
            </w:r>
            <w:r>
              <w:rPr>
                <w:rFonts w:eastAsia="Calibri" w:cs=""/>
                <w:kern w:val="0"/>
                <w:sz w:val="26"/>
                <w:szCs w:val="22"/>
                <w:lang w:val="ru-RU" w:eastAsia="en-US" w:bidi="ar-SA"/>
              </w:rPr>
              <w:br/>
              <w:t>(</w:t>
            </w:r>
            <w:hyperlink w:anchor="Прил03_ТребованияУчастникам">
              <w:r>
                <w:rPr>
                  <w:rStyle w:val="Style13"/>
                  <w:rFonts w:eastAsia="Calibri" w:cs=""/>
                  <w:kern w:val="0"/>
                  <w:sz w:val="26"/>
                  <w:szCs w:val="22"/>
                  <w:lang w:val="ru-RU" w:eastAsia="en-US" w:bidi="ar-SA"/>
                </w:rPr>
                <w:t>Приложение № 3</w:t>
              </w:r>
            </w:hyperlink>
            <w:r>
              <w:rPr>
                <w:rFonts w:eastAsia="Calibri" w:cs=""/>
                <w:kern w:val="0"/>
                <w:sz w:val="26"/>
                <w:szCs w:val="22"/>
                <w:lang w:val="ru-RU" w:eastAsia="en-US" w:bidi="ar-SA"/>
              </w:rPr>
              <w:t>)</w:t>
            </w:r>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Орг, Юр</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Соответствие Участника пункту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_Ref139028406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3</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обязательных требований к Участникам</w:t>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_Ref125361435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8.2</w:t>
            </w:r>
            <w:r>
              <w:rPr>
                <w:sz w:val="26"/>
                <w:kern w:val="0"/>
                <w:szCs w:val="22"/>
                <w:rFonts w:eastAsia="Calibri" w:cs=""/>
                <w:lang w:val="ru-RU" w:eastAsia="en-US" w:bidi="ar-SA"/>
              </w:rPr>
              <w:fldChar w:fldCharType="end"/>
            </w:r>
            <w:r>
              <w:rPr>
                <w:rFonts w:eastAsia="Calibri" w:cs=""/>
                <w:kern w:val="0"/>
                <w:sz w:val="26"/>
                <w:szCs w:val="22"/>
                <w:lang w:val="ru-RU" w:eastAsia="en-US" w:bidi="ar-SA"/>
              </w:rPr>
              <w:br/>
              <w:t>(</w:t>
            </w:r>
            <w:hyperlink w:anchor="Прил03_ТребованияУчастникам">
              <w:r>
                <w:rPr>
                  <w:rStyle w:val="Style13"/>
                  <w:rFonts w:eastAsia="Calibri" w:cs=""/>
                  <w:kern w:val="0"/>
                  <w:sz w:val="26"/>
                  <w:szCs w:val="22"/>
                  <w:lang w:val="ru-RU" w:eastAsia="en-US" w:bidi="ar-SA"/>
                </w:rPr>
                <w:t>Приложение № 3</w:t>
              </w:r>
            </w:hyperlink>
            <w:r>
              <w:rPr>
                <w:rFonts w:eastAsia="Calibri" w:cs=""/>
                <w:kern w:val="0"/>
                <w:sz w:val="26"/>
                <w:szCs w:val="22"/>
                <w:lang w:val="ru-RU" w:eastAsia="en-US" w:bidi="ar-SA"/>
              </w:rPr>
              <w:t>)</w:t>
            </w:r>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Орг</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Соответствие Участника пункту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_Ref186128496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обязательных требований к Участникам</w:t>
            </w:r>
          </w:p>
          <w:p>
            <w:pPr>
              <w:pStyle w:val="Style28"/>
              <w:widowControl w:val="false"/>
              <w:suppressAutoHyphens w:val="true"/>
              <w:spacing w:before="60" w:after="60"/>
              <w:rPr>
                <w:i/>
                <w:i/>
                <w:iCs/>
              </w:rPr>
            </w:pPr>
            <w:r>
              <w:rPr>
                <w:rFonts w:eastAsia="Calibri" w:cs=""/>
                <w:i/>
                <w:iCs/>
                <w:kern w:val="0"/>
                <w:sz w:val="26"/>
                <w:szCs w:val="22"/>
                <w:lang w:val="ru-RU" w:eastAsia="en-US" w:bidi="ar-SA"/>
              </w:rPr>
              <w:t>(пункт применяется только в случае установления режима запрета закупки иностранной продукции (подраздел </w:t>
            </w:r>
            <w:r>
              <w:rPr>
                <w:rFonts w:eastAsia="Calibri" w:cs=""/>
                <w:i/>
                <w:iCs/>
                <w:kern w:val="0"/>
                <w:sz w:val="26"/>
                <w:szCs w:val="22"/>
                <w:lang w:val="ru-RU" w:eastAsia="en-US" w:bidi="ar-SA"/>
              </w:rPr>
              <w:fldChar w:fldCharType="begin"/>
            </w:r>
            <w:r>
              <w:rPr>
                <w:sz w:val="26"/>
                <w:i/>
                <w:kern w:val="0"/>
                <w:szCs w:val="22"/>
                <w:iCs/>
                <w:rFonts w:eastAsia="Calibri" w:cs=""/>
                <w:lang w:val="ru-RU" w:eastAsia="en-US" w:bidi="ar-SA"/>
              </w:rPr>
              <w:instrText xml:space="preserve"> REF _Ref186128193 \r \h </w:instrText>
            </w:r>
            <w:r>
              <w:rPr>
                <w:sz w:val="26"/>
                <w:i/>
                <w:kern w:val="0"/>
                <w:szCs w:val="22"/>
                <w:iCs/>
                <w:rFonts w:eastAsia="Calibri" w:cs=""/>
                <w:lang w:val="ru-RU" w:eastAsia="en-US" w:bidi="ar-SA"/>
              </w:rPr>
              <w:fldChar w:fldCharType="separate"/>
            </w:r>
            <w:r>
              <w:rPr>
                <w:sz w:val="26"/>
                <w:i/>
                <w:kern w:val="0"/>
                <w:szCs w:val="22"/>
                <w:iCs/>
                <w:rFonts w:eastAsia="Calibri" w:cs=""/>
                <w:lang w:val="ru-RU" w:eastAsia="en-US" w:bidi="ar-SA"/>
              </w:rPr>
              <w:t>4.13</w:t>
            </w:r>
            <w:r>
              <w:rPr>
                <w:sz w:val="26"/>
                <w:i/>
                <w:kern w:val="0"/>
                <w:szCs w:val="22"/>
                <w:iCs/>
                <w:rFonts w:eastAsia="Calibri" w:cs=""/>
                <w:lang w:val="ru-RU" w:eastAsia="en-US" w:bidi="ar-SA"/>
              </w:rPr>
              <w:fldChar w:fldCharType="end"/>
            </w:r>
            <w:r>
              <w:rPr>
                <w:rFonts w:eastAsia="Calibri" w:cs=""/>
                <w:i/>
                <w:iCs/>
                <w:kern w:val="0"/>
                <w:sz w:val="26"/>
                <w:szCs w:val="22"/>
                <w:lang w:val="ru-RU" w:eastAsia="en-US" w:bidi="ar-SA"/>
              </w:rPr>
              <w:t>))</w:t>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_Ref125361435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8.2</w:t>
            </w:r>
            <w:r>
              <w:rPr>
                <w:sz w:val="26"/>
                <w:kern w:val="0"/>
                <w:szCs w:val="22"/>
                <w:rFonts w:eastAsia="Calibri" w:cs=""/>
                <w:lang w:val="ru-RU" w:eastAsia="en-US" w:bidi="ar-SA"/>
              </w:rPr>
              <w:fldChar w:fldCharType="end"/>
            </w:r>
            <w:r>
              <w:rPr>
                <w:rFonts w:eastAsia="Calibri" w:cs=""/>
                <w:kern w:val="0"/>
                <w:sz w:val="26"/>
                <w:szCs w:val="22"/>
                <w:lang w:val="ru-RU" w:eastAsia="en-US" w:bidi="ar-SA"/>
              </w:rPr>
              <w:br/>
              <w:t>(</w:t>
            </w:r>
            <w:hyperlink w:anchor="Прил03_ТребованияУчастникам">
              <w:r>
                <w:rPr>
                  <w:rStyle w:val="Style13"/>
                  <w:rFonts w:eastAsia="Calibri" w:cs=""/>
                  <w:kern w:val="0"/>
                  <w:sz w:val="26"/>
                  <w:szCs w:val="22"/>
                  <w:lang w:val="ru-RU" w:eastAsia="en-US" w:bidi="ar-SA"/>
                </w:rPr>
                <w:t>Приложение № 3</w:t>
              </w:r>
            </w:hyperlink>
            <w:r>
              <w:rPr>
                <w:rFonts w:eastAsia="Calibri" w:cs=""/>
                <w:kern w:val="0"/>
                <w:sz w:val="26"/>
                <w:szCs w:val="22"/>
                <w:lang w:val="ru-RU" w:eastAsia="en-US" w:bidi="ar-SA"/>
              </w:rPr>
              <w:t>)</w:t>
            </w:r>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Орг</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Соответствие Участника пункту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_Ref186128503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5</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обязательных требований к Участникам</w:t>
            </w:r>
          </w:p>
          <w:p>
            <w:pPr>
              <w:pStyle w:val="Style28"/>
              <w:widowControl w:val="false"/>
              <w:suppressAutoHyphens w:val="true"/>
              <w:spacing w:before="60" w:after="60"/>
              <w:rPr>
                <w:i/>
                <w:i/>
                <w:iCs/>
              </w:rPr>
            </w:pPr>
            <w:r>
              <w:rPr>
                <w:rFonts w:eastAsia="Calibri" w:cs=""/>
                <w:i/>
                <w:iCs/>
                <w:kern w:val="0"/>
                <w:sz w:val="26"/>
                <w:szCs w:val="22"/>
                <w:lang w:val="ru-RU" w:eastAsia="en-US" w:bidi="ar-SA"/>
              </w:rPr>
              <w:t>(пункт применяется только в случае установления режима ограничения закупки иностранной продукции или режима преимущества российской продукции (подраздел </w:t>
            </w:r>
            <w:r>
              <w:rPr>
                <w:rFonts w:eastAsia="Calibri" w:cs=""/>
                <w:i/>
                <w:iCs/>
                <w:kern w:val="0"/>
                <w:sz w:val="26"/>
                <w:szCs w:val="22"/>
                <w:lang w:val="ru-RU" w:eastAsia="en-US" w:bidi="ar-SA"/>
              </w:rPr>
              <w:fldChar w:fldCharType="begin"/>
            </w:r>
            <w:r>
              <w:rPr>
                <w:sz w:val="26"/>
                <w:i/>
                <w:kern w:val="0"/>
                <w:szCs w:val="22"/>
                <w:iCs/>
                <w:rFonts w:eastAsia="Calibri" w:cs=""/>
                <w:lang w:val="ru-RU" w:eastAsia="en-US" w:bidi="ar-SA"/>
              </w:rPr>
              <w:instrText xml:space="preserve"> REF _Ref186128193 \r \h </w:instrText>
            </w:r>
            <w:r>
              <w:rPr>
                <w:sz w:val="26"/>
                <w:i/>
                <w:kern w:val="0"/>
                <w:szCs w:val="22"/>
                <w:iCs/>
                <w:rFonts w:eastAsia="Calibri" w:cs=""/>
                <w:lang w:val="ru-RU" w:eastAsia="en-US" w:bidi="ar-SA"/>
              </w:rPr>
              <w:fldChar w:fldCharType="separate"/>
            </w:r>
            <w:r>
              <w:rPr>
                <w:sz w:val="26"/>
                <w:i/>
                <w:kern w:val="0"/>
                <w:szCs w:val="22"/>
                <w:iCs/>
                <w:rFonts w:eastAsia="Calibri" w:cs=""/>
                <w:lang w:val="ru-RU" w:eastAsia="en-US" w:bidi="ar-SA"/>
              </w:rPr>
              <w:t>4.13</w:t>
            </w:r>
            <w:r>
              <w:rPr>
                <w:sz w:val="26"/>
                <w:i/>
                <w:kern w:val="0"/>
                <w:szCs w:val="22"/>
                <w:iCs/>
                <w:rFonts w:eastAsia="Calibri" w:cs=""/>
                <w:lang w:val="ru-RU" w:eastAsia="en-US" w:bidi="ar-SA"/>
              </w:rPr>
              <w:fldChar w:fldCharType="end"/>
            </w:r>
            <w:r>
              <w:rPr>
                <w:rFonts w:eastAsia="Calibri" w:cs=""/>
                <w:i/>
                <w:iCs/>
                <w:kern w:val="0"/>
                <w:sz w:val="26"/>
                <w:szCs w:val="22"/>
                <w:lang w:val="ru-RU" w:eastAsia="en-US" w:bidi="ar-SA"/>
              </w:rPr>
              <w:t>))</w:t>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_Ref125361435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8.2</w:t>
            </w:r>
            <w:r>
              <w:rPr>
                <w:sz w:val="26"/>
                <w:kern w:val="0"/>
                <w:szCs w:val="22"/>
                <w:rFonts w:eastAsia="Calibri" w:cs=""/>
                <w:lang w:val="ru-RU" w:eastAsia="en-US" w:bidi="ar-SA"/>
              </w:rPr>
              <w:fldChar w:fldCharType="end"/>
            </w:r>
            <w:r>
              <w:rPr>
                <w:rFonts w:eastAsia="Calibri" w:cs=""/>
                <w:kern w:val="0"/>
                <w:sz w:val="26"/>
                <w:szCs w:val="22"/>
                <w:lang w:val="ru-RU" w:eastAsia="en-US" w:bidi="ar-SA"/>
              </w:rPr>
              <w:br/>
              <w:t>(</w:t>
            </w:r>
            <w:hyperlink w:anchor="Прил03_ТребованияУчастникам">
              <w:r>
                <w:rPr>
                  <w:rStyle w:val="Style13"/>
                  <w:rFonts w:eastAsia="Calibri" w:cs=""/>
                  <w:kern w:val="0"/>
                  <w:sz w:val="26"/>
                  <w:szCs w:val="22"/>
                  <w:lang w:val="ru-RU" w:eastAsia="en-US" w:bidi="ar-SA"/>
                </w:rPr>
                <w:t>Приложение № 3</w:t>
              </w:r>
            </w:hyperlink>
            <w:r>
              <w:rPr>
                <w:rFonts w:eastAsia="Calibri" w:cs=""/>
                <w:kern w:val="0"/>
                <w:sz w:val="26"/>
                <w:szCs w:val="22"/>
                <w:lang w:val="ru-RU" w:eastAsia="en-US" w:bidi="ar-SA"/>
              </w:rPr>
              <w:t>)</w:t>
            </w:r>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Орг</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Соответствие Участника специальным требованиям к Участникам</w:t>
            </w:r>
          </w:p>
          <w:p>
            <w:pPr>
              <w:pStyle w:val="Style28"/>
              <w:widowControl w:val="false"/>
              <w:suppressAutoHyphens w:val="true"/>
              <w:spacing w:before="60" w:after="60"/>
              <w:rPr>
                <w:rFonts w:eastAsia="Calibri"/>
              </w:rPr>
            </w:pPr>
            <w:r>
              <w:rPr>
                <w:rFonts w:eastAsia="Calibri" w:cs=""/>
                <w:i/>
                <w:iCs/>
                <w:kern w:val="0"/>
                <w:sz w:val="26"/>
                <w:szCs w:val="22"/>
                <w:lang w:val="ru-RU" w:eastAsia="en-US" w:bidi="ar-SA"/>
              </w:rPr>
              <w:t>(пункт применяется только в случае установления соответствующих требований)</w:t>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_Ref125361442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8.3</w:t>
            </w:r>
            <w:r>
              <w:rPr>
                <w:sz w:val="26"/>
                <w:kern w:val="0"/>
                <w:szCs w:val="22"/>
                <w:rFonts w:eastAsia="Calibri" w:cs=""/>
                <w:lang w:val="ru-RU" w:eastAsia="en-US" w:bidi="ar-SA"/>
              </w:rPr>
              <w:fldChar w:fldCharType="end"/>
            </w:r>
            <w:r>
              <w:rPr>
                <w:rFonts w:eastAsia="Calibri" w:cs=""/>
                <w:kern w:val="0"/>
                <w:sz w:val="26"/>
                <w:szCs w:val="22"/>
                <w:lang w:val="ru-RU" w:eastAsia="en-US" w:bidi="ar-SA"/>
              </w:rPr>
              <w:br/>
              <w:t>(</w:t>
            </w:r>
            <w:hyperlink w:anchor="Прил03_ТребованияУчастникам">
              <w:r>
                <w:rPr>
                  <w:rStyle w:val="Style13"/>
                  <w:rFonts w:eastAsia="Calibri" w:cs=""/>
                  <w:kern w:val="0"/>
                  <w:sz w:val="26"/>
                  <w:szCs w:val="22"/>
                  <w:lang w:val="ru-RU" w:eastAsia="en-US" w:bidi="ar-SA"/>
                </w:rPr>
                <w:t>Приложение № 3</w:t>
              </w:r>
            </w:hyperlink>
            <w:r>
              <w:rPr>
                <w:rFonts w:eastAsia="Calibri" w:cs=""/>
                <w:kern w:val="0"/>
                <w:sz w:val="26"/>
                <w:szCs w:val="22"/>
                <w:lang w:val="ru-RU" w:eastAsia="en-US" w:bidi="ar-SA"/>
              </w:rPr>
              <w:t>)</w:t>
            </w:r>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Тех</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Соответствие Участника квалификационным требованиям к Участникам</w:t>
            </w:r>
          </w:p>
          <w:p>
            <w:pPr>
              <w:pStyle w:val="Style28"/>
              <w:widowControl w:val="false"/>
              <w:suppressAutoHyphens w:val="true"/>
              <w:spacing w:before="60" w:after="60"/>
              <w:rPr>
                <w:rFonts w:eastAsia="Calibri"/>
              </w:rPr>
            </w:pPr>
            <w:r>
              <w:rPr>
                <w:rFonts w:eastAsia="Calibri" w:cs=""/>
                <w:i/>
                <w:iCs/>
                <w:kern w:val="0"/>
                <w:sz w:val="26"/>
                <w:szCs w:val="22"/>
                <w:lang w:val="ru-RU" w:eastAsia="en-US" w:bidi="ar-SA"/>
              </w:rPr>
              <w:t>(пункт применяется только в случае установления соответствующих требований)</w:t>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_Ref125550270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8.4</w:t>
            </w:r>
            <w:r>
              <w:rPr>
                <w:sz w:val="26"/>
                <w:kern w:val="0"/>
                <w:szCs w:val="22"/>
                <w:rFonts w:eastAsia="Calibri" w:cs=""/>
                <w:lang w:val="ru-RU" w:eastAsia="en-US" w:bidi="ar-SA"/>
              </w:rPr>
              <w:fldChar w:fldCharType="end"/>
            </w:r>
            <w:r>
              <w:rPr>
                <w:rFonts w:eastAsia="Calibri" w:cs=""/>
                <w:kern w:val="0"/>
                <w:sz w:val="26"/>
                <w:szCs w:val="22"/>
                <w:lang w:val="ru-RU" w:eastAsia="en-US" w:bidi="ar-SA"/>
              </w:rPr>
              <w:br/>
              <w:t>(</w:t>
            </w:r>
            <w:hyperlink w:anchor="Прил03_ТребованияУчастникам">
              <w:r>
                <w:rPr>
                  <w:rStyle w:val="Style13"/>
                  <w:rFonts w:eastAsia="Calibri" w:cs=""/>
                  <w:kern w:val="0"/>
                  <w:sz w:val="26"/>
                  <w:szCs w:val="22"/>
                  <w:lang w:val="ru-RU" w:eastAsia="en-US" w:bidi="ar-SA"/>
                </w:rPr>
                <w:t>Приложение № 3</w:t>
              </w:r>
            </w:hyperlink>
            <w:r>
              <w:rPr>
                <w:rFonts w:eastAsia="Calibri" w:cs=""/>
                <w:kern w:val="0"/>
                <w:sz w:val="26"/>
                <w:szCs w:val="22"/>
                <w:lang w:val="ru-RU" w:eastAsia="en-US" w:bidi="ar-SA"/>
              </w:rPr>
              <w:t>)</w:t>
            </w:r>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Тех</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Соответствие Коллективного участника установленным в отношении его требованиям:</w:t>
            </w:r>
          </w:p>
          <w:p>
            <w:pPr>
              <w:pStyle w:val="Style28"/>
              <w:widowControl w:val="false"/>
              <w:suppressAutoHyphens w:val="true"/>
              <w:spacing w:before="60" w:after="60"/>
              <w:rPr>
                <w:rFonts w:eastAsia="Calibri"/>
              </w:rPr>
            </w:pPr>
            <w:r>
              <w:rPr>
                <w:rFonts w:eastAsia="Calibri" w:cs=""/>
                <w:i/>
                <w:iCs/>
                <w:kern w:val="0"/>
                <w:sz w:val="26"/>
                <w:szCs w:val="22"/>
                <w:lang w:val="ru-RU" w:eastAsia="en-US" w:bidi="ar-SA"/>
              </w:rPr>
              <w:t>(пункт применяется только в случае рассмотрения заявки, поданной Коллективным участником (подраздел </w:t>
            </w:r>
            <w:r>
              <w:rPr>
                <w:rFonts w:eastAsia="Calibri" w:cs=""/>
                <w:i/>
                <w:iCs/>
                <w:kern w:val="0"/>
                <w:sz w:val="26"/>
                <w:szCs w:val="22"/>
                <w:lang w:val="ru-RU" w:eastAsia="en-US" w:bidi="ar-SA"/>
              </w:rPr>
              <w:fldChar w:fldCharType="begin"/>
            </w:r>
            <w:r>
              <w:rPr>
                <w:sz w:val="26"/>
                <w:i/>
                <w:kern w:val="0"/>
                <w:szCs w:val="22"/>
                <w:iCs/>
                <w:rFonts w:eastAsia="Calibri" w:cs=""/>
                <w:lang w:val="ru-RU" w:eastAsia="en-US" w:bidi="ar-SA"/>
              </w:rPr>
              <w:instrText xml:space="preserve"> REF _Ref130305355 \r \h </w:instrText>
            </w:r>
            <w:r>
              <w:rPr>
                <w:sz w:val="26"/>
                <w:i/>
                <w:kern w:val="0"/>
                <w:szCs w:val="22"/>
                <w:iCs/>
                <w:rFonts w:eastAsia="Calibri" w:cs=""/>
                <w:lang w:val="ru-RU" w:eastAsia="en-US" w:bidi="ar-SA"/>
              </w:rPr>
              <w:fldChar w:fldCharType="separate"/>
            </w:r>
            <w:r>
              <w:rPr>
                <w:sz w:val="26"/>
                <w:i/>
                <w:kern w:val="0"/>
                <w:szCs w:val="22"/>
                <w:iCs/>
                <w:rFonts w:eastAsia="Calibri" w:cs=""/>
                <w:lang w:val="ru-RU" w:eastAsia="en-US" w:bidi="ar-SA"/>
              </w:rPr>
              <w:t>3.2</w:t>
            </w:r>
            <w:r>
              <w:rPr>
                <w:sz w:val="26"/>
                <w:i/>
                <w:kern w:val="0"/>
                <w:szCs w:val="22"/>
                <w:iCs/>
                <w:rFonts w:eastAsia="Calibri" w:cs=""/>
                <w:lang w:val="ru-RU" w:eastAsia="en-US" w:bidi="ar-SA"/>
              </w:rPr>
              <w:fldChar w:fldCharType="end"/>
            </w:r>
            <w:r>
              <w:rPr>
                <w:rFonts w:eastAsia="Calibri" w:cs=""/>
                <w:i/>
                <w:iCs/>
                <w:kern w:val="0"/>
                <w:sz w:val="26"/>
                <w:szCs w:val="22"/>
                <w:lang w:val="ru-RU" w:eastAsia="en-US" w:bidi="ar-SA"/>
              </w:rPr>
              <w:t>))</w:t>
            </w:r>
          </w:p>
        </w:tc>
        <w:tc>
          <w:tcPr>
            <w:tcW w:w="3116" w:type="dxa"/>
            <w:tcBorders/>
          </w:tcPr>
          <w:p>
            <w:pPr>
              <w:pStyle w:val="Style28"/>
              <w:widowControl w:val="false"/>
              <w:suppressAutoHyphens w:val="true"/>
              <w:spacing w:before="60" w:after="60"/>
              <w:jc w:val="center"/>
              <w:rPr>
                <w:rFonts w:eastAsia="Calibri"/>
              </w:rPr>
            </w:pPr>
            <w:r>
              <w:rPr>
                <w:rFonts w:eastAsia="Calibri" w:cs=""/>
                <w:b/>
                <w:bCs/>
                <w:kern w:val="0"/>
                <w:sz w:val="26"/>
                <w:szCs w:val="22"/>
                <w:lang w:val="ru-RU" w:eastAsia="en-US" w:bidi="ar-SA"/>
              </w:rPr>
              <w:t>–</w:t>
            </w:r>
          </w:p>
        </w:tc>
        <w:tc>
          <w:tcPr>
            <w:tcW w:w="2090" w:type="dxa"/>
            <w:tcBorders/>
          </w:tcPr>
          <w:p>
            <w:pPr>
              <w:pStyle w:val="Style28"/>
              <w:widowControl w:val="false"/>
              <w:suppressAutoHyphens w:val="true"/>
              <w:spacing w:before="60" w:after="60"/>
              <w:jc w:val="center"/>
              <w:rPr>
                <w:rFonts w:eastAsia="Calibri"/>
              </w:rPr>
            </w:pPr>
            <w:r>
              <w:rPr>
                <w:rFonts w:eastAsia="Calibri" w:cs=""/>
                <w:b/>
                <w:bCs/>
                <w:kern w:val="0"/>
                <w:sz w:val="26"/>
                <w:szCs w:val="22"/>
                <w:lang w:val="ru-RU" w:eastAsia="en-US" w:bidi="ar-SA"/>
              </w:rPr>
              <w:t>–</w:t>
            </w:r>
          </w:p>
        </w:tc>
      </w:tr>
      <w:tr>
        <w:trPr/>
        <w:tc>
          <w:tcPr>
            <w:tcW w:w="1411" w:type="dxa"/>
            <w:tcBorders/>
          </w:tcPr>
          <w:p>
            <w:pPr>
              <w:pStyle w:val="Style28"/>
              <w:widowControl w:val="false"/>
              <w:numPr>
                <w:ilvl w:val="1"/>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numPr>
                <w:ilvl w:val="0"/>
                <w:numId w:val="9"/>
              </w:numPr>
              <w:suppressAutoHyphens w:val="true"/>
              <w:spacing w:before="60" w:after="60"/>
              <w:ind w:left="284" w:hanging="284"/>
              <w:rPr>
                <w:rFonts w:eastAsia="Calibri"/>
              </w:rPr>
            </w:pPr>
            <w:r>
              <w:rPr>
                <w:rFonts w:eastAsia="Calibri" w:cs=""/>
                <w:kern w:val="0"/>
                <w:sz w:val="26"/>
                <w:szCs w:val="22"/>
                <w:lang w:val="ru-RU" w:eastAsia="en-US" w:bidi="ar-SA"/>
              </w:rPr>
              <w:t>в части требований пункта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_Ref125370156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1</w:t>
            </w:r>
            <w:r>
              <w:rPr>
                <w:sz w:val="26"/>
                <w:kern w:val="0"/>
                <w:szCs w:val="22"/>
                <w:rFonts w:eastAsia="Calibri" w:cs=""/>
                <w:lang w:val="ru-RU" w:eastAsia="en-US" w:bidi="ar-SA"/>
              </w:rPr>
              <w:fldChar w:fldCharType="end"/>
            </w:r>
          </w:p>
          <w:p>
            <w:pPr>
              <w:pStyle w:val="Style28"/>
              <w:widowControl w:val="false"/>
              <w:suppressAutoHyphens w:val="true"/>
              <w:spacing w:before="60" w:after="60"/>
              <w:ind w:left="219" w:hanging="0"/>
              <w:rPr>
                <w:rFonts w:eastAsia="Calibri"/>
              </w:rPr>
            </w:pPr>
            <w:r>
              <w:rPr>
                <w:rFonts w:eastAsia="Calibri" w:cs=""/>
                <w:i/>
                <w:iCs/>
                <w:kern w:val="0"/>
                <w:sz w:val="26"/>
                <w:szCs w:val="22"/>
                <w:lang w:val="ru-RU" w:eastAsia="en-US" w:bidi="ar-SA"/>
              </w:rPr>
              <w:t>(в рамках заключения Договора Победитель в целях подтверждения своего соответствия предоставляет документы в порядке, предусмотренном подразделом </w:t>
            </w:r>
            <w:r>
              <w:rPr>
                <w:rFonts w:eastAsia="Calibri" w:cs=""/>
                <w:i/>
                <w:iCs/>
                <w:kern w:val="0"/>
                <w:sz w:val="26"/>
                <w:szCs w:val="22"/>
                <w:lang w:val="ru-RU" w:eastAsia="en-US" w:bidi="ar-SA"/>
              </w:rPr>
              <w:fldChar w:fldCharType="begin"/>
            </w:r>
            <w:r>
              <w:rPr>
                <w:sz w:val="26"/>
                <w:i/>
                <w:kern w:val="0"/>
                <w:szCs w:val="22"/>
                <w:iCs/>
                <w:rFonts w:eastAsia="Calibri" w:cs=""/>
                <w:lang w:val="ru-RU" w:eastAsia="en-US" w:bidi="ar-SA"/>
              </w:rPr>
              <w:instrText xml:space="preserve"> REF _Ref138232981 \r \h </w:instrText>
            </w:r>
            <w:r>
              <w:rPr>
                <w:sz w:val="26"/>
                <w:i/>
                <w:kern w:val="0"/>
                <w:szCs w:val="22"/>
                <w:iCs/>
                <w:rFonts w:eastAsia="Calibri" w:cs=""/>
                <w:lang w:val="ru-RU" w:eastAsia="en-US" w:bidi="ar-SA"/>
              </w:rPr>
              <w:fldChar w:fldCharType="separate"/>
            </w:r>
            <w:r>
              <w:rPr>
                <w:sz w:val="26"/>
                <w:i/>
                <w:kern w:val="0"/>
                <w:szCs w:val="22"/>
                <w:iCs/>
                <w:rFonts w:eastAsia="Calibri" w:cs=""/>
                <w:lang w:val="ru-RU" w:eastAsia="en-US" w:bidi="ar-SA"/>
              </w:rPr>
              <w:t>5.2</w:t>
            </w:r>
            <w:r>
              <w:rPr>
                <w:sz w:val="26"/>
                <w:i/>
                <w:kern w:val="0"/>
                <w:szCs w:val="22"/>
                <w:iCs/>
                <w:rFonts w:eastAsia="Calibri" w:cs=""/>
                <w:lang w:val="ru-RU" w:eastAsia="en-US" w:bidi="ar-SA"/>
              </w:rPr>
              <w:fldChar w:fldCharType="end"/>
            </w:r>
            <w:r>
              <w:rPr>
                <w:rFonts w:eastAsia="Calibri" w:cs=""/>
                <w:i/>
                <w:iCs/>
                <w:kern w:val="0"/>
                <w:sz w:val="26"/>
                <w:szCs w:val="22"/>
                <w:lang w:val="ru-RU" w:eastAsia="en-US" w:bidi="ar-SA"/>
              </w:rPr>
              <w:t>)</w:t>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_Ref125552455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8.5</w:t>
            </w:r>
            <w:r>
              <w:rPr>
                <w:sz w:val="26"/>
                <w:kern w:val="0"/>
                <w:szCs w:val="22"/>
                <w:rFonts w:eastAsia="Calibri" w:cs=""/>
                <w:lang w:val="ru-RU" w:eastAsia="en-US" w:bidi="ar-SA"/>
              </w:rPr>
              <w:fldChar w:fldCharType="end"/>
            </w:r>
            <w:r>
              <w:rPr>
                <w:rFonts w:eastAsia="Calibri" w:cs=""/>
                <w:kern w:val="0"/>
                <w:sz w:val="26"/>
                <w:szCs w:val="22"/>
                <w:lang w:val="ru-RU" w:eastAsia="en-US" w:bidi="ar-SA"/>
              </w:rPr>
              <w:br/>
              <w:t>(</w:t>
            </w:r>
            <w:hyperlink w:anchor="Прил03_ТребованияУчастникам">
              <w:r>
                <w:rPr>
                  <w:rStyle w:val="Style13"/>
                  <w:rFonts w:eastAsia="Calibri" w:cs=""/>
                  <w:kern w:val="0"/>
                  <w:sz w:val="26"/>
                  <w:szCs w:val="22"/>
                  <w:lang w:val="ru-RU" w:eastAsia="en-US" w:bidi="ar-SA"/>
                </w:rPr>
                <w:t>Приложение № 3</w:t>
              </w:r>
            </w:hyperlink>
            <w:r>
              <w:rPr>
                <w:rFonts w:eastAsia="Calibri" w:cs=""/>
                <w:kern w:val="0"/>
                <w:sz w:val="26"/>
                <w:szCs w:val="22"/>
                <w:lang w:val="ru-RU" w:eastAsia="en-US" w:bidi="ar-SA"/>
              </w:rPr>
              <w:t>)</w:t>
            </w:r>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Юр</w:t>
            </w:r>
          </w:p>
        </w:tc>
      </w:tr>
      <w:tr>
        <w:trPr/>
        <w:tc>
          <w:tcPr>
            <w:tcW w:w="1411" w:type="dxa"/>
            <w:tcBorders/>
          </w:tcPr>
          <w:p>
            <w:pPr>
              <w:pStyle w:val="Style28"/>
              <w:widowControl w:val="false"/>
              <w:numPr>
                <w:ilvl w:val="1"/>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numPr>
                <w:ilvl w:val="0"/>
                <w:numId w:val="9"/>
              </w:numPr>
              <w:suppressAutoHyphens w:val="true"/>
              <w:spacing w:before="60" w:after="60"/>
              <w:ind w:left="284" w:hanging="284"/>
              <w:rPr>
                <w:rFonts w:eastAsia="Calibri"/>
              </w:rPr>
            </w:pPr>
            <w:r>
              <w:rPr>
                <w:rFonts w:eastAsia="Calibri" w:cs=""/>
                <w:kern w:val="0"/>
                <w:sz w:val="26"/>
                <w:szCs w:val="22"/>
                <w:lang w:val="ru-RU" w:eastAsia="en-US" w:bidi="ar-SA"/>
              </w:rPr>
              <w:t>в части требований пункта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_Ref125553738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2</w:t>
            </w:r>
            <w:r>
              <w:rPr>
                <w:sz w:val="26"/>
                <w:kern w:val="0"/>
                <w:szCs w:val="22"/>
                <w:rFonts w:eastAsia="Calibri" w:cs=""/>
                <w:lang w:val="ru-RU" w:eastAsia="en-US" w:bidi="ar-SA"/>
              </w:rPr>
              <w:fldChar w:fldCharType="end"/>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_Ref125552455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8.5</w:t>
            </w:r>
            <w:r>
              <w:rPr>
                <w:sz w:val="26"/>
                <w:kern w:val="0"/>
                <w:szCs w:val="22"/>
                <w:rFonts w:eastAsia="Calibri" w:cs=""/>
                <w:lang w:val="ru-RU" w:eastAsia="en-US" w:bidi="ar-SA"/>
              </w:rPr>
              <w:fldChar w:fldCharType="end"/>
            </w:r>
            <w:r>
              <w:rPr>
                <w:rFonts w:eastAsia="Calibri" w:cs=""/>
                <w:kern w:val="0"/>
                <w:sz w:val="26"/>
                <w:szCs w:val="22"/>
                <w:lang w:val="ru-RU" w:eastAsia="en-US" w:bidi="ar-SA"/>
              </w:rPr>
              <w:br/>
              <w:t>(</w:t>
            </w:r>
            <w:hyperlink w:anchor="Прил03_ТребованияУчастникам">
              <w:r>
                <w:rPr>
                  <w:rStyle w:val="Style13"/>
                  <w:rFonts w:eastAsia="Calibri" w:cs=""/>
                  <w:kern w:val="0"/>
                  <w:sz w:val="26"/>
                  <w:szCs w:val="22"/>
                  <w:lang w:val="ru-RU" w:eastAsia="en-US" w:bidi="ar-SA"/>
                </w:rPr>
                <w:t>Приложение № 3</w:t>
              </w:r>
            </w:hyperlink>
            <w:r>
              <w:rPr>
                <w:rFonts w:eastAsia="Calibri" w:cs=""/>
                <w:kern w:val="0"/>
                <w:sz w:val="26"/>
                <w:szCs w:val="22"/>
                <w:lang w:val="ru-RU" w:eastAsia="en-US" w:bidi="ar-SA"/>
              </w:rPr>
              <w:t>)</w:t>
            </w:r>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Тех</w:t>
            </w:r>
          </w:p>
        </w:tc>
      </w:tr>
      <w:tr>
        <w:trPr/>
        <w:tc>
          <w:tcPr>
            <w:tcW w:w="1411" w:type="dxa"/>
            <w:tcBorders/>
          </w:tcPr>
          <w:p>
            <w:pPr>
              <w:pStyle w:val="Style28"/>
              <w:widowControl w:val="false"/>
              <w:numPr>
                <w:ilvl w:val="1"/>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numPr>
                <w:ilvl w:val="0"/>
                <w:numId w:val="9"/>
              </w:numPr>
              <w:suppressAutoHyphens w:val="true"/>
              <w:spacing w:before="60" w:after="60"/>
              <w:ind w:left="284" w:hanging="284"/>
              <w:rPr>
                <w:rFonts w:eastAsia="Calibri"/>
              </w:rPr>
            </w:pPr>
            <w:r>
              <w:rPr>
                <w:rFonts w:eastAsia="Calibri" w:cs=""/>
                <w:kern w:val="0"/>
                <w:sz w:val="26"/>
                <w:szCs w:val="22"/>
                <w:lang w:val="ru-RU" w:eastAsia="en-US" w:bidi="ar-SA"/>
              </w:rPr>
              <w:t>в части требований пункта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_Ref125370162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3</w:t>
            </w:r>
            <w:r>
              <w:rPr>
                <w:sz w:val="26"/>
                <w:kern w:val="0"/>
                <w:szCs w:val="22"/>
                <w:rFonts w:eastAsia="Calibri" w:cs=""/>
                <w:lang w:val="ru-RU" w:eastAsia="en-US" w:bidi="ar-SA"/>
              </w:rPr>
              <w:fldChar w:fldCharType="end"/>
            </w:r>
          </w:p>
          <w:p>
            <w:pPr>
              <w:pStyle w:val="Style28"/>
              <w:widowControl w:val="false"/>
              <w:suppressAutoHyphens w:val="true"/>
              <w:spacing w:before="60" w:after="60"/>
              <w:ind w:left="219" w:hanging="0"/>
              <w:rPr>
                <w:rFonts w:eastAsia="Calibri"/>
              </w:rPr>
            </w:pPr>
            <w:r>
              <w:rPr>
                <w:rFonts w:eastAsia="Calibri" w:cs=""/>
                <w:i/>
                <w:iCs/>
                <w:kern w:val="0"/>
                <w:sz w:val="26"/>
                <w:szCs w:val="22"/>
                <w:lang w:val="ru-RU" w:eastAsia="en-US" w:bidi="ar-SA"/>
              </w:rPr>
              <w:t>(в рамках осуществления экспертизы заявки Участника в отношении каждого члена Коллективного участника в том числе проверяется наличие у него статуса «аккредитован» / «аккредитация не требуется», или проводится процедура его аккредитации (при необходимости). В рамках заключения Договора Победитель в целях подтверждения своего соответствия предоставляет документы в порядке, предусмотренном подразделом </w:t>
            </w:r>
            <w:r>
              <w:rPr>
                <w:rFonts w:eastAsia="Calibri" w:cs=""/>
                <w:i/>
                <w:iCs/>
                <w:kern w:val="0"/>
                <w:sz w:val="26"/>
                <w:szCs w:val="22"/>
                <w:lang w:val="ru-RU" w:eastAsia="en-US" w:bidi="ar-SA"/>
              </w:rPr>
              <w:fldChar w:fldCharType="begin"/>
            </w:r>
            <w:r>
              <w:rPr>
                <w:sz w:val="26"/>
                <w:i/>
                <w:kern w:val="0"/>
                <w:szCs w:val="22"/>
                <w:iCs/>
                <w:rFonts w:eastAsia="Calibri" w:cs=""/>
                <w:lang w:val="ru-RU" w:eastAsia="en-US" w:bidi="ar-SA"/>
              </w:rPr>
              <w:instrText xml:space="preserve"> REF _Ref138232981 \r \h </w:instrText>
            </w:r>
            <w:r>
              <w:rPr>
                <w:sz w:val="26"/>
                <w:i/>
                <w:kern w:val="0"/>
                <w:szCs w:val="22"/>
                <w:iCs/>
                <w:rFonts w:eastAsia="Calibri" w:cs=""/>
                <w:lang w:val="ru-RU" w:eastAsia="en-US" w:bidi="ar-SA"/>
              </w:rPr>
              <w:fldChar w:fldCharType="separate"/>
            </w:r>
            <w:r>
              <w:rPr>
                <w:sz w:val="26"/>
                <w:i/>
                <w:kern w:val="0"/>
                <w:szCs w:val="22"/>
                <w:iCs/>
                <w:rFonts w:eastAsia="Calibri" w:cs=""/>
                <w:lang w:val="ru-RU" w:eastAsia="en-US" w:bidi="ar-SA"/>
              </w:rPr>
              <w:t>5.2</w:t>
            </w:r>
            <w:r>
              <w:rPr>
                <w:sz w:val="26"/>
                <w:i/>
                <w:kern w:val="0"/>
                <w:szCs w:val="22"/>
                <w:iCs/>
                <w:rFonts w:eastAsia="Calibri" w:cs=""/>
                <w:lang w:val="ru-RU" w:eastAsia="en-US" w:bidi="ar-SA"/>
              </w:rPr>
              <w:fldChar w:fldCharType="end"/>
            </w:r>
            <w:r>
              <w:rPr>
                <w:rFonts w:eastAsia="Calibri" w:cs=""/>
                <w:i/>
                <w:iCs/>
                <w:kern w:val="0"/>
                <w:sz w:val="26"/>
                <w:szCs w:val="22"/>
                <w:lang w:val="ru-RU" w:eastAsia="en-US" w:bidi="ar-SA"/>
              </w:rPr>
              <w:t>)</w:t>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_Ref125552455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8.5</w:t>
            </w:r>
            <w:r>
              <w:rPr>
                <w:sz w:val="26"/>
                <w:kern w:val="0"/>
                <w:szCs w:val="22"/>
                <w:rFonts w:eastAsia="Calibri" w:cs=""/>
                <w:lang w:val="ru-RU" w:eastAsia="en-US" w:bidi="ar-SA"/>
              </w:rPr>
              <w:fldChar w:fldCharType="end"/>
            </w:r>
            <w:r>
              <w:rPr>
                <w:rFonts w:eastAsia="Calibri" w:cs=""/>
                <w:kern w:val="0"/>
                <w:sz w:val="26"/>
                <w:szCs w:val="22"/>
                <w:lang w:val="ru-RU" w:eastAsia="en-US" w:bidi="ar-SA"/>
              </w:rPr>
              <w:br/>
              <w:t>(</w:t>
            </w:r>
            <w:hyperlink w:anchor="Прил03_ТребованияУчастникам">
              <w:r>
                <w:rPr>
                  <w:rStyle w:val="Style13"/>
                  <w:rFonts w:eastAsia="Calibri" w:cs=""/>
                  <w:kern w:val="0"/>
                  <w:sz w:val="26"/>
                  <w:szCs w:val="22"/>
                  <w:lang w:val="ru-RU" w:eastAsia="en-US" w:bidi="ar-SA"/>
                </w:rPr>
                <w:t>Приложение № 3</w:t>
              </w:r>
            </w:hyperlink>
            <w:r>
              <w:rPr>
                <w:rFonts w:eastAsia="Calibri" w:cs=""/>
                <w:kern w:val="0"/>
                <w:sz w:val="26"/>
                <w:szCs w:val="22"/>
                <w:lang w:val="ru-RU" w:eastAsia="en-US" w:bidi="ar-SA"/>
              </w:rPr>
              <w:t>)</w:t>
            </w:r>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Орг, Тех,</w:t>
              <w:br/>
              <w:t>Юр</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Соответствие Генерального подрядчика установленным в отношении его требованиям:</w:t>
            </w:r>
          </w:p>
          <w:p>
            <w:pPr>
              <w:pStyle w:val="Style28"/>
              <w:widowControl w:val="false"/>
              <w:suppressAutoHyphens w:val="true"/>
              <w:spacing w:before="60" w:after="60"/>
              <w:rPr>
                <w:i/>
                <w:i/>
                <w:iCs/>
              </w:rPr>
            </w:pPr>
            <w:r>
              <w:rPr>
                <w:rFonts w:eastAsia="Calibri" w:cs=""/>
                <w:i/>
                <w:iCs/>
                <w:kern w:val="0"/>
                <w:sz w:val="26"/>
                <w:szCs w:val="22"/>
                <w:lang w:val="ru-RU" w:eastAsia="en-US" w:bidi="ar-SA"/>
              </w:rPr>
              <w:t>(пункт применяется только в случае проведения закупки, в которой предусмотрена возможность рассмотрения, оценки и сопоставления заявок Участников с учетом привлекаемых субподрядчиков (подраздел </w:t>
            </w:r>
            <w:r>
              <w:rPr>
                <w:rFonts w:eastAsia="Calibri" w:cs=""/>
                <w:i/>
                <w:iCs/>
                <w:kern w:val="0"/>
                <w:sz w:val="26"/>
                <w:szCs w:val="22"/>
                <w:lang w:val="ru-RU" w:eastAsia="en-US" w:bidi="ar-SA"/>
              </w:rPr>
              <w:fldChar w:fldCharType="begin"/>
            </w:r>
            <w:r>
              <w:rPr>
                <w:sz w:val="26"/>
                <w:i/>
                <w:kern w:val="0"/>
                <w:szCs w:val="22"/>
                <w:iCs/>
                <w:rFonts w:eastAsia="Calibri" w:cs=""/>
                <w:lang w:val="ru-RU" w:eastAsia="en-US" w:bidi="ar-SA"/>
              </w:rPr>
              <w:instrText xml:space="preserve"> REF _Ref125359973 \r \h </w:instrText>
            </w:r>
            <w:r>
              <w:rPr>
                <w:sz w:val="26"/>
                <w:i/>
                <w:kern w:val="0"/>
                <w:szCs w:val="22"/>
                <w:iCs/>
                <w:rFonts w:eastAsia="Calibri" w:cs=""/>
                <w:lang w:val="ru-RU" w:eastAsia="en-US" w:bidi="ar-SA"/>
              </w:rPr>
              <w:fldChar w:fldCharType="separate"/>
            </w:r>
            <w:r>
              <w:rPr>
                <w:sz w:val="26"/>
                <w:i/>
                <w:kern w:val="0"/>
                <w:szCs w:val="22"/>
                <w:iCs/>
                <w:rFonts w:eastAsia="Calibri" w:cs=""/>
                <w:lang w:val="ru-RU" w:eastAsia="en-US" w:bidi="ar-SA"/>
              </w:rPr>
              <w:t>1.2</w:t>
            </w:r>
            <w:r>
              <w:rPr>
                <w:sz w:val="26"/>
                <w:i/>
                <w:kern w:val="0"/>
                <w:szCs w:val="22"/>
                <w:iCs/>
                <w:rFonts w:eastAsia="Calibri" w:cs=""/>
                <w:lang w:val="ru-RU" w:eastAsia="en-US" w:bidi="ar-SA"/>
              </w:rPr>
              <w:fldChar w:fldCharType="end"/>
            </w:r>
            <w:r>
              <w:rPr>
                <w:rFonts w:eastAsia="Calibri" w:cs=""/>
                <w:i/>
                <w:iCs/>
                <w:kern w:val="0"/>
                <w:sz w:val="26"/>
                <w:szCs w:val="22"/>
                <w:lang w:val="ru-RU" w:eastAsia="en-US" w:bidi="ar-SA"/>
              </w:rPr>
              <w:t>, подраздел </w:t>
            </w:r>
            <w:r>
              <w:rPr>
                <w:rFonts w:eastAsia="Calibri" w:cs=""/>
                <w:i/>
                <w:iCs/>
                <w:kern w:val="0"/>
                <w:sz w:val="26"/>
                <w:szCs w:val="22"/>
                <w:lang w:val="ru-RU" w:eastAsia="en-US" w:bidi="ar-SA"/>
              </w:rPr>
              <w:fldChar w:fldCharType="begin"/>
            </w:r>
            <w:r>
              <w:rPr>
                <w:sz w:val="26"/>
                <w:i/>
                <w:kern w:val="0"/>
                <w:szCs w:val="22"/>
                <w:iCs/>
                <w:rFonts w:eastAsia="Calibri" w:cs=""/>
                <w:lang w:val="ru-RU" w:eastAsia="en-US" w:bidi="ar-SA"/>
              </w:rPr>
              <w:instrText xml:space="preserve"> REF _Ref125361702 \r \h </w:instrText>
            </w:r>
            <w:r>
              <w:rPr>
                <w:sz w:val="26"/>
                <w:i/>
                <w:kern w:val="0"/>
                <w:szCs w:val="22"/>
                <w:iCs/>
                <w:rFonts w:eastAsia="Calibri" w:cs=""/>
                <w:lang w:val="ru-RU" w:eastAsia="en-US" w:bidi="ar-SA"/>
              </w:rPr>
              <w:fldChar w:fldCharType="separate"/>
            </w:r>
            <w:r>
              <w:rPr>
                <w:sz w:val="26"/>
                <w:i/>
                <w:kern w:val="0"/>
                <w:szCs w:val="22"/>
                <w:iCs/>
                <w:rFonts w:eastAsia="Calibri" w:cs=""/>
                <w:lang w:val="ru-RU" w:eastAsia="en-US" w:bidi="ar-SA"/>
              </w:rPr>
              <w:t>3.3</w:t>
            </w:r>
            <w:r>
              <w:rPr>
                <w:sz w:val="26"/>
                <w:i/>
                <w:kern w:val="0"/>
                <w:szCs w:val="22"/>
                <w:iCs/>
                <w:rFonts w:eastAsia="Calibri" w:cs=""/>
                <w:lang w:val="ru-RU" w:eastAsia="en-US" w:bidi="ar-SA"/>
              </w:rPr>
              <w:fldChar w:fldCharType="end"/>
            </w:r>
            <w:r>
              <w:rPr>
                <w:rFonts w:eastAsia="Calibri" w:cs=""/>
                <w:i/>
                <w:iCs/>
                <w:kern w:val="0"/>
                <w:sz w:val="26"/>
                <w:szCs w:val="22"/>
                <w:lang w:val="ru-RU" w:eastAsia="en-US" w:bidi="ar-SA"/>
              </w:rPr>
              <w:t>))</w:t>
            </w:r>
          </w:p>
        </w:tc>
        <w:tc>
          <w:tcPr>
            <w:tcW w:w="3116" w:type="dxa"/>
            <w:tcBorders/>
          </w:tcPr>
          <w:p>
            <w:pPr>
              <w:pStyle w:val="Style28"/>
              <w:widowControl w:val="false"/>
              <w:suppressAutoHyphens w:val="true"/>
              <w:spacing w:before="60" w:after="60"/>
              <w:jc w:val="center"/>
              <w:rPr>
                <w:rFonts w:eastAsia="Calibri"/>
              </w:rPr>
            </w:pPr>
            <w:r>
              <w:rPr>
                <w:rFonts w:eastAsia="Calibri" w:cs=""/>
                <w:b/>
                <w:bCs/>
                <w:kern w:val="0"/>
                <w:sz w:val="26"/>
                <w:szCs w:val="22"/>
                <w:lang w:val="ru-RU" w:eastAsia="en-US" w:bidi="ar-SA"/>
              </w:rPr>
              <w:t>–</w:t>
            </w:r>
          </w:p>
        </w:tc>
        <w:tc>
          <w:tcPr>
            <w:tcW w:w="2090" w:type="dxa"/>
            <w:tcBorders/>
          </w:tcPr>
          <w:p>
            <w:pPr>
              <w:pStyle w:val="Style28"/>
              <w:widowControl w:val="false"/>
              <w:suppressAutoHyphens w:val="true"/>
              <w:spacing w:before="60" w:after="60"/>
              <w:jc w:val="center"/>
              <w:rPr>
                <w:rFonts w:eastAsia="Calibri"/>
              </w:rPr>
            </w:pPr>
            <w:r>
              <w:rPr>
                <w:rFonts w:eastAsia="Calibri" w:cs=""/>
                <w:b/>
                <w:bCs/>
                <w:kern w:val="0"/>
                <w:sz w:val="26"/>
                <w:szCs w:val="22"/>
                <w:lang w:val="ru-RU" w:eastAsia="en-US" w:bidi="ar-SA"/>
              </w:rPr>
              <w:t>–</w:t>
            </w:r>
          </w:p>
        </w:tc>
      </w:tr>
      <w:tr>
        <w:trPr/>
        <w:tc>
          <w:tcPr>
            <w:tcW w:w="1411" w:type="dxa"/>
            <w:tcBorders/>
          </w:tcPr>
          <w:p>
            <w:pPr>
              <w:pStyle w:val="Style28"/>
              <w:widowControl w:val="false"/>
              <w:numPr>
                <w:ilvl w:val="1"/>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numPr>
                <w:ilvl w:val="0"/>
                <w:numId w:val="9"/>
              </w:numPr>
              <w:suppressAutoHyphens w:val="true"/>
              <w:spacing w:before="60" w:after="60"/>
              <w:ind w:left="284" w:hanging="284"/>
              <w:rPr>
                <w:rFonts w:eastAsia="Calibri"/>
              </w:rPr>
            </w:pPr>
            <w:r>
              <w:rPr>
                <w:rFonts w:eastAsia="Calibri" w:cs=""/>
                <w:kern w:val="0"/>
                <w:sz w:val="26"/>
                <w:szCs w:val="22"/>
                <w:lang w:val="ru-RU" w:eastAsia="en-US" w:bidi="ar-SA"/>
              </w:rPr>
              <w:t>в части требований пунктов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_Ref125370187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1</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_Ref125370199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2</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_Ref125553847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w:t>
            </w:r>
            <w:r>
              <w:rPr>
                <w:sz w:val="26"/>
                <w:kern w:val="0"/>
                <w:szCs w:val="22"/>
                <w:rFonts w:eastAsia="Calibri" w:cs=""/>
                <w:lang w:val="ru-RU" w:eastAsia="en-US" w:bidi="ar-SA"/>
              </w:rPr>
              <w:fldChar w:fldCharType="end"/>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_Ref125709777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8.6</w:t>
            </w:r>
            <w:r>
              <w:rPr>
                <w:sz w:val="26"/>
                <w:kern w:val="0"/>
                <w:szCs w:val="22"/>
                <w:rFonts w:eastAsia="Calibri" w:cs=""/>
                <w:lang w:val="ru-RU" w:eastAsia="en-US" w:bidi="ar-SA"/>
              </w:rPr>
              <w:fldChar w:fldCharType="end"/>
            </w:r>
            <w:r>
              <w:rPr>
                <w:rFonts w:eastAsia="Calibri" w:cs=""/>
                <w:kern w:val="0"/>
                <w:sz w:val="26"/>
                <w:szCs w:val="22"/>
                <w:lang w:val="ru-RU" w:eastAsia="en-US" w:bidi="ar-SA"/>
              </w:rPr>
              <w:br/>
              <w:t>(</w:t>
            </w:r>
            <w:hyperlink w:anchor="Прил03_ТребованияУчастникам">
              <w:r>
                <w:rPr>
                  <w:rStyle w:val="Style13"/>
                  <w:rFonts w:eastAsia="Calibri" w:cs=""/>
                  <w:kern w:val="0"/>
                  <w:sz w:val="26"/>
                  <w:szCs w:val="22"/>
                  <w:lang w:val="ru-RU" w:eastAsia="en-US" w:bidi="ar-SA"/>
                </w:rPr>
                <w:t>Приложение № 3</w:t>
              </w:r>
            </w:hyperlink>
            <w:r>
              <w:rPr>
                <w:rFonts w:eastAsia="Calibri" w:cs=""/>
                <w:kern w:val="0"/>
                <w:sz w:val="26"/>
                <w:szCs w:val="22"/>
                <w:lang w:val="ru-RU" w:eastAsia="en-US" w:bidi="ar-SA"/>
              </w:rPr>
              <w:t>)</w:t>
            </w:r>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Тех</w:t>
            </w:r>
          </w:p>
        </w:tc>
      </w:tr>
      <w:tr>
        <w:trPr/>
        <w:tc>
          <w:tcPr>
            <w:tcW w:w="1411" w:type="dxa"/>
            <w:tcBorders/>
          </w:tcPr>
          <w:p>
            <w:pPr>
              <w:pStyle w:val="Style28"/>
              <w:widowControl w:val="false"/>
              <w:numPr>
                <w:ilvl w:val="1"/>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numPr>
                <w:ilvl w:val="0"/>
                <w:numId w:val="9"/>
              </w:numPr>
              <w:suppressAutoHyphens w:val="true"/>
              <w:spacing w:before="60" w:after="60"/>
              <w:ind w:left="284" w:hanging="284"/>
              <w:rPr>
                <w:rFonts w:eastAsia="Calibri"/>
              </w:rPr>
            </w:pPr>
            <w:r>
              <w:rPr>
                <w:rFonts w:eastAsia="Calibri" w:cs=""/>
                <w:kern w:val="0"/>
                <w:sz w:val="26"/>
                <w:szCs w:val="22"/>
                <w:lang w:val="ru-RU" w:eastAsia="en-US" w:bidi="ar-SA"/>
              </w:rPr>
              <w:t>в части требований пункта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_Ref125370193 \w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3</w:t>
            </w:r>
            <w:r>
              <w:rPr>
                <w:sz w:val="26"/>
                <w:kern w:val="0"/>
                <w:szCs w:val="22"/>
                <w:rFonts w:eastAsia="Calibri" w:cs=""/>
                <w:lang w:val="ru-RU" w:eastAsia="en-US" w:bidi="ar-SA"/>
              </w:rPr>
              <w:fldChar w:fldCharType="end"/>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_Ref125709777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8.6</w:t>
            </w:r>
            <w:r>
              <w:rPr>
                <w:sz w:val="26"/>
                <w:kern w:val="0"/>
                <w:szCs w:val="22"/>
                <w:rFonts w:eastAsia="Calibri" w:cs=""/>
                <w:lang w:val="ru-RU" w:eastAsia="en-US" w:bidi="ar-SA"/>
              </w:rPr>
              <w:fldChar w:fldCharType="end"/>
            </w:r>
            <w:r>
              <w:rPr>
                <w:rFonts w:eastAsia="Calibri" w:cs=""/>
                <w:kern w:val="0"/>
                <w:sz w:val="26"/>
                <w:szCs w:val="22"/>
                <w:lang w:val="ru-RU" w:eastAsia="en-US" w:bidi="ar-SA"/>
              </w:rPr>
              <w:br/>
              <w:t>(</w:t>
            </w:r>
            <w:hyperlink w:anchor="Прил03_ТребованияУчастникам">
              <w:r>
                <w:rPr>
                  <w:rStyle w:val="Style13"/>
                  <w:rFonts w:eastAsia="Calibri" w:cs=""/>
                  <w:kern w:val="0"/>
                  <w:sz w:val="26"/>
                  <w:szCs w:val="22"/>
                  <w:lang w:val="ru-RU" w:eastAsia="en-US" w:bidi="ar-SA"/>
                </w:rPr>
                <w:t>Приложение № 3</w:t>
              </w:r>
            </w:hyperlink>
            <w:r>
              <w:rPr>
                <w:rFonts w:eastAsia="Calibri" w:cs=""/>
                <w:kern w:val="0"/>
                <w:sz w:val="26"/>
                <w:szCs w:val="22"/>
                <w:lang w:val="ru-RU" w:eastAsia="en-US" w:bidi="ar-SA"/>
              </w:rPr>
              <w:t>)</w:t>
            </w:r>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Орг, Тех</w:t>
            </w:r>
          </w:p>
        </w:tc>
      </w:tr>
      <w:tr>
        <w:trPr/>
        <w:tc>
          <w:tcPr>
            <w:tcW w:w="9919" w:type="dxa"/>
            <w:gridSpan w:val="2"/>
            <w:tcBorders/>
          </w:tcPr>
          <w:p>
            <w:pPr>
              <w:pStyle w:val="Style28"/>
              <w:keepNext w:val="true"/>
              <w:widowControl w:val="false"/>
              <w:suppressAutoHyphens w:val="true"/>
              <w:spacing w:before="60" w:after="60"/>
              <w:rPr>
                <w:b/>
                <w:bCs/>
              </w:rPr>
            </w:pPr>
            <w:r>
              <w:rPr>
                <w:rFonts w:eastAsia="Calibri" w:cs=""/>
                <w:b/>
                <w:bCs/>
                <w:kern w:val="0"/>
                <w:sz w:val="26"/>
                <w:szCs w:val="22"/>
                <w:lang w:val="ru-RU" w:eastAsia="en-US" w:bidi="ar-SA"/>
              </w:rPr>
              <w:t xml:space="preserve">Соответствие Технического предложения Участника </w:t>
            </w:r>
            <w:hyperlink w:anchor="Прил01_ТехТребования">
              <w:r>
                <w:rPr>
                  <w:rStyle w:val="Style13"/>
                  <w:rFonts w:eastAsia="Calibri" w:cs=""/>
                  <w:b/>
                  <w:bCs/>
                  <w:kern w:val="0"/>
                  <w:sz w:val="26"/>
                  <w:szCs w:val="22"/>
                  <w:lang w:val="ru-RU" w:eastAsia="en-US" w:bidi="ar-SA"/>
                </w:rPr>
                <w:t>Техническим требованиям (Приложение № 1)</w:t>
              </w:r>
            </w:hyperlink>
            <w:r>
              <w:rPr>
                <w:rFonts w:eastAsia="Calibri" w:cs=""/>
                <w:b/>
                <w:bCs/>
                <w:kern w:val="0"/>
                <w:sz w:val="26"/>
                <w:szCs w:val="22"/>
                <w:lang w:val="ru-RU" w:eastAsia="en-US" w:bidi="ar-SA"/>
              </w:rPr>
              <w:t>, в том числе:</w:t>
            </w:r>
          </w:p>
        </w:tc>
        <w:tc>
          <w:tcPr>
            <w:tcW w:w="3116" w:type="dxa"/>
            <w:tcBorders/>
          </w:tcPr>
          <w:p>
            <w:pPr>
              <w:pStyle w:val="Style28"/>
              <w:keepNext w:val="true"/>
              <w:widowControl w:val="false"/>
              <w:suppressAutoHyphens w:val="true"/>
              <w:spacing w:before="60" w:after="60"/>
              <w:jc w:val="center"/>
              <w:rPr>
                <w:b/>
                <w:bCs/>
              </w:rPr>
            </w:pPr>
            <w:r>
              <w:rPr>
                <w:rFonts w:eastAsia="Calibri" w:cs=""/>
                <w:b/>
                <w:bCs/>
                <w:kern w:val="0"/>
                <w:sz w:val="26"/>
                <w:szCs w:val="22"/>
                <w:lang w:val="ru-RU" w:eastAsia="en-US" w:bidi="ar-SA"/>
              </w:rPr>
              <w:t>–</w:t>
            </w:r>
          </w:p>
        </w:tc>
        <w:tc>
          <w:tcPr>
            <w:tcW w:w="2090" w:type="dxa"/>
            <w:tcBorders/>
          </w:tcPr>
          <w:p>
            <w:pPr>
              <w:pStyle w:val="Style28"/>
              <w:keepNext w:val="true"/>
              <w:widowControl w:val="false"/>
              <w:suppressAutoHyphens w:val="true"/>
              <w:spacing w:before="60" w:after="60"/>
              <w:jc w:val="center"/>
              <w:rPr>
                <w:b/>
                <w:bCs/>
              </w:rPr>
            </w:pPr>
            <w:r>
              <w:rPr>
                <w:rFonts w:eastAsia="Calibri" w:cs=""/>
                <w:b/>
                <w:bCs/>
                <w:kern w:val="0"/>
                <w:sz w:val="26"/>
                <w:szCs w:val="22"/>
                <w:lang w:val="ru-RU" w:eastAsia="en-US" w:bidi="ar-SA"/>
              </w:rPr>
              <w:t>–</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pPr>
            <w:r>
              <w:rPr>
                <w:rFonts w:eastAsia="Calibri" w:cs=""/>
                <w:kern w:val="0"/>
                <w:sz w:val="26"/>
                <w:szCs w:val="22"/>
                <w:lang w:val="ru-RU" w:eastAsia="en-US" w:bidi="ar-SA"/>
              </w:rPr>
              <w:t xml:space="preserve">Соответствие предложения установленным требованиям к предоставлению национального режима, в том числе в части состава и требований к информации и перечню документов, которые подтверждают страну происхождения товара, установленным в </w:t>
            </w:r>
            <w:hyperlink w:anchor="Прил01_ТехТребования">
              <w:r>
                <w:rPr>
                  <w:rStyle w:val="Style13"/>
                  <w:rFonts w:eastAsia="Calibri" w:cs=""/>
                  <w:kern w:val="0"/>
                  <w:sz w:val="26"/>
                  <w:szCs w:val="22"/>
                  <w:lang w:val="ru-RU" w:eastAsia="en-US" w:bidi="ar-SA"/>
                </w:rPr>
                <w:t>Технических требованиях (Приложение № 1)</w:t>
              </w:r>
            </w:hyperlink>
          </w:p>
          <w:p>
            <w:pPr>
              <w:pStyle w:val="Style28"/>
              <w:widowControl w:val="false"/>
              <w:suppressAutoHyphens w:val="true"/>
              <w:spacing w:before="60" w:after="60"/>
              <w:rPr>
                <w:i/>
                <w:i/>
                <w:iCs/>
              </w:rPr>
            </w:pPr>
            <w:r>
              <w:rPr>
                <w:rFonts w:eastAsia="Calibri" w:cs=""/>
                <w:i/>
                <w:iCs/>
                <w:kern w:val="0"/>
                <w:sz w:val="26"/>
                <w:szCs w:val="22"/>
                <w:lang w:val="ru-RU" w:eastAsia="en-US" w:bidi="ar-SA"/>
              </w:rPr>
              <w:t>(пункт применяется только в случае установления режима запрета закупки иностранной продукции (подраздел </w:t>
            </w:r>
            <w:r>
              <w:rPr>
                <w:rFonts w:eastAsia="Calibri" w:cs=""/>
                <w:i/>
                <w:iCs/>
                <w:kern w:val="0"/>
                <w:sz w:val="26"/>
                <w:szCs w:val="22"/>
                <w:lang w:val="ru-RU" w:eastAsia="en-US" w:bidi="ar-SA"/>
              </w:rPr>
              <w:fldChar w:fldCharType="begin"/>
            </w:r>
            <w:r>
              <w:rPr>
                <w:sz w:val="26"/>
                <w:i/>
                <w:kern w:val="0"/>
                <w:szCs w:val="22"/>
                <w:iCs/>
                <w:rFonts w:eastAsia="Calibri" w:cs=""/>
                <w:lang w:val="ru-RU" w:eastAsia="en-US" w:bidi="ar-SA"/>
              </w:rPr>
              <w:instrText xml:space="preserve"> REF _Ref186128193 \r \h </w:instrText>
            </w:r>
            <w:r>
              <w:rPr>
                <w:sz w:val="26"/>
                <w:i/>
                <w:kern w:val="0"/>
                <w:szCs w:val="22"/>
                <w:iCs/>
                <w:rFonts w:eastAsia="Calibri" w:cs=""/>
                <w:lang w:val="ru-RU" w:eastAsia="en-US" w:bidi="ar-SA"/>
              </w:rPr>
              <w:fldChar w:fldCharType="separate"/>
            </w:r>
            <w:r>
              <w:rPr>
                <w:sz w:val="26"/>
                <w:i/>
                <w:kern w:val="0"/>
                <w:szCs w:val="22"/>
                <w:iCs/>
                <w:rFonts w:eastAsia="Calibri" w:cs=""/>
                <w:lang w:val="ru-RU" w:eastAsia="en-US" w:bidi="ar-SA"/>
              </w:rPr>
              <w:t>4.13</w:t>
            </w:r>
            <w:r>
              <w:rPr>
                <w:sz w:val="26"/>
                <w:i/>
                <w:kern w:val="0"/>
                <w:szCs w:val="22"/>
                <w:iCs/>
                <w:rFonts w:eastAsia="Calibri" w:cs=""/>
                <w:lang w:val="ru-RU" w:eastAsia="en-US" w:bidi="ar-SA"/>
              </w:rPr>
              <w:fldChar w:fldCharType="end"/>
            </w:r>
            <w:r>
              <w:rPr>
                <w:rFonts w:eastAsia="Calibri" w:cs=""/>
                <w:i/>
                <w:iCs/>
                <w:kern w:val="0"/>
                <w:sz w:val="26"/>
                <w:szCs w:val="22"/>
                <w:lang w:val="ru-RU" w:eastAsia="en-US" w:bidi="ar-SA"/>
              </w:rPr>
              <w:t>))</w:t>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подразделы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_Ref130394681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4.3</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_Ref186128193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4.13</w:t>
            </w:r>
            <w:r>
              <w:rPr>
                <w:sz w:val="26"/>
                <w:kern w:val="0"/>
                <w:szCs w:val="22"/>
                <w:rFonts w:eastAsia="Calibri" w:cs=""/>
                <w:lang w:val="ru-RU" w:eastAsia="en-US" w:bidi="ar-SA"/>
              </w:rPr>
              <w:fldChar w:fldCharType="end"/>
            </w:r>
            <w:r>
              <w:rPr>
                <w:rFonts w:eastAsia="Calibri" w:cs=""/>
                <w:kern w:val="0"/>
                <w:sz w:val="26"/>
                <w:szCs w:val="22"/>
                <w:lang w:val="ru-RU" w:eastAsia="en-US" w:bidi="ar-SA"/>
              </w:rPr>
              <w:br/>
            </w:r>
            <w:hyperlink w:anchor="Прил01_ТехТребования">
              <w:r>
                <w:rPr>
                  <w:rStyle w:val="Style13"/>
                  <w:rFonts w:eastAsia="Calibri" w:cs=""/>
                  <w:kern w:val="0"/>
                  <w:sz w:val="26"/>
                  <w:szCs w:val="22"/>
                  <w:lang w:val="ru-RU" w:eastAsia="en-US" w:bidi="ar-SA"/>
                </w:rPr>
                <w:t>Приложение № 1</w:t>
              </w:r>
            </w:hyperlink>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Тех</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pPr>
            <w:r>
              <w:rPr>
                <w:rFonts w:eastAsia="Calibri" w:cs=""/>
                <w:kern w:val="0"/>
                <w:sz w:val="26"/>
                <w:szCs w:val="22"/>
                <w:lang w:val="ru-RU" w:eastAsia="en-US" w:bidi="ar-SA"/>
              </w:rPr>
              <w:t xml:space="preserve">Соответствие предложения установленным требованиям к предоставлению национального режима в части предоставления информации и перечня документов, которые подтверждают страну происхождения товара, установленным в </w:t>
            </w:r>
            <w:hyperlink w:anchor="Прил01_ТехТребования">
              <w:r>
                <w:rPr>
                  <w:rStyle w:val="Style13"/>
                  <w:rFonts w:eastAsia="Calibri" w:cs=""/>
                  <w:kern w:val="0"/>
                  <w:sz w:val="26"/>
                  <w:szCs w:val="22"/>
                  <w:lang w:val="ru-RU" w:eastAsia="en-US" w:bidi="ar-SA"/>
                </w:rPr>
                <w:t>Технических требованиях (Приложение № 1)</w:t>
              </w:r>
            </w:hyperlink>
          </w:p>
          <w:p>
            <w:pPr>
              <w:pStyle w:val="Style28"/>
              <w:widowControl w:val="false"/>
              <w:suppressAutoHyphens w:val="true"/>
              <w:spacing w:before="60" w:after="60"/>
              <w:rPr>
                <w:i/>
                <w:i/>
                <w:iCs/>
              </w:rPr>
            </w:pPr>
            <w:r>
              <w:rPr>
                <w:rFonts w:eastAsia="Calibri" w:cs=""/>
                <w:i/>
                <w:iCs/>
                <w:kern w:val="0"/>
                <w:sz w:val="26"/>
                <w:szCs w:val="22"/>
                <w:lang w:val="ru-RU" w:eastAsia="en-US" w:bidi="ar-SA"/>
              </w:rPr>
              <w:t>(пункт применяется только в случае установления режима ограничения закупки иностранной продукции или режима преимущества российской продукции (подраздел </w:t>
            </w:r>
            <w:r>
              <w:rPr>
                <w:rFonts w:eastAsia="Calibri" w:cs=""/>
                <w:i/>
                <w:iCs/>
                <w:kern w:val="0"/>
                <w:sz w:val="26"/>
                <w:szCs w:val="22"/>
                <w:lang w:val="ru-RU" w:eastAsia="en-US" w:bidi="ar-SA"/>
              </w:rPr>
              <w:fldChar w:fldCharType="begin"/>
            </w:r>
            <w:r>
              <w:rPr>
                <w:sz w:val="26"/>
                <w:i/>
                <w:kern w:val="0"/>
                <w:szCs w:val="22"/>
                <w:iCs/>
                <w:rFonts w:eastAsia="Calibri" w:cs=""/>
                <w:lang w:val="ru-RU" w:eastAsia="en-US" w:bidi="ar-SA"/>
              </w:rPr>
              <w:instrText xml:space="preserve"> REF _Ref186128193 \r \h </w:instrText>
            </w:r>
            <w:r>
              <w:rPr>
                <w:sz w:val="26"/>
                <w:i/>
                <w:kern w:val="0"/>
                <w:szCs w:val="22"/>
                <w:iCs/>
                <w:rFonts w:eastAsia="Calibri" w:cs=""/>
                <w:lang w:val="ru-RU" w:eastAsia="en-US" w:bidi="ar-SA"/>
              </w:rPr>
              <w:fldChar w:fldCharType="separate"/>
            </w:r>
            <w:r>
              <w:rPr>
                <w:sz w:val="26"/>
                <w:i/>
                <w:kern w:val="0"/>
                <w:szCs w:val="22"/>
                <w:iCs/>
                <w:rFonts w:eastAsia="Calibri" w:cs=""/>
                <w:lang w:val="ru-RU" w:eastAsia="en-US" w:bidi="ar-SA"/>
              </w:rPr>
              <w:t>4.13</w:t>
            </w:r>
            <w:r>
              <w:rPr>
                <w:sz w:val="26"/>
                <w:i/>
                <w:kern w:val="0"/>
                <w:szCs w:val="22"/>
                <w:iCs/>
                <w:rFonts w:eastAsia="Calibri" w:cs=""/>
                <w:lang w:val="ru-RU" w:eastAsia="en-US" w:bidi="ar-SA"/>
              </w:rPr>
              <w:fldChar w:fldCharType="end"/>
            </w:r>
            <w:r>
              <w:rPr>
                <w:rFonts w:eastAsia="Calibri" w:cs=""/>
                <w:i/>
                <w:iCs/>
                <w:kern w:val="0"/>
                <w:sz w:val="26"/>
                <w:szCs w:val="22"/>
                <w:lang w:val="ru-RU" w:eastAsia="en-US" w:bidi="ar-SA"/>
              </w:rPr>
              <w:t>))</w:t>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подразделы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_Ref130394681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4.3</w:t>
            </w:r>
            <w:r>
              <w:rPr>
                <w:sz w:val="26"/>
                <w:kern w:val="0"/>
                <w:szCs w:val="22"/>
                <w:rFonts w:eastAsia="Calibri" w:cs=""/>
                <w:lang w:val="ru-RU" w:eastAsia="en-US" w:bidi="ar-SA"/>
              </w:rPr>
              <w:fldChar w:fldCharType="end"/>
            </w:r>
            <w:r>
              <w:rPr>
                <w:rFonts w:eastAsia="Calibri" w:cs=""/>
                <w:kern w:val="0"/>
                <w:sz w:val="26"/>
                <w:szCs w:val="22"/>
                <w:lang w:val="ru-RU" w:eastAsia="en-US" w:bidi="ar-SA"/>
              </w:rPr>
              <w:t xml:space="preserve">,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_Ref186128193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4.13</w:t>
            </w:r>
            <w:r>
              <w:rPr>
                <w:sz w:val="26"/>
                <w:kern w:val="0"/>
                <w:szCs w:val="22"/>
                <w:rFonts w:eastAsia="Calibri" w:cs=""/>
                <w:lang w:val="ru-RU" w:eastAsia="en-US" w:bidi="ar-SA"/>
              </w:rPr>
              <w:fldChar w:fldCharType="end"/>
            </w:r>
            <w:r>
              <w:rPr>
                <w:rFonts w:eastAsia="Calibri" w:cs=""/>
                <w:kern w:val="0"/>
                <w:sz w:val="26"/>
                <w:szCs w:val="22"/>
                <w:lang w:val="ru-RU" w:eastAsia="en-US" w:bidi="ar-SA"/>
              </w:rPr>
              <w:br/>
            </w:r>
            <w:hyperlink w:anchor="Прил01_ТехТребования">
              <w:r>
                <w:rPr>
                  <w:rStyle w:val="Style13"/>
                  <w:rFonts w:eastAsia="Calibri" w:cs=""/>
                  <w:kern w:val="0"/>
                  <w:sz w:val="26"/>
                  <w:szCs w:val="22"/>
                  <w:lang w:val="ru-RU" w:eastAsia="en-US" w:bidi="ar-SA"/>
                </w:rPr>
                <w:t>Приложение № 1</w:t>
              </w:r>
            </w:hyperlink>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Тех</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pPr>
            <w:r>
              <w:rPr>
                <w:rFonts w:eastAsia="Calibri" w:cs=""/>
                <w:kern w:val="0"/>
                <w:sz w:val="26"/>
                <w:szCs w:val="22"/>
                <w:lang w:val="ru-RU" w:eastAsia="en-US" w:bidi="ar-SA"/>
              </w:rPr>
              <w:t xml:space="preserve">Соответствие объемов и состава работ / услуг, технологии производства работ, предложенных Участником в Техническом предложении, Коммерческом предложении и (или) прилагаемой к нему подтверждающей документации, требованиям, указанным в </w:t>
            </w:r>
            <w:hyperlink w:anchor="Прил01_ТехТребования">
              <w:r>
                <w:rPr>
                  <w:rStyle w:val="Style13"/>
                  <w:rFonts w:eastAsia="Calibri" w:cs=""/>
                  <w:kern w:val="0"/>
                  <w:sz w:val="26"/>
                  <w:szCs w:val="22"/>
                  <w:lang w:val="ru-RU" w:eastAsia="en-US" w:bidi="ar-SA"/>
                </w:rPr>
                <w:t>Технический требованиях (Приложение № 1)</w:t>
              </w:r>
            </w:hyperlink>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_Ref130394681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4.3</w:t>
            </w:r>
            <w:r>
              <w:rPr>
                <w:sz w:val="26"/>
                <w:kern w:val="0"/>
                <w:szCs w:val="22"/>
                <w:rFonts w:eastAsia="Calibri" w:cs=""/>
                <w:lang w:val="ru-RU" w:eastAsia="en-US" w:bidi="ar-SA"/>
              </w:rPr>
              <w:fldChar w:fldCharType="end"/>
            </w:r>
            <w:r>
              <w:rPr>
                <w:rFonts w:eastAsia="Calibri" w:cs=""/>
                <w:kern w:val="0"/>
                <w:sz w:val="26"/>
                <w:szCs w:val="22"/>
                <w:lang w:val="ru-RU" w:eastAsia="en-US" w:bidi="ar-SA"/>
              </w:rPr>
              <w:br/>
            </w:r>
            <w:hyperlink w:anchor="Прил01_ТехТребования">
              <w:r>
                <w:rPr>
                  <w:rStyle w:val="Style13"/>
                  <w:rFonts w:eastAsia="Calibri" w:cs=""/>
                  <w:kern w:val="0"/>
                  <w:sz w:val="26"/>
                  <w:szCs w:val="22"/>
                  <w:lang w:val="ru-RU" w:eastAsia="en-US" w:bidi="ar-SA"/>
                </w:rPr>
                <w:t>Приложение № 1</w:t>
              </w:r>
            </w:hyperlink>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Тех</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pPr>
            <w:r>
              <w:rPr>
                <w:rFonts w:eastAsia="Calibri" w:cs=""/>
                <w:kern w:val="0"/>
                <w:sz w:val="26"/>
                <w:szCs w:val="22"/>
                <w:lang w:val="ru-RU" w:eastAsia="en-US" w:bidi="ar-SA"/>
              </w:rPr>
              <w:t xml:space="preserve">Соответствие номенклатуры, количества и характеристик материалов / оборудования, предложенных Участником в Техническом предложении, Коммерческом предложении и (или) прилагаемой к нему подтверждающей документации, требованиям, указанным в </w:t>
            </w:r>
            <w:hyperlink w:anchor="Прил01_ТехТребования">
              <w:r>
                <w:rPr>
                  <w:rStyle w:val="Style13"/>
                  <w:rFonts w:eastAsia="Calibri" w:cs=""/>
                  <w:kern w:val="0"/>
                  <w:sz w:val="26"/>
                  <w:szCs w:val="22"/>
                  <w:lang w:val="ru-RU" w:eastAsia="en-US" w:bidi="ar-SA"/>
                </w:rPr>
                <w:t>Технический требованиях (Приложение № 1)</w:t>
              </w:r>
            </w:hyperlink>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_Ref130394681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4.3</w:t>
            </w:r>
            <w:r>
              <w:rPr>
                <w:sz w:val="26"/>
                <w:kern w:val="0"/>
                <w:szCs w:val="22"/>
                <w:rFonts w:eastAsia="Calibri" w:cs=""/>
                <w:lang w:val="ru-RU" w:eastAsia="en-US" w:bidi="ar-SA"/>
              </w:rPr>
              <w:fldChar w:fldCharType="end"/>
            </w:r>
            <w:r>
              <w:rPr>
                <w:rFonts w:eastAsia="Calibri" w:cs=""/>
                <w:kern w:val="0"/>
                <w:sz w:val="26"/>
                <w:szCs w:val="22"/>
                <w:lang w:val="ru-RU" w:eastAsia="en-US" w:bidi="ar-SA"/>
              </w:rPr>
              <w:br/>
            </w:r>
            <w:hyperlink w:anchor="Прил01_ТехТребования">
              <w:r>
                <w:rPr>
                  <w:rStyle w:val="Style13"/>
                  <w:rFonts w:eastAsia="Calibri" w:cs=""/>
                  <w:kern w:val="0"/>
                  <w:sz w:val="26"/>
                  <w:szCs w:val="22"/>
                  <w:lang w:val="ru-RU" w:eastAsia="en-US" w:bidi="ar-SA"/>
                </w:rPr>
                <w:t>Приложение № 1</w:t>
              </w:r>
            </w:hyperlink>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Тех</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pPr>
            <w:r>
              <w:rPr>
                <w:rFonts w:eastAsia="Calibri" w:cs=""/>
                <w:kern w:val="0"/>
                <w:sz w:val="26"/>
                <w:szCs w:val="22"/>
                <w:lang w:val="ru-RU" w:eastAsia="en-US" w:bidi="ar-SA"/>
              </w:rPr>
              <w:t xml:space="preserve">Соответствие Календарного графика требованиям к срокам и этапам реализации Договора, указанным в </w:t>
            </w:r>
            <w:hyperlink w:anchor="Прил01_ТехТребования">
              <w:r>
                <w:rPr>
                  <w:rStyle w:val="Style13"/>
                  <w:rFonts w:eastAsia="Calibri" w:cs=""/>
                  <w:kern w:val="0"/>
                  <w:sz w:val="26"/>
                  <w:szCs w:val="22"/>
                  <w:lang w:val="ru-RU" w:eastAsia="en-US" w:bidi="ar-SA"/>
                </w:rPr>
                <w:t>Технический требованиях (Приложение № 1)</w:t>
              </w:r>
            </w:hyperlink>
            <w:r>
              <w:rPr>
                <w:rFonts w:eastAsia="Calibri" w:cs=""/>
                <w:kern w:val="0"/>
                <w:sz w:val="26"/>
                <w:szCs w:val="22"/>
                <w:lang w:val="ru-RU" w:eastAsia="en-US" w:bidi="ar-SA"/>
              </w:rPr>
              <w:t xml:space="preserve"> и (или) в </w:t>
            </w:r>
            <w:hyperlink w:anchor="Прил02_ПроектДоговора">
              <w:r>
                <w:rPr>
                  <w:rStyle w:val="Style13"/>
                  <w:rFonts w:eastAsia="Calibri" w:cs=""/>
                  <w:kern w:val="0"/>
                  <w:sz w:val="26"/>
                  <w:szCs w:val="22"/>
                  <w:lang w:val="ru-RU" w:eastAsia="en-US" w:bidi="ar-SA"/>
                </w:rPr>
                <w:t>Проекте договора (Приложение № 2)</w:t>
              </w:r>
            </w:hyperlink>
          </w:p>
        </w:tc>
        <w:tc>
          <w:tcPr>
            <w:tcW w:w="3116" w:type="dxa"/>
            <w:tcBorders/>
          </w:tcPr>
          <w:p>
            <w:pPr>
              <w:pStyle w:val="Style28"/>
              <w:widowControl w:val="false"/>
              <w:suppressAutoHyphens w:val="true"/>
              <w:spacing w:before="60" w:after="60"/>
              <w:jc w:val="center"/>
              <w:rPr/>
            </w:pPr>
            <w:hyperlink w:anchor="Прил01_ТехТребования">
              <w:r>
                <w:rPr>
                  <w:rStyle w:val="Style13"/>
                  <w:rFonts w:eastAsia="Calibri" w:cs=""/>
                  <w:kern w:val="0"/>
                  <w:sz w:val="26"/>
                  <w:szCs w:val="22"/>
                  <w:lang w:val="ru-RU" w:eastAsia="en-US" w:bidi="ar-SA"/>
                </w:rPr>
                <w:t>Приложение № 1</w:t>
              </w:r>
            </w:hyperlink>
            <w:r>
              <w:rPr>
                <w:rFonts w:eastAsia="Calibri" w:cs=""/>
                <w:kern w:val="0"/>
                <w:sz w:val="26"/>
                <w:szCs w:val="22"/>
                <w:lang w:val="ru-RU" w:eastAsia="en-US" w:bidi="ar-SA"/>
              </w:rPr>
              <w:t>,</w:t>
              <w:br/>
            </w:r>
            <w:hyperlink w:anchor="Прил02_ПроектДоговора">
              <w:r>
                <w:rPr>
                  <w:rStyle w:val="Style13"/>
                  <w:rFonts w:eastAsia="Calibri" w:cs=""/>
                  <w:kern w:val="0"/>
                  <w:sz w:val="26"/>
                  <w:szCs w:val="22"/>
                  <w:lang w:val="ru-RU" w:eastAsia="en-US" w:bidi="ar-SA"/>
                </w:rPr>
                <w:t>Приложение № 2</w:t>
              </w:r>
            </w:hyperlink>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Тех</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pPr>
            <w:r>
              <w:rPr>
                <w:rFonts w:eastAsia="Calibri" w:cs=""/>
                <w:kern w:val="0"/>
                <w:sz w:val="26"/>
                <w:szCs w:val="22"/>
                <w:lang w:val="ru-RU" w:eastAsia="en-US" w:bidi="ar-SA"/>
              </w:rPr>
              <w:t xml:space="preserve">Соответствие требованиям к гарантии на поставляемые материалы / оборудование и результаты выполненных работ, указанным в </w:t>
            </w:r>
            <w:hyperlink w:anchor="Прил01_ТехТребования">
              <w:r>
                <w:rPr>
                  <w:rStyle w:val="Style13"/>
                  <w:rFonts w:eastAsia="Calibri" w:cs=""/>
                  <w:kern w:val="0"/>
                  <w:sz w:val="26"/>
                  <w:szCs w:val="22"/>
                  <w:lang w:val="ru-RU" w:eastAsia="en-US" w:bidi="ar-SA"/>
                </w:rPr>
                <w:t>Технический требованиях (Приложение № 1)</w:t>
              </w:r>
            </w:hyperlink>
            <w:r>
              <w:rPr>
                <w:rFonts w:eastAsia="Calibri" w:cs=""/>
                <w:kern w:val="0"/>
                <w:sz w:val="26"/>
                <w:szCs w:val="22"/>
                <w:lang w:val="ru-RU" w:eastAsia="en-US" w:bidi="ar-SA"/>
              </w:rPr>
              <w:t xml:space="preserve"> и (или) в </w:t>
            </w:r>
            <w:hyperlink w:anchor="Прил02_ПроектДоговора">
              <w:r>
                <w:rPr>
                  <w:rStyle w:val="Style13"/>
                  <w:rFonts w:eastAsia="Calibri" w:cs=""/>
                  <w:kern w:val="0"/>
                  <w:sz w:val="26"/>
                  <w:szCs w:val="22"/>
                  <w:lang w:val="ru-RU" w:eastAsia="en-US" w:bidi="ar-SA"/>
                </w:rPr>
                <w:t>Проекте договора (Приложение № 2)</w:t>
              </w:r>
            </w:hyperlink>
          </w:p>
          <w:p>
            <w:pPr>
              <w:pStyle w:val="Style28"/>
              <w:widowControl w:val="false"/>
              <w:suppressAutoHyphens w:val="true"/>
              <w:spacing w:before="60" w:after="60"/>
              <w:rPr>
                <w:rFonts w:eastAsia="Calibri"/>
              </w:rPr>
            </w:pPr>
            <w:r>
              <w:rPr>
                <w:rFonts w:eastAsia="Calibri" w:cs=""/>
                <w:i/>
                <w:iCs/>
                <w:kern w:val="0"/>
                <w:sz w:val="26"/>
                <w:szCs w:val="22"/>
                <w:lang w:val="ru-RU" w:eastAsia="en-US" w:bidi="ar-SA"/>
              </w:rPr>
              <w:t>(пункт применяется только в случае установления соответствующих требований)</w:t>
            </w:r>
          </w:p>
        </w:tc>
        <w:tc>
          <w:tcPr>
            <w:tcW w:w="3116" w:type="dxa"/>
            <w:tcBorders/>
          </w:tcPr>
          <w:p>
            <w:pPr>
              <w:pStyle w:val="Style28"/>
              <w:widowControl w:val="false"/>
              <w:suppressAutoHyphens w:val="true"/>
              <w:spacing w:before="60" w:after="60"/>
              <w:jc w:val="center"/>
              <w:rPr/>
            </w:pPr>
            <w:hyperlink w:anchor="Прил01_ТехТребования">
              <w:r>
                <w:rPr>
                  <w:rStyle w:val="Style13"/>
                  <w:rFonts w:eastAsia="Calibri" w:cs=""/>
                  <w:kern w:val="0"/>
                  <w:sz w:val="26"/>
                  <w:szCs w:val="22"/>
                  <w:lang w:val="ru-RU" w:eastAsia="en-US" w:bidi="ar-SA"/>
                </w:rPr>
                <w:t>Приложение № 1</w:t>
              </w:r>
            </w:hyperlink>
            <w:r>
              <w:rPr>
                <w:rFonts w:eastAsia="Calibri" w:cs=""/>
                <w:kern w:val="0"/>
                <w:sz w:val="26"/>
                <w:szCs w:val="22"/>
                <w:lang w:val="ru-RU" w:eastAsia="en-US" w:bidi="ar-SA"/>
              </w:rPr>
              <w:t>,</w:t>
              <w:br/>
            </w:r>
            <w:hyperlink w:anchor="Прил02_ПроектДоговора">
              <w:r>
                <w:rPr>
                  <w:rStyle w:val="Style13"/>
                  <w:rFonts w:eastAsia="Calibri" w:cs=""/>
                  <w:kern w:val="0"/>
                  <w:sz w:val="26"/>
                  <w:szCs w:val="22"/>
                  <w:lang w:val="ru-RU" w:eastAsia="en-US" w:bidi="ar-SA"/>
                </w:rPr>
                <w:t>Приложение № 2</w:t>
              </w:r>
            </w:hyperlink>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Тех</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pPr>
            <w:r>
              <w:rPr>
                <w:rFonts w:eastAsia="Calibri" w:cs=""/>
                <w:kern w:val="0"/>
                <w:sz w:val="26"/>
                <w:szCs w:val="22"/>
                <w:lang w:val="ru-RU" w:eastAsia="en-US" w:bidi="ar-SA"/>
              </w:rPr>
              <w:t xml:space="preserve">Соответствие предлагаемой к поставке продукции иным требованиям, установленным в </w:t>
            </w:r>
            <w:hyperlink w:anchor="Прил01_ТехТребования">
              <w:r>
                <w:rPr>
                  <w:rStyle w:val="Style13"/>
                  <w:rFonts w:eastAsia="Calibri" w:cs=""/>
                  <w:kern w:val="0"/>
                  <w:sz w:val="26"/>
                  <w:szCs w:val="22"/>
                  <w:lang w:val="ru-RU" w:eastAsia="en-US" w:bidi="ar-SA"/>
                </w:rPr>
                <w:t>Технических требованиях (Приложение № 1)</w:t>
              </w:r>
            </w:hyperlink>
            <w:r>
              <w:rPr>
                <w:rFonts w:eastAsia="Calibri" w:cs=""/>
                <w:kern w:val="0"/>
                <w:sz w:val="26"/>
                <w:szCs w:val="22"/>
                <w:lang w:val="ru-RU" w:eastAsia="en-US" w:bidi="ar-SA"/>
              </w:rPr>
              <w:t>, с предоставлением требуемых подтверждающих документов</w:t>
            </w:r>
          </w:p>
          <w:p>
            <w:pPr>
              <w:pStyle w:val="Style28"/>
              <w:widowControl w:val="false"/>
              <w:suppressAutoHyphens w:val="true"/>
              <w:spacing w:before="60" w:after="60"/>
              <w:rPr>
                <w:rFonts w:eastAsia="Calibri"/>
              </w:rPr>
            </w:pPr>
            <w:r>
              <w:rPr>
                <w:rFonts w:eastAsia="Calibri" w:cs=""/>
                <w:i/>
                <w:iCs/>
                <w:kern w:val="0"/>
                <w:sz w:val="26"/>
                <w:szCs w:val="22"/>
                <w:lang w:val="ru-RU" w:eastAsia="en-US" w:bidi="ar-SA"/>
              </w:rPr>
              <w:t>(пункт применяется только в случае установления соответствующих требований)</w:t>
            </w:r>
          </w:p>
        </w:tc>
        <w:tc>
          <w:tcPr>
            <w:tcW w:w="3116" w:type="dxa"/>
            <w:tcBorders/>
          </w:tcPr>
          <w:p>
            <w:pPr>
              <w:pStyle w:val="Style28"/>
              <w:widowControl w:val="false"/>
              <w:suppressAutoHyphens w:val="true"/>
              <w:spacing w:before="60" w:after="60"/>
              <w:jc w:val="center"/>
              <w:rPr/>
            </w:pPr>
            <w:hyperlink w:anchor="Прил01_ТехТребования">
              <w:r>
                <w:rPr>
                  <w:rStyle w:val="Style13"/>
                  <w:rFonts w:eastAsia="Calibri" w:cs=""/>
                  <w:kern w:val="0"/>
                  <w:sz w:val="26"/>
                  <w:szCs w:val="22"/>
                  <w:lang w:val="ru-RU" w:eastAsia="en-US" w:bidi="ar-SA"/>
                </w:rPr>
                <w:t>Приложение № 1</w:t>
              </w:r>
            </w:hyperlink>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Тех</w:t>
            </w:r>
          </w:p>
        </w:tc>
      </w:tr>
      <w:tr>
        <w:trPr/>
        <w:tc>
          <w:tcPr>
            <w:tcW w:w="9919" w:type="dxa"/>
            <w:gridSpan w:val="2"/>
            <w:tcBorders/>
          </w:tcPr>
          <w:p>
            <w:pPr>
              <w:pStyle w:val="Style28"/>
              <w:keepNext w:val="true"/>
              <w:widowControl w:val="false"/>
              <w:suppressAutoHyphens w:val="true"/>
              <w:spacing w:before="60" w:after="60"/>
              <w:rPr>
                <w:rFonts w:eastAsia="Calibri"/>
              </w:rPr>
            </w:pPr>
            <w:r>
              <w:rPr>
                <w:rFonts w:eastAsia="Calibri" w:cs=""/>
                <w:b/>
                <w:bCs/>
                <w:kern w:val="0"/>
                <w:sz w:val="26"/>
                <w:szCs w:val="22"/>
                <w:lang w:val="ru-RU" w:eastAsia="en-US" w:bidi="ar-SA"/>
              </w:rPr>
              <w:t>Соответствие Коммерческого предложения Участника требованиям Документации о закупке, в том числе:</w:t>
            </w:r>
          </w:p>
        </w:tc>
        <w:tc>
          <w:tcPr>
            <w:tcW w:w="3116" w:type="dxa"/>
            <w:tcBorders/>
          </w:tcPr>
          <w:p>
            <w:pPr>
              <w:pStyle w:val="Style28"/>
              <w:widowControl w:val="false"/>
              <w:suppressAutoHyphens w:val="true"/>
              <w:spacing w:before="60" w:after="60"/>
              <w:jc w:val="center"/>
              <w:rPr>
                <w:rFonts w:eastAsia="Calibri"/>
              </w:rPr>
            </w:pPr>
            <w:r>
              <w:rPr>
                <w:rFonts w:eastAsia="Calibri" w:cs=""/>
                <w:b/>
                <w:bCs/>
                <w:kern w:val="0"/>
                <w:sz w:val="26"/>
                <w:szCs w:val="22"/>
                <w:lang w:val="ru-RU" w:eastAsia="en-US" w:bidi="ar-SA"/>
              </w:rPr>
              <w:t>–</w:t>
            </w:r>
          </w:p>
        </w:tc>
        <w:tc>
          <w:tcPr>
            <w:tcW w:w="2090" w:type="dxa"/>
            <w:tcBorders/>
          </w:tcPr>
          <w:p>
            <w:pPr>
              <w:pStyle w:val="Style28"/>
              <w:widowControl w:val="false"/>
              <w:suppressAutoHyphens w:val="true"/>
              <w:spacing w:before="60" w:after="60"/>
              <w:jc w:val="center"/>
              <w:rPr>
                <w:rFonts w:eastAsia="Calibri"/>
              </w:rPr>
            </w:pPr>
            <w:r>
              <w:rPr>
                <w:rFonts w:eastAsia="Calibri" w:cs=""/>
                <w:b/>
                <w:bCs/>
                <w:kern w:val="0"/>
                <w:sz w:val="26"/>
                <w:szCs w:val="22"/>
                <w:lang w:val="ru-RU" w:eastAsia="en-US" w:bidi="ar-SA"/>
              </w:rPr>
              <w:t>–</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Соответствие Коммерческого предложения</w:t>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подразделы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_Ref130394681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4.3</w:t>
            </w:r>
            <w:r>
              <w:rPr>
                <w:sz w:val="26"/>
                <w:kern w:val="0"/>
                <w:szCs w:val="22"/>
                <w:rFonts w:eastAsia="Calibri" w:cs=""/>
                <w:lang w:val="ru-RU" w:eastAsia="en-US" w:bidi="ar-SA"/>
              </w:rPr>
              <w:fldChar w:fldCharType="end"/>
            </w:r>
            <w:r>
              <w:rPr>
                <w:rFonts w:eastAsia="Calibri" w:cs=""/>
                <w:kern w:val="0"/>
                <w:sz w:val="26"/>
                <w:szCs w:val="22"/>
                <w:lang w:val="ru-RU" w:eastAsia="en-US" w:bidi="ar-SA"/>
              </w:rPr>
              <w:t>,</w:t>
              <w:br/>
            </w:r>
            <w:hyperlink w:anchor="Прил04_ФормыЗаявки">
              <w:r>
                <w:rPr>
                  <w:rStyle w:val="Style13"/>
                  <w:rFonts w:eastAsia="Calibri" w:cs=""/>
                  <w:kern w:val="0"/>
                  <w:sz w:val="26"/>
                  <w:szCs w:val="22"/>
                  <w:lang w:val="ru-RU" w:eastAsia="en-US" w:bidi="ar-SA"/>
                </w:rPr>
                <w:t>Приложение № 4</w:t>
              </w:r>
            </w:hyperlink>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Цена</w:t>
            </w:r>
          </w:p>
        </w:tc>
      </w:tr>
      <w:tr>
        <w:trPr/>
        <w:tc>
          <w:tcPr>
            <w:tcW w:w="1411" w:type="dxa"/>
            <w:tcBorders/>
          </w:tcPr>
          <w:p>
            <w:pPr>
              <w:pStyle w:val="Style28"/>
              <w:widowControl w:val="false"/>
              <w:numPr>
                <w:ilvl w:val="0"/>
                <w:numId w:val="7"/>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pPr>
            <w:r>
              <w:rPr>
                <w:rFonts w:eastAsia="Calibri" w:cs=""/>
                <w:kern w:val="0"/>
                <w:sz w:val="26"/>
                <w:szCs w:val="22"/>
                <w:lang w:val="ru-RU" w:eastAsia="en-US" w:bidi="ar-SA"/>
              </w:rPr>
              <w:t>Соответствие подтверждающей документации, прилагаемой к</w:t>
            </w:r>
            <w:r>
              <w:rPr>
                <w:rFonts w:eastAsia="Calibri" w:cs=""/>
                <w:kern w:val="0"/>
                <w:sz w:val="26"/>
                <w:szCs w:val="22"/>
                <w:lang w:val="en-US" w:eastAsia="en-US" w:bidi="ar-SA"/>
              </w:rPr>
              <w:t> </w:t>
            </w:r>
            <w:r>
              <w:rPr>
                <w:rFonts w:eastAsia="Calibri" w:cs=""/>
                <w:kern w:val="0"/>
                <w:sz w:val="26"/>
                <w:szCs w:val="22"/>
                <w:lang w:val="ru-RU" w:eastAsia="en-US" w:bidi="ar-SA"/>
              </w:rPr>
              <w:t xml:space="preserve">Коммерческому приложению, требованиям, указанным в </w:t>
            </w:r>
            <w:hyperlink w:anchor="Прил01_ТехТребования">
              <w:r>
                <w:rPr>
                  <w:rStyle w:val="Style13"/>
                  <w:rFonts w:eastAsia="Calibri" w:cs=""/>
                  <w:kern w:val="0"/>
                  <w:sz w:val="26"/>
                  <w:szCs w:val="22"/>
                  <w:lang w:val="ru-RU" w:eastAsia="en-US" w:bidi="ar-SA"/>
                </w:rPr>
                <w:t>Технических требованиях (Приложение № 1)</w:t>
              </w:r>
            </w:hyperlink>
          </w:p>
          <w:p>
            <w:pPr>
              <w:pStyle w:val="Style28"/>
              <w:widowControl w:val="false"/>
              <w:suppressAutoHyphens w:val="true"/>
              <w:spacing w:before="60" w:after="60"/>
              <w:rPr/>
            </w:pPr>
            <w:r>
              <w:rPr>
                <w:rFonts w:eastAsia="Calibri" w:cs=""/>
                <w:i/>
                <w:iCs/>
                <w:kern w:val="0"/>
                <w:sz w:val="26"/>
                <w:szCs w:val="22"/>
                <w:lang w:val="ru-RU" w:eastAsia="en-US" w:bidi="ar-SA"/>
              </w:rPr>
              <w:t xml:space="preserve">(пункт применяется только в случае установления соответствующих требований в </w:t>
            </w:r>
            <w:hyperlink w:anchor="Прил01_ТехТребования">
              <w:r>
                <w:rPr>
                  <w:rStyle w:val="Style13"/>
                  <w:rFonts w:eastAsia="Calibri" w:cs=""/>
                  <w:i/>
                  <w:iCs/>
                  <w:kern w:val="0"/>
                  <w:sz w:val="26"/>
                  <w:szCs w:val="22"/>
                  <w:lang w:val="ru-RU" w:eastAsia="en-US" w:bidi="ar-SA"/>
                </w:rPr>
                <w:t>Технических требованиях (Приложение № 1)</w:t>
              </w:r>
            </w:hyperlink>
            <w:r>
              <w:rPr>
                <w:rFonts w:eastAsia="Calibri" w:cs=""/>
                <w:i/>
                <w:iCs/>
                <w:kern w:val="0"/>
                <w:sz w:val="26"/>
                <w:szCs w:val="22"/>
                <w:lang w:val="ru-RU" w:eastAsia="en-US" w:bidi="ar-SA"/>
              </w:rPr>
              <w:t>)</w:t>
            </w:r>
          </w:p>
        </w:tc>
        <w:tc>
          <w:tcPr>
            <w:tcW w:w="3116" w:type="dxa"/>
            <w:tcBorders/>
          </w:tcPr>
          <w:p>
            <w:pPr>
              <w:pStyle w:val="Style28"/>
              <w:widowControl w:val="false"/>
              <w:suppressAutoHyphens w:val="true"/>
              <w:spacing w:before="60" w:after="60"/>
              <w:jc w:val="center"/>
              <w:rPr/>
            </w:pPr>
            <w:hyperlink w:anchor="Прил01_ТехТребования">
              <w:r>
                <w:rPr>
                  <w:rStyle w:val="Style13"/>
                  <w:rFonts w:eastAsia="Calibri" w:cs=""/>
                  <w:kern w:val="0"/>
                  <w:sz w:val="26"/>
                  <w:szCs w:val="22"/>
                  <w:lang w:val="ru-RU" w:eastAsia="en-US" w:bidi="ar-SA"/>
                </w:rPr>
                <w:t>Приложение № 1</w:t>
              </w:r>
            </w:hyperlink>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Цена</w:t>
            </w:r>
          </w:p>
        </w:tc>
      </w:tr>
    </w:tbl>
    <w:p>
      <w:pPr>
        <w:pStyle w:val="Style23"/>
        <w:rPr>
          <w:rStyle w:val="Style10"/>
          <w:i w:val="false"/>
          <w:i w:val="false"/>
          <w:iCs w:val="false"/>
          <w:shd w:fill="auto" w:val="clear"/>
        </w:rPr>
      </w:pPr>
      <w:bookmarkStart w:id="368" w:name="_Toc188004715"/>
      <w:r>
        <w:rPr>
          <w:rStyle w:val="Style10"/>
          <w:i w:val="false"/>
          <w:iCs w:val="false"/>
          <w:shd w:fill="auto" w:val="clear"/>
        </w:rPr>
        <w:t>Дополнительные критерии проверки заявок на соответствие условиям Документации о закупке</w:t>
      </w:r>
      <w:bookmarkEnd w:id="368"/>
    </w:p>
    <w:p>
      <w:pPr>
        <w:pStyle w:val="Style28"/>
        <w:keepNext w:val="true"/>
        <w:spacing w:before="120" w:after="120"/>
        <w:rPr/>
      </w:pPr>
      <w:r>
        <w:rPr/>
        <w:t>Несоответствие одному или всем дополнительным критериям не является основанием для отклонения заявки.</w:t>
      </w:r>
    </w:p>
    <w:tbl>
      <w:tblPr>
        <w:tblStyle w:val="afff6"/>
        <w:tblW w:w="15126" w:type="dxa"/>
        <w:jc w:val="left"/>
        <w:tblInd w:w="0" w:type="dxa"/>
        <w:tblLayout w:type="fixed"/>
        <w:tblCellMar>
          <w:top w:w="0" w:type="dxa"/>
          <w:left w:w="57" w:type="dxa"/>
          <w:bottom w:w="0" w:type="dxa"/>
          <w:right w:w="57" w:type="dxa"/>
        </w:tblCellMar>
        <w:tblLook w:noVBand="1" w:val="04a0" w:noHBand="0" w:lastColumn="0" w:firstColumn="1" w:lastRow="0" w:firstRow="1"/>
      </w:tblPr>
      <w:tblGrid>
        <w:gridCol w:w="1411"/>
        <w:gridCol w:w="8508"/>
        <w:gridCol w:w="3116"/>
        <w:gridCol w:w="2090"/>
      </w:tblGrid>
      <w:tr>
        <w:trPr>
          <w:cnfStyle w:val="100000000000" w:firstRow="1" w:lastRow="0" w:firstColumn="0" w:lastColumn="0" w:oddVBand="0" w:evenVBand="0" w:oddHBand="0" w:evenHBand="0" w:firstRowFirstColumn="0" w:firstRowLastColumn="0" w:lastRowFirstColumn="0" w:lastRowLastColumn="0"/>
        </w:trPr>
        <w:tc>
          <w:tcPr>
            <w:tcW w:w="1411" w:type="dxa"/>
            <w:tcBorders/>
          </w:tcPr>
          <w:p>
            <w:pPr>
              <w:pStyle w:val="Style28"/>
              <w:keepNext w:val="true"/>
              <w:widowControl w:val="false"/>
              <w:suppressAutoHyphens w:val="true"/>
              <w:spacing w:before="60" w:after="60"/>
              <w:jc w:val="center"/>
              <w:rPr>
                <w:rFonts w:eastAsia="Calibri"/>
              </w:rPr>
            </w:pPr>
            <w:r>
              <w:rPr>
                <w:rFonts w:eastAsia="Calibri" w:cs=""/>
                <w:b/>
                <w:kern w:val="0"/>
                <w:sz w:val="26"/>
                <w:szCs w:val="22"/>
                <w:lang w:val="ru-RU" w:eastAsia="en-US" w:bidi="ar-SA"/>
              </w:rPr>
              <w:t>Номер</w:t>
              <w:br/>
              <w:t>критерия</w:t>
            </w:r>
          </w:p>
        </w:tc>
        <w:tc>
          <w:tcPr>
            <w:tcW w:w="8508" w:type="dxa"/>
            <w:tcBorders/>
          </w:tcPr>
          <w:p>
            <w:pPr>
              <w:pStyle w:val="Style28"/>
              <w:keepNext w:val="true"/>
              <w:widowControl w:val="false"/>
              <w:suppressAutoHyphens w:val="true"/>
              <w:spacing w:before="60" w:after="60"/>
              <w:jc w:val="center"/>
              <w:rPr>
                <w:rFonts w:eastAsia="Calibri"/>
              </w:rPr>
            </w:pPr>
            <w:r>
              <w:rPr>
                <w:rFonts w:eastAsia="Calibri" w:cs=""/>
                <w:b/>
                <w:kern w:val="0"/>
                <w:sz w:val="26"/>
                <w:szCs w:val="22"/>
                <w:lang w:val="ru-RU" w:eastAsia="en-US" w:bidi="ar-SA"/>
              </w:rPr>
              <w:t>Наименование</w:t>
              <w:br/>
              <w:t>критерия проверки</w:t>
            </w:r>
          </w:p>
        </w:tc>
        <w:tc>
          <w:tcPr>
            <w:tcW w:w="3116" w:type="dxa"/>
            <w:tcBorders/>
          </w:tcPr>
          <w:p>
            <w:pPr>
              <w:pStyle w:val="Style28"/>
              <w:keepNext w:val="true"/>
              <w:widowControl w:val="false"/>
              <w:suppressAutoHyphens w:val="true"/>
              <w:spacing w:before="60" w:after="60"/>
              <w:jc w:val="center"/>
              <w:rPr>
                <w:rFonts w:eastAsia="Calibri"/>
              </w:rPr>
            </w:pPr>
            <w:r>
              <w:rPr>
                <w:rFonts w:eastAsia="Calibri" w:cs=""/>
                <w:b/>
                <w:kern w:val="0"/>
                <w:sz w:val="26"/>
                <w:szCs w:val="22"/>
                <w:lang w:val="ru-RU" w:eastAsia="en-US" w:bidi="ar-SA"/>
              </w:rPr>
              <w:t>Номер пункта</w:t>
              <w:br/>
              <w:t>Документации о закупке</w:t>
            </w:r>
          </w:p>
        </w:tc>
        <w:tc>
          <w:tcPr>
            <w:tcW w:w="2090" w:type="dxa"/>
            <w:tcBorders/>
          </w:tcPr>
          <w:p>
            <w:pPr>
              <w:pStyle w:val="Style28"/>
              <w:keepNext w:val="true"/>
              <w:widowControl w:val="false"/>
              <w:suppressAutoHyphens w:val="true"/>
              <w:spacing w:before="60" w:after="60"/>
              <w:jc w:val="center"/>
              <w:rPr>
                <w:rFonts w:eastAsia="Calibri"/>
              </w:rPr>
            </w:pPr>
            <w:r>
              <w:rPr>
                <w:rFonts w:eastAsia="Calibri" w:cs=""/>
                <w:b/>
                <w:kern w:val="0"/>
                <w:sz w:val="26"/>
                <w:szCs w:val="22"/>
                <w:lang w:val="ru-RU" w:eastAsia="en-US" w:bidi="ar-SA"/>
              </w:rPr>
              <w:t>Направления</w:t>
              <w:br/>
              <w:t>оценки заявок*</w:t>
            </w:r>
          </w:p>
        </w:tc>
      </w:tr>
      <w:tr>
        <w:trPr/>
        <w:tc>
          <w:tcPr>
            <w:tcW w:w="1411" w:type="dxa"/>
            <w:tcBorders/>
          </w:tcPr>
          <w:p>
            <w:pPr>
              <w:pStyle w:val="Style28"/>
              <w:widowControl w:val="false"/>
              <w:numPr>
                <w:ilvl w:val="0"/>
                <w:numId w:val="11"/>
              </w:numPr>
              <w:suppressAutoHyphens w:val="true"/>
              <w:spacing w:before="60" w:after="60"/>
              <w:ind w:left="170" w:hanging="0"/>
              <w:jc w:val="center"/>
              <w:rPr>
                <w:rFonts w:eastAsia="Calibri"/>
              </w:rPr>
            </w:pPr>
            <w:r>
              <w:rPr>
                <w:rFonts w:eastAsia="Calibri"/>
              </w:rPr>
            </w:r>
          </w:p>
        </w:tc>
        <w:tc>
          <w:tcPr>
            <w:tcW w:w="8508" w:type="dxa"/>
            <w:tcBorders/>
          </w:tcPr>
          <w:p>
            <w:pPr>
              <w:pStyle w:val="Style28"/>
              <w:widowControl w:val="false"/>
              <w:suppressAutoHyphens w:val="true"/>
              <w:spacing w:before="60" w:after="60"/>
              <w:rPr>
                <w:rFonts w:eastAsia="Calibri"/>
              </w:rPr>
            </w:pPr>
            <w:r>
              <w:rPr>
                <w:rFonts w:eastAsia="Calibri" w:cs=""/>
                <w:kern w:val="0"/>
                <w:sz w:val="26"/>
                <w:szCs w:val="22"/>
                <w:lang w:val="ru-RU" w:eastAsia="en-US" w:bidi="ar-SA"/>
              </w:rPr>
              <w:t>Наличие в заявке в форме Коммерческого предложения информации о стране происхождения товара</w:t>
            </w:r>
          </w:p>
        </w:tc>
        <w:tc>
          <w:tcPr>
            <w:tcW w:w="3116" w:type="dxa"/>
            <w:tcBorders/>
          </w:tcPr>
          <w:p>
            <w:pPr>
              <w:pStyle w:val="Style28"/>
              <w:widowControl w:val="false"/>
              <w:suppressAutoHyphens w:val="true"/>
              <w:spacing w:before="60" w:after="60"/>
              <w:jc w:val="center"/>
              <w:rPr/>
            </w:pPr>
            <w:r>
              <w:rPr>
                <w:rFonts w:eastAsia="Calibri" w:cs=""/>
                <w:kern w:val="0"/>
                <w:sz w:val="26"/>
                <w:szCs w:val="22"/>
                <w:lang w:val="ru-RU" w:eastAsia="en-US" w:bidi="ar-SA"/>
              </w:rPr>
              <w:t>подраздел </w:t>
            </w:r>
            <w:r>
              <w:rPr>
                <w:rFonts w:eastAsia="Calibri" w:cs=""/>
                <w:kern w:val="0"/>
                <w:sz w:val="26"/>
                <w:szCs w:val="22"/>
                <w:lang w:val="ru-RU" w:eastAsia="en-US" w:bidi="ar-SA"/>
              </w:rPr>
              <w:fldChar w:fldCharType="begin"/>
            </w:r>
            <w:r>
              <w:rPr>
                <w:sz w:val="26"/>
                <w:kern w:val="0"/>
                <w:szCs w:val="22"/>
                <w:rFonts w:eastAsia="Calibri" w:cs=""/>
                <w:lang w:val="ru-RU" w:eastAsia="en-US" w:bidi="ar-SA"/>
              </w:rPr>
              <w:instrText xml:space="preserve"> REF _Ref132894106 \r \h </w:instrText>
            </w:r>
            <w:r>
              <w:rPr>
                <w:sz w:val="26"/>
                <w:kern w:val="0"/>
                <w:szCs w:val="22"/>
                <w:rFonts w:eastAsia="Calibri" w:cs=""/>
                <w:lang w:val="ru-RU" w:eastAsia="en-US" w:bidi="ar-SA"/>
              </w:rPr>
              <w:fldChar w:fldCharType="separate"/>
            </w:r>
            <w:r>
              <w:rPr>
                <w:sz w:val="26"/>
                <w:kern w:val="0"/>
                <w:szCs w:val="22"/>
                <w:rFonts w:eastAsia="Calibri" w:cs=""/>
                <w:lang w:val="ru-RU" w:eastAsia="en-US" w:bidi="ar-SA"/>
              </w:rPr>
              <w:t>4.13</w:t>
            </w:r>
            <w:r>
              <w:rPr>
                <w:sz w:val="26"/>
                <w:kern w:val="0"/>
                <w:szCs w:val="22"/>
                <w:rFonts w:eastAsia="Calibri" w:cs=""/>
                <w:lang w:val="ru-RU" w:eastAsia="en-US" w:bidi="ar-SA"/>
              </w:rPr>
              <w:fldChar w:fldCharType="end"/>
            </w:r>
            <w:r>
              <w:rPr>
                <w:rFonts w:eastAsia="Calibri" w:cs=""/>
                <w:kern w:val="0"/>
                <w:sz w:val="26"/>
                <w:szCs w:val="22"/>
                <w:lang w:val="ru-RU" w:eastAsia="en-US" w:bidi="ar-SA"/>
              </w:rPr>
              <w:t>,</w:t>
              <w:br/>
            </w:r>
            <w:hyperlink w:anchor="Прил04_ФормыЗаявки">
              <w:r>
                <w:rPr>
                  <w:rStyle w:val="Style13"/>
                  <w:rFonts w:eastAsia="Calibri" w:cs=""/>
                  <w:kern w:val="0"/>
                  <w:sz w:val="26"/>
                  <w:szCs w:val="22"/>
                  <w:lang w:val="ru-RU" w:eastAsia="en-US" w:bidi="ar-SA"/>
                </w:rPr>
                <w:t>Приложение № 4</w:t>
              </w:r>
            </w:hyperlink>
          </w:p>
        </w:tc>
        <w:tc>
          <w:tcPr>
            <w:tcW w:w="2090" w:type="dxa"/>
            <w:tcBorders/>
          </w:tcPr>
          <w:p>
            <w:pPr>
              <w:pStyle w:val="Style28"/>
              <w:widowControl w:val="false"/>
              <w:suppressAutoHyphens w:val="true"/>
              <w:spacing w:before="60" w:after="60"/>
              <w:jc w:val="center"/>
              <w:rPr>
                <w:rFonts w:eastAsia="Calibri"/>
              </w:rPr>
            </w:pPr>
            <w:r>
              <w:rPr>
                <w:rFonts w:eastAsia="Calibri" w:cs=""/>
                <w:kern w:val="0"/>
                <w:sz w:val="26"/>
                <w:szCs w:val="22"/>
                <w:lang w:val="ru-RU" w:eastAsia="en-US" w:bidi="ar-SA"/>
              </w:rPr>
              <w:t>Цена</w:t>
            </w:r>
          </w:p>
        </w:tc>
      </w:tr>
    </w:tbl>
    <w:p>
      <w:pPr>
        <w:pStyle w:val="Style28"/>
        <w:keepNext w:val="true"/>
        <w:tabs>
          <w:tab w:val="clear" w:pos="708"/>
          <w:tab w:val="left" w:pos="851" w:leader="none"/>
        </w:tabs>
        <w:spacing w:before="240" w:after="0"/>
        <w:rPr>
          <w:b/>
          <w:bCs/>
        </w:rPr>
      </w:pPr>
      <w:r>
        <w:rPr>
          <w:b/>
          <w:bCs/>
        </w:rPr>
        <w:t>* Направления оценки заявок:</w:t>
      </w:r>
    </w:p>
    <w:p>
      <w:pPr>
        <w:pStyle w:val="Style28"/>
        <w:tabs>
          <w:tab w:val="clear" w:pos="708"/>
          <w:tab w:val="left" w:pos="1134" w:leader="none"/>
        </w:tabs>
        <w:ind w:left="1701" w:hanging="1701"/>
        <w:rPr/>
      </w:pPr>
      <w:r>
        <w:rPr>
          <w:b/>
          <w:bCs/>
        </w:rPr>
        <w:t>Орг</w:t>
      </w:r>
      <w:r>
        <w:rPr/>
        <w:tab/>
        <w:t>–</w:t>
        <w:tab/>
        <w:t xml:space="preserve">проверка наличия в составе заявки необходимых документов для рассмотрения экспертом по своему направлению: проверка наличия в составе заявке и оценка правильности оформления Письма о подаче оферты; наличия обеспечения обязательств Участника, связанного с подачей заявки, в виде банковской гарантии (в том числе наличие сведений о ней в соответствующем реестре в ЕИС) – в случае отсутствия внесенных Участником денежных средств на индивидуальный счет, открытый Участнику Оператором ЭП в соответствии с Регламентом ЭП </w:t>
      </w:r>
      <w:r>
        <w:rPr>
          <w:i/>
          <w:iCs/>
        </w:rPr>
        <w:t>(последние применяется только в случае установления соответствующих требований)</w:t>
      </w:r>
      <w:r>
        <w:rPr/>
        <w:t>; наличие у Участника статуса «аккредитован», либо статуса «аккредитация не требуется» (или наличие заявки на аккредитацию (при необходимости)), участвует в процедуре актуализации статуса аккредитации (при необходимости); проверка отсутствие сведений об Участнике в перечне юридических лиц, в отношении которых применяются специальные экономические меры, утвержденном Постановлением Правительства Российской Федерации от 11.05.2022 № 851; проверка наличия информации об</w:t>
      </w:r>
      <w:r>
        <w:rPr>
          <w:lang w:val="en-US"/>
        </w:rPr>
        <w:t> </w:t>
      </w:r>
      <w:r>
        <w:rPr/>
        <w:t>Участнике в Реестре МСП (https://rmsp.nalog.ru/index.html), а в отношении физических лиц, не являющихся индивидуальными предпринимателями и применяющих специальный налоговый режим «Налог на профессиональный доход» – наличие информации на официальном сайте федерального органа исполнительной власти, уполномоченного по</w:t>
      </w:r>
      <w:r>
        <w:rPr>
          <w:lang w:val="en-US"/>
        </w:rPr>
        <w:t> </w:t>
      </w:r>
      <w:r>
        <w:rPr/>
        <w:t>контролю и надзору в области налогов и сборов, о применении ими такого налогового режима (https://npd.nalog.ru/check-status/);</w:t>
      </w:r>
    </w:p>
    <w:p>
      <w:pPr>
        <w:pStyle w:val="Style28"/>
        <w:tabs>
          <w:tab w:val="clear" w:pos="708"/>
          <w:tab w:val="left" w:pos="1134" w:leader="none"/>
        </w:tabs>
        <w:ind w:left="1701" w:hanging="1701"/>
        <w:rPr/>
      </w:pPr>
      <w:r>
        <w:rPr>
          <w:b/>
          <w:bCs/>
        </w:rPr>
        <w:t>Тех</w:t>
      </w:r>
      <w:r>
        <w:rPr/>
        <w:tab/>
        <w:t>–</w:t>
        <w:tab/>
        <w:t xml:space="preserve">проверка наличия в составе заявки всех необходимых документов для рассмотрения экспертом по своему направлению, а также правильности их оформления; оценка Технических предложений и сведений, подтверждающих соответствия Участника квалификационным и специальным требованиям; </w:t>
      </w:r>
      <w:bookmarkStart w:id="369" w:name="_Hlk138342998"/>
      <w:r>
        <w:rPr/>
        <w:t>проверка технической части подтверждающей документации, прилагаемой к Коммерческому предложению (при наличии), а также, при необходимости, технических условий исполнения Договора</w:t>
      </w:r>
      <w:bookmarkEnd w:id="369"/>
      <w:r>
        <w:rPr/>
        <w:t>;</w:t>
      </w:r>
    </w:p>
    <w:p>
      <w:pPr>
        <w:pStyle w:val="Style28"/>
        <w:tabs>
          <w:tab w:val="clear" w:pos="708"/>
          <w:tab w:val="left" w:pos="1134" w:leader="none"/>
        </w:tabs>
        <w:ind w:left="1701" w:hanging="1701"/>
        <w:rPr/>
      </w:pPr>
      <w:r>
        <w:rPr>
          <w:b/>
          <w:bCs/>
        </w:rPr>
        <w:t>Юр</w:t>
      </w:r>
      <w:r>
        <w:rPr/>
        <w:tab/>
        <w:t>–</w:t>
        <w:tab/>
        <w:t>проверка наличия в составе заявки всех необходимых документов для рассмотрения экспертом по своему направлению, а также оценка правильности их оформления (в т.ч. в части наличия должных печатей, подписей формы заверения, языка заявки); оценка юридических аспектов заявки, в том числе оценка правомочности подписанта доверенности (при необходимости) на основании выписки из ЕГРЮЛ (выписка из ЕГРЮЛ доступна на официальном сервисе ФНС России https://egrul.nalog.ru/index.html);</w:t>
      </w:r>
    </w:p>
    <w:p>
      <w:pPr>
        <w:pStyle w:val="Style28"/>
        <w:keepNext w:val="true"/>
        <w:tabs>
          <w:tab w:val="clear" w:pos="708"/>
          <w:tab w:val="left" w:pos="1134" w:leader="none"/>
        </w:tabs>
        <w:ind w:left="1701" w:hanging="1701"/>
        <w:rPr/>
      </w:pPr>
      <w:r>
        <w:rPr>
          <w:b/>
          <w:bCs/>
        </w:rPr>
        <w:t>Цена</w:t>
      </w:r>
      <w:r>
        <w:rPr/>
        <w:tab/>
        <w:t>–</w:t>
        <w:tab/>
        <w:t>проверка наличия в составе заявки всех необходимых документов для рассмотрения экспертом по своему направлению, а также оценка правильности их оформления (в т.ч. в части наличия должных печатей, подписей формы заверения, языка и валюты заявки); проверка отсутствия противоречий (в части стоимости заявки (цены Договора)) между Письмом о подаче оферты и сведениями, указанными Участником в структурированных формах на ЭП; оценка Коммерческого предложения Участника, а также (при наличии) прилагаемой к нему подтверждающей документации (включая спецификацию) на предмет непревышения ценового предложения участника установленного размера НМЦ.</w:t>
      </w:r>
    </w:p>
    <w:p>
      <w:pPr>
        <w:pStyle w:val="Style28"/>
        <w:tabs>
          <w:tab w:val="clear" w:pos="708"/>
          <w:tab w:val="left" w:pos="1134" w:leader="none"/>
        </w:tabs>
        <w:ind w:left="1701" w:hanging="1701"/>
        <w:rPr/>
      </w:pPr>
      <w:r>
        <w:rPr>
          <w:b/>
          <w:bCs/>
        </w:rPr>
        <w:t>Фин</w:t>
      </w:r>
      <w:r>
        <w:rPr/>
        <w:tab/>
        <w:t>–</w:t>
        <w:tab/>
        <w:t xml:space="preserve">оценка банковской гарантии, в том числе правильность оформления рассматриваемых документов (в т.ч. в части наличия должных печатей, подписей формы заверения, языка и валюты заявки) </w:t>
      </w:r>
      <w:r>
        <w:rPr>
          <w:i/>
          <w:iCs/>
        </w:rPr>
        <w:t>(финансовая экспертиза проводится по инициативе эксперта по направлениям Орг, в случае наличия в заявке банковской гарантии)</w:t>
      </w:r>
      <w:r>
        <w:rPr/>
        <w:t>.</w:t>
      </w:r>
    </w:p>
    <w:p>
      <w:pPr>
        <w:sectPr>
          <w:headerReference w:type="default" r:id="rId30"/>
          <w:headerReference w:type="first" r:id="rId31"/>
          <w:footerReference w:type="default" r:id="rId32"/>
          <w:footerReference w:type="first" r:id="rId33"/>
          <w:footnotePr>
            <w:numFmt w:val="decimal"/>
          </w:footnotePr>
          <w:type w:val="nextPage"/>
          <w:pgSz w:orient="landscape" w:w="16838" w:h="11906"/>
          <w:pgMar w:left="851" w:right="851" w:gutter="0" w:header="567" w:top="1134" w:footer="567" w:bottom="850"/>
          <w:pgNumType w:fmt="decimal"/>
          <w:formProt w:val="false"/>
          <w:textDirection w:val="lrTb"/>
          <w:docGrid w:type="default" w:linePitch="360" w:charSpace="0"/>
        </w:sectPr>
        <w:pStyle w:val="Style28"/>
        <w:rPr/>
      </w:pPr>
      <w:r>
        <w:rPr/>
        <w:t>В случае указания по одному критерию отбора сразу нескольких направлений оценки заявок – экспертиза на соответствие указанному критерию осуществляется в пределах компетенции эксперта (в рамках материалов (документов), являющихся предметом его экспертизы).</w:t>
      </w:r>
    </w:p>
    <w:p>
      <w:pPr>
        <w:pStyle w:val="Style22"/>
        <w:rPr/>
      </w:pPr>
      <w:bookmarkStart w:id="370" w:name="_Toc188004716"/>
      <w:bookmarkStart w:id="371" w:name="_Ref125369438"/>
      <w:bookmarkStart w:id="372" w:name="_Ref125369021"/>
      <w:bookmarkStart w:id="373" w:name="_Ref125368331"/>
      <w:bookmarkStart w:id="374" w:name="_Ref125368313"/>
      <w:bookmarkStart w:id="375" w:name="_Ref125368302"/>
      <w:bookmarkStart w:id="376" w:name="_Ref125368291"/>
      <w:bookmarkStart w:id="377" w:name="_Ref125368283"/>
      <w:bookmarkStart w:id="378" w:name="_Ref125368184"/>
      <w:bookmarkStart w:id="379" w:name="_Ref125368172"/>
      <w:bookmarkStart w:id="380" w:name="_Ref125368165"/>
      <w:bookmarkStart w:id="381" w:name="_Ref125368150"/>
      <w:bookmarkStart w:id="382" w:name="_Ref125368140"/>
      <w:bookmarkStart w:id="383" w:name="_Ref125366285"/>
      <w:bookmarkStart w:id="384" w:name="_Ref125366280"/>
      <w:bookmarkStart w:id="385" w:name="_Ref125366013"/>
      <w:bookmarkStart w:id="386" w:name="_Ref125361951"/>
      <w:bookmarkStart w:id="387" w:name="_Ref125361648"/>
      <w:bookmarkStart w:id="388" w:name="Прил08_ПорядокОценки"/>
      <w:bookmarkEnd w:id="388"/>
      <w:r>
        <w:rPr/>
        <w:t>Приложение № 8 – Порядок и критерии оценки и сопоставления заявок</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pPr>
        <w:pStyle w:val="Style23"/>
        <w:rPr/>
      </w:pPr>
      <w:bookmarkStart w:id="389" w:name="_Toc188004717"/>
      <w:r>
        <w:rPr/>
        <w:t>Порядок и критерии оценки и сопоставления заявок</w:t>
      </w:r>
      <w:bookmarkEnd w:id="389"/>
    </w:p>
    <w:p>
      <w:pPr>
        <w:pStyle w:val="Style24"/>
        <w:rPr/>
      </w:pPr>
      <w:r>
        <w:rPr/>
        <w:t>Расчет итоговой оценки предпочтительности каждой заявки, успешно прошедшей отборочную стадию (подраздел </w:t>
      </w:r>
      <w:r>
        <w:rPr/>
        <w:fldChar w:fldCharType="begin"/>
      </w:r>
      <w:r>
        <w:rPr/>
        <w:instrText xml:space="preserve"> REF _Ref125362364 \w \h </w:instrText>
      </w:r>
      <w:r>
        <w:rPr/>
        <w:fldChar w:fldCharType="separate"/>
      </w:r>
      <w:r>
        <w:rPr/>
        <w:t>4.9</w:t>
      </w:r>
      <w:r>
        <w:rPr/>
        <w:fldChar w:fldCharType="end"/>
      </w:r>
      <w:r>
        <w:rPr/>
        <w:t>), осуществляется по следующим критериям оценки и в соответствии со следующим порядком оценки предпочтительности и сопоставления заявок:</w:t>
      </w:r>
    </w:p>
    <w:tbl>
      <w:tblPr>
        <w:tblW w:w="5000" w:type="pct"/>
        <w:jc w:val="left"/>
        <w:tblInd w:w="0" w:type="dxa"/>
        <w:tblLayout w:type="fixed"/>
        <w:tblCellMar>
          <w:top w:w="0" w:type="dxa"/>
          <w:left w:w="108" w:type="dxa"/>
          <w:bottom w:w="0" w:type="dxa"/>
          <w:right w:w="108" w:type="dxa"/>
        </w:tblCellMar>
        <w:tblLook w:noVBand="1" w:val="04a0" w:noHBand="0" w:lastColumn="0" w:firstColumn="1" w:lastRow="0" w:firstRow="1"/>
      </w:tblPr>
      <w:tblGrid>
        <w:gridCol w:w="1070"/>
        <w:gridCol w:w="1336"/>
        <w:gridCol w:w="1915"/>
        <w:gridCol w:w="1164"/>
        <w:gridCol w:w="964"/>
        <w:gridCol w:w="1783"/>
        <w:gridCol w:w="6903"/>
      </w:tblGrid>
      <w:tr>
        <w:trPr>
          <w:trHeight w:val="850" w:hRule="atLeast"/>
          <w:cantSplit w:val="true"/>
        </w:trPr>
        <w:tc>
          <w:tcPr>
            <w:tcW w:w="1070" w:type="dxa"/>
            <w:vMerge w:val="restart"/>
            <w:tcBorders>
              <w:top w:val="single" w:sz="4" w:space="0" w:color="000000"/>
              <w:left w:val="single" w:sz="4" w:space="0" w:color="000000"/>
              <w:bottom w:val="single" w:sz="4" w:space="0" w:color="000000"/>
              <w:right w:val="single" w:sz="4" w:space="0" w:color="000000"/>
            </w:tcBorders>
            <w:shd w:color="auto" w:fill="D5DCE4" w:val="clear"/>
            <w:vAlign w:val="center"/>
          </w:tcPr>
          <w:p>
            <w:pPr>
              <w:pStyle w:val="Normal"/>
              <w:keepNext w:val="true"/>
              <w:widowControl w:val="false"/>
              <w:spacing w:lineRule="auto" w:line="252" w:before="40" w:after="40"/>
              <w:jc w:val="center"/>
              <w:rPr>
                <w:rFonts w:ascii="Times New Roman" w:hAnsi="Times New Roman" w:eastAsia="Times New Roman" w:cs="Times New Roman"/>
                <w:sz w:val="20"/>
                <w:szCs w:val="20"/>
              </w:rPr>
            </w:pPr>
            <w:r>
              <w:rPr>
                <w:rFonts w:eastAsia="Times New Roman" w:cs="Times New Roman"/>
                <w:sz w:val="20"/>
                <w:szCs w:val="20"/>
              </w:rPr>
              <w:t>Номер критерия оценки в структуре</w:t>
            </w:r>
          </w:p>
        </w:tc>
        <w:tc>
          <w:tcPr>
            <w:tcW w:w="1336" w:type="dxa"/>
            <w:vMerge w:val="restart"/>
            <w:tcBorders>
              <w:top w:val="single" w:sz="4" w:space="0" w:color="000000"/>
              <w:left w:val="single" w:sz="4" w:space="0" w:color="000000"/>
              <w:bottom w:val="single" w:sz="4" w:space="0" w:color="000000"/>
              <w:right w:val="single" w:sz="4" w:space="0" w:color="000000"/>
            </w:tcBorders>
            <w:shd w:color="auto" w:fill="D5DCE4" w:val="clear"/>
            <w:vAlign w:val="center"/>
          </w:tcPr>
          <w:p>
            <w:pPr>
              <w:pStyle w:val="Normal"/>
              <w:keepNext w:val="true"/>
              <w:widowControl w:val="false"/>
              <w:spacing w:lineRule="auto" w:line="252" w:before="40" w:after="40"/>
              <w:jc w:val="center"/>
              <w:rPr>
                <w:rFonts w:ascii="Times New Roman" w:hAnsi="Times New Roman" w:eastAsia="Times New Roman" w:cs="Times New Roman"/>
                <w:sz w:val="20"/>
                <w:szCs w:val="20"/>
              </w:rPr>
            </w:pPr>
            <w:r>
              <w:rPr>
                <w:rFonts w:eastAsia="Times New Roman" w:cs="Times New Roman"/>
                <w:bCs/>
                <w:sz w:val="20"/>
                <w:szCs w:val="20"/>
              </w:rPr>
              <w:t>Направление оценки заявок</w:t>
            </w:r>
          </w:p>
        </w:tc>
        <w:tc>
          <w:tcPr>
            <w:tcW w:w="3079" w:type="dxa"/>
            <w:gridSpan w:val="2"/>
            <w:tcBorders>
              <w:top w:val="single" w:sz="4" w:space="0" w:color="000000"/>
              <w:left w:val="single" w:sz="4" w:space="0" w:color="000000"/>
              <w:bottom w:val="single" w:sz="4" w:space="0" w:color="000000"/>
              <w:right w:val="single" w:sz="4" w:space="0" w:color="000000"/>
            </w:tcBorders>
            <w:shd w:color="auto" w:fill="D5DCE4" w:val="clear"/>
            <w:vAlign w:val="center"/>
          </w:tcPr>
          <w:p>
            <w:pPr>
              <w:pStyle w:val="Normal"/>
              <w:keepNext w:val="true"/>
              <w:widowControl w:val="false"/>
              <w:spacing w:lineRule="auto" w:line="252" w:before="40" w:after="40"/>
              <w:jc w:val="center"/>
              <w:rPr>
                <w:rFonts w:ascii="Times New Roman" w:hAnsi="Times New Roman" w:eastAsia="Times New Roman" w:cs="Times New Roman"/>
                <w:sz w:val="20"/>
                <w:szCs w:val="20"/>
              </w:rPr>
            </w:pPr>
            <w:r>
              <w:rPr>
                <w:rFonts w:eastAsia="Times New Roman" w:cs="Times New Roman"/>
                <w:sz w:val="20"/>
                <w:szCs w:val="20"/>
              </w:rPr>
              <w:t>Наименование критерия оценки</w:t>
            </w:r>
          </w:p>
        </w:tc>
        <w:tc>
          <w:tcPr>
            <w:tcW w:w="964" w:type="dxa"/>
            <w:tcBorders>
              <w:top w:val="single" w:sz="4" w:space="0" w:color="000000"/>
              <w:left w:val="single" w:sz="4" w:space="0" w:color="000000"/>
              <w:bottom w:val="single" w:sz="4" w:space="0" w:color="000000"/>
              <w:right w:val="single" w:sz="4" w:space="0" w:color="000000"/>
            </w:tcBorders>
            <w:shd w:color="auto" w:fill="D5DCE4" w:val="clear"/>
            <w:vAlign w:val="center"/>
          </w:tcPr>
          <w:p>
            <w:pPr>
              <w:pStyle w:val="Normal"/>
              <w:keepNext w:val="true"/>
              <w:widowControl w:val="false"/>
              <w:spacing w:lineRule="auto" w:line="252" w:before="40" w:after="40"/>
              <w:jc w:val="center"/>
              <w:rPr>
                <w:rFonts w:ascii="Times New Roman" w:hAnsi="Times New Roman" w:eastAsia="Times New Roman" w:cs="Times New Roman"/>
                <w:sz w:val="20"/>
                <w:szCs w:val="20"/>
              </w:rPr>
            </w:pPr>
            <w:r>
              <w:rPr>
                <w:rFonts w:eastAsia="Times New Roman" w:cs="Times New Roman"/>
                <w:sz w:val="20"/>
                <w:szCs w:val="20"/>
              </w:rPr>
              <w:t>Значимость критерия оценки</w:t>
            </w:r>
          </w:p>
        </w:tc>
        <w:tc>
          <w:tcPr>
            <w:tcW w:w="1783" w:type="dxa"/>
            <w:tcBorders>
              <w:top w:val="single" w:sz="4" w:space="0" w:color="000000"/>
              <w:left w:val="single" w:sz="4" w:space="0" w:color="000000"/>
              <w:bottom w:val="single" w:sz="4" w:space="0" w:color="000000"/>
              <w:right w:val="single" w:sz="4" w:space="0" w:color="000000"/>
            </w:tcBorders>
            <w:shd w:color="auto" w:fill="D5DCE4" w:val="clear"/>
            <w:vAlign w:val="center"/>
          </w:tcPr>
          <w:p>
            <w:pPr>
              <w:pStyle w:val="Normal"/>
              <w:keepNext w:val="true"/>
              <w:widowControl w:val="false"/>
              <w:spacing w:lineRule="auto" w:line="252" w:before="40" w:after="40"/>
              <w:jc w:val="center"/>
              <w:rPr>
                <w:rFonts w:ascii="Times New Roman" w:hAnsi="Times New Roman" w:eastAsia="Times New Roman" w:cs="Times New Roman"/>
                <w:sz w:val="20"/>
                <w:szCs w:val="20"/>
              </w:rPr>
            </w:pPr>
            <w:r>
              <w:rPr>
                <w:rFonts w:eastAsia="Times New Roman" w:cs="Times New Roman"/>
                <w:sz w:val="20"/>
                <w:szCs w:val="20"/>
              </w:rPr>
              <w:t>Содержание частного критерия оценки</w:t>
            </w:r>
          </w:p>
        </w:tc>
        <w:tc>
          <w:tcPr>
            <w:tcW w:w="6903" w:type="dxa"/>
            <w:tcBorders>
              <w:top w:val="single" w:sz="4" w:space="0" w:color="000000"/>
              <w:left w:val="single" w:sz="4" w:space="0" w:color="000000"/>
              <w:bottom w:val="single" w:sz="4" w:space="0" w:color="000000"/>
              <w:right w:val="single" w:sz="4" w:space="0" w:color="000000"/>
            </w:tcBorders>
            <w:shd w:color="auto" w:fill="D5DCE4" w:val="clear"/>
            <w:vAlign w:val="center"/>
          </w:tcPr>
          <w:p>
            <w:pPr>
              <w:pStyle w:val="Normal"/>
              <w:keepNext w:val="true"/>
              <w:widowControl w:val="false"/>
              <w:spacing w:lineRule="auto" w:line="252" w:before="40" w:after="40"/>
              <w:jc w:val="center"/>
              <w:rPr>
                <w:rFonts w:ascii="Times New Roman" w:hAnsi="Times New Roman" w:eastAsia="Times New Roman" w:cs="Times New Roman"/>
                <w:sz w:val="20"/>
                <w:szCs w:val="20"/>
              </w:rPr>
            </w:pPr>
            <w:r>
              <w:rPr>
                <w:rFonts w:eastAsia="Times New Roman" w:cs="Times New Roman"/>
                <w:sz w:val="20"/>
                <w:szCs w:val="20"/>
              </w:rPr>
              <w:t>Расчет оценки предпочтительности заявки</w:t>
            </w:r>
          </w:p>
        </w:tc>
      </w:tr>
      <w:tr>
        <w:trPr>
          <w:cantSplit w:val="true"/>
        </w:trPr>
        <w:tc>
          <w:tcPr>
            <w:tcW w:w="10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rPr>
                <w:rFonts w:ascii="Times New Roman" w:hAnsi="Times New Roman" w:eastAsia="Times New Roman" w:cs="Times New Roman"/>
                <w:sz w:val="20"/>
                <w:szCs w:val="20"/>
              </w:rPr>
            </w:pPr>
            <w:r>
              <w:rPr>
                <w:rFonts w:eastAsia="Times New Roman" w:cs="Times New Roman"/>
                <w:sz w:val="20"/>
                <w:szCs w:val="20"/>
              </w:rPr>
            </w:r>
          </w:p>
        </w:tc>
        <w:tc>
          <w:tcPr>
            <w:tcW w:w="13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rPr>
                <w:rFonts w:ascii="Times New Roman" w:hAnsi="Times New Roman" w:eastAsia="Times New Roman" w:cs="Times New Roman"/>
                <w:sz w:val="20"/>
                <w:szCs w:val="20"/>
              </w:rPr>
            </w:pPr>
            <w:r>
              <w:rPr>
                <w:rFonts w:eastAsia="Times New Roman" w:cs="Times New Roman"/>
                <w:sz w:val="20"/>
                <w:szCs w:val="20"/>
              </w:rPr>
            </w:r>
          </w:p>
        </w:tc>
        <w:tc>
          <w:tcPr>
            <w:tcW w:w="1915" w:type="dxa"/>
            <w:tcBorders>
              <w:top w:val="single" w:sz="4" w:space="0" w:color="000000"/>
              <w:left w:val="single" w:sz="4" w:space="0" w:color="000000"/>
              <w:bottom w:val="single" w:sz="4" w:space="0" w:color="000000"/>
              <w:right w:val="single" w:sz="4" w:space="0" w:color="000000"/>
            </w:tcBorders>
            <w:shd w:color="auto" w:fill="D5DCE4" w:val="clear"/>
            <w:vAlign w:val="center"/>
          </w:tcPr>
          <w:p>
            <w:pPr>
              <w:pStyle w:val="Normal"/>
              <w:keepNext w:val="true"/>
              <w:widowControl w:val="false"/>
              <w:spacing w:lineRule="auto" w:line="252" w:before="40" w:after="40"/>
              <w:jc w:val="center"/>
              <w:rPr>
                <w:rFonts w:ascii="Times New Roman" w:hAnsi="Times New Roman" w:eastAsia="Times New Roman" w:cs="Times New Roman"/>
                <w:sz w:val="20"/>
                <w:szCs w:val="20"/>
              </w:rPr>
            </w:pPr>
            <w:r>
              <w:rPr>
                <w:rFonts w:eastAsia="Times New Roman" w:cs="Times New Roman"/>
                <w:sz w:val="20"/>
                <w:szCs w:val="20"/>
              </w:rPr>
              <w:t>критерий оценки первого уровня</w:t>
            </w:r>
          </w:p>
        </w:tc>
        <w:tc>
          <w:tcPr>
            <w:tcW w:w="1164" w:type="dxa"/>
            <w:tcBorders>
              <w:top w:val="single" w:sz="4" w:space="0" w:color="000000"/>
              <w:left w:val="single" w:sz="4" w:space="0" w:color="000000"/>
              <w:bottom w:val="single" w:sz="4" w:space="0" w:color="000000"/>
              <w:right w:val="single" w:sz="4" w:space="0" w:color="000000"/>
            </w:tcBorders>
            <w:shd w:color="auto" w:fill="D5DCE4" w:val="clear"/>
            <w:vAlign w:val="center"/>
          </w:tcPr>
          <w:p>
            <w:pPr>
              <w:pStyle w:val="Normal"/>
              <w:keepNext w:val="true"/>
              <w:widowControl w:val="false"/>
              <w:spacing w:lineRule="auto" w:line="252" w:before="40" w:after="40"/>
              <w:jc w:val="center"/>
              <w:rPr>
                <w:rFonts w:ascii="Times New Roman" w:hAnsi="Times New Roman" w:eastAsia="Times New Roman" w:cs="Times New Roman"/>
                <w:sz w:val="20"/>
                <w:szCs w:val="20"/>
              </w:rPr>
            </w:pPr>
            <w:r>
              <w:rPr>
                <w:rFonts w:eastAsia="Times New Roman" w:cs="Times New Roman"/>
                <w:sz w:val="20"/>
                <w:szCs w:val="20"/>
              </w:rPr>
              <w:t>критерий оценки второго уровня</w:t>
            </w:r>
          </w:p>
        </w:tc>
        <w:tc>
          <w:tcPr>
            <w:tcW w:w="964" w:type="dxa"/>
            <w:tcBorders>
              <w:top w:val="single" w:sz="4" w:space="0" w:color="000000"/>
              <w:left w:val="single" w:sz="4" w:space="0" w:color="000000"/>
              <w:bottom w:val="single" w:sz="4" w:space="0" w:color="000000"/>
              <w:right w:val="single" w:sz="4" w:space="0" w:color="000000"/>
            </w:tcBorders>
            <w:shd w:color="auto" w:fill="D5DCE4" w:val="clear"/>
            <w:vAlign w:val="center"/>
          </w:tcPr>
          <w:p>
            <w:pPr>
              <w:pStyle w:val="Normal"/>
              <w:keepNext w:val="true"/>
              <w:widowControl w:val="false"/>
              <w:spacing w:lineRule="auto" w:line="252" w:before="40" w:after="40"/>
              <w:jc w:val="center"/>
              <w:rPr>
                <w:rFonts w:ascii="Times New Roman" w:hAnsi="Times New Roman" w:eastAsia="Times New Roman" w:cs="Times New Roman"/>
                <w:sz w:val="20"/>
                <w:szCs w:val="20"/>
              </w:rPr>
            </w:pPr>
            <w:r>
              <w:rPr>
                <w:rFonts w:eastAsia="Times New Roman" w:cs="Times New Roman"/>
                <w:sz w:val="20"/>
                <w:szCs w:val="20"/>
              </w:rPr>
            </w:r>
          </w:p>
        </w:tc>
        <w:tc>
          <w:tcPr>
            <w:tcW w:w="1783" w:type="dxa"/>
            <w:tcBorders>
              <w:top w:val="single" w:sz="4" w:space="0" w:color="000000"/>
              <w:left w:val="single" w:sz="4" w:space="0" w:color="000000"/>
              <w:bottom w:val="single" w:sz="4" w:space="0" w:color="000000"/>
              <w:right w:val="single" w:sz="4" w:space="0" w:color="000000"/>
            </w:tcBorders>
            <w:shd w:color="auto" w:fill="D5DCE4" w:val="clear"/>
            <w:vAlign w:val="center"/>
          </w:tcPr>
          <w:p>
            <w:pPr>
              <w:pStyle w:val="Normal"/>
              <w:keepNext w:val="true"/>
              <w:widowControl w:val="false"/>
              <w:spacing w:lineRule="auto" w:line="252" w:before="40" w:after="40"/>
              <w:jc w:val="center"/>
              <w:rPr>
                <w:rFonts w:ascii="Times New Roman" w:hAnsi="Times New Roman" w:eastAsia="Times New Roman" w:cs="Times New Roman"/>
                <w:sz w:val="20"/>
                <w:szCs w:val="20"/>
              </w:rPr>
            </w:pPr>
            <w:r>
              <w:rPr>
                <w:rFonts w:eastAsia="Times New Roman" w:cs="Times New Roman"/>
                <w:sz w:val="20"/>
                <w:szCs w:val="20"/>
              </w:rPr>
            </w:r>
          </w:p>
        </w:tc>
        <w:tc>
          <w:tcPr>
            <w:tcW w:w="6903" w:type="dxa"/>
            <w:tcBorders>
              <w:top w:val="single" w:sz="4" w:space="0" w:color="000000"/>
              <w:left w:val="single" w:sz="4" w:space="0" w:color="000000"/>
              <w:bottom w:val="single" w:sz="4" w:space="0" w:color="000000"/>
              <w:right w:val="single" w:sz="4" w:space="0" w:color="000000"/>
            </w:tcBorders>
            <w:shd w:color="auto" w:fill="D5DCE4" w:val="clear"/>
            <w:vAlign w:val="center"/>
          </w:tcPr>
          <w:p>
            <w:pPr>
              <w:pStyle w:val="Normal"/>
              <w:keepNext w:val="true"/>
              <w:widowControl w:val="false"/>
              <w:spacing w:lineRule="auto" w:line="252" w:before="40" w:after="40"/>
              <w:jc w:val="center"/>
              <w:rPr>
                <w:rFonts w:ascii="Times New Roman" w:hAnsi="Times New Roman" w:eastAsia="Times New Roman" w:cs="Times New Roman"/>
                <w:sz w:val="20"/>
                <w:szCs w:val="20"/>
              </w:rPr>
            </w:pPr>
            <w:r>
              <w:rPr>
                <w:rFonts w:eastAsia="Times New Roman" w:cs="Times New Roman"/>
                <w:sz w:val="20"/>
                <w:szCs w:val="20"/>
              </w:rPr>
            </w:r>
          </w:p>
        </w:tc>
      </w:tr>
      <w:tr>
        <w:trPr>
          <w:trHeight w:val="4649" w:hRule="atLeast"/>
        </w:trPr>
        <w:tc>
          <w:tcPr>
            <w:tcW w:w="10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40" w:after="40"/>
              <w:jc w:val="center"/>
              <w:rPr>
                <w:rFonts w:ascii="Times New Roman" w:hAnsi="Times New Roman" w:eastAsia="Times New Roman" w:cs="Times New Roman"/>
                <w:sz w:val="18"/>
                <w:szCs w:val="18"/>
              </w:rPr>
            </w:pPr>
            <w:r>
              <w:rPr>
                <w:rFonts w:eastAsia="Times New Roman" w:cs="Times New Roman"/>
                <w:sz w:val="18"/>
                <w:szCs w:val="18"/>
              </w:rPr>
              <w:t>1.</w:t>
            </w:r>
          </w:p>
        </w:tc>
        <w:tc>
          <w:tcPr>
            <w:tcW w:w="13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40" w:after="40"/>
              <w:jc w:val="center"/>
              <w:rPr>
                <w:rFonts w:ascii="Times New Roman" w:hAnsi="Times New Roman" w:eastAsia="Times New Roman" w:cs="Times New Roman"/>
                <w:sz w:val="18"/>
                <w:szCs w:val="18"/>
              </w:rPr>
            </w:pPr>
            <w:r>
              <w:rPr>
                <w:rFonts w:eastAsia="Times New Roman" w:cs="Times New Roman"/>
                <w:i/>
                <w:sz w:val="18"/>
                <w:szCs w:val="18"/>
                <w:shd w:fill="FFFFFF" w:val="clear"/>
              </w:rPr>
              <w:t>Ценовой (стоимостный) частный критерий оценки первого уровня /</w:t>
            </w:r>
            <w:r>
              <w:rPr>
                <w:sz w:val="18"/>
                <w:szCs w:val="18"/>
                <w:lang w:eastAsia="ru-RU"/>
              </w:rPr>
              <w:t xml:space="preserve"> </w:t>
            </w:r>
            <w:r>
              <w:rPr>
                <w:rFonts w:eastAsia="Times New Roman" w:cs="Times New Roman"/>
                <w:i/>
                <w:sz w:val="18"/>
                <w:szCs w:val="18"/>
                <w:shd w:fill="FFFFFF" w:val="clear"/>
              </w:rPr>
              <w:t>ЦЕНА</w:t>
            </w:r>
          </w:p>
        </w:tc>
        <w:tc>
          <w:tcPr>
            <w:tcW w:w="191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spacing w:lineRule="auto" w:line="252" w:before="40" w:after="40"/>
              <w:jc w:val="center"/>
              <w:rPr>
                <w:rFonts w:ascii="Times New Roman" w:hAnsi="Times New Roman" w:eastAsia="Times New Roman" w:cs="Times New Roman"/>
                <w:sz w:val="18"/>
                <w:szCs w:val="18"/>
                <w:lang w:val="en-US"/>
              </w:rPr>
            </w:pPr>
            <w:r>
              <w:rPr>
                <w:rFonts w:eastAsia="Times New Roman" w:cs="Times New Roman"/>
                <w:sz w:val="18"/>
                <w:szCs w:val="18"/>
                <w:shd w:fill="FFFFFF" w:val="clear"/>
              </w:rPr>
              <w:t>Цена договора</w:t>
            </w:r>
            <w:r>
              <w:rPr>
                <w:rFonts w:eastAsia="Times New Roman" w:cs="Times New Roman"/>
                <w:sz w:val="18"/>
                <w:szCs w:val="18"/>
                <w:shd w:fill="FFFFFF" w:val="clear"/>
                <w:lang w:val="en-US"/>
              </w:rPr>
              <w:t xml:space="preserve"> (стоимость заявки)</w:t>
            </w:r>
          </w:p>
          <w:p>
            <w:pPr>
              <w:pStyle w:val="Normal"/>
              <w:widowControl w:val="false"/>
              <w:shd w:val="clear" w:color="auto" w:fill="FFFFFF"/>
              <w:spacing w:lineRule="auto" w:line="252" w:before="40" w:after="40"/>
              <w:jc w:val="both"/>
              <w:rPr>
                <w:rFonts w:ascii="Times New Roman" w:hAnsi="Times New Roman" w:eastAsia="Times New Roman" w:cs="Times New Roman"/>
                <w:sz w:val="18"/>
                <w:szCs w:val="18"/>
              </w:rPr>
            </w:pPr>
            <w:r>
              <w:rPr>
                <w:rFonts w:eastAsia="Times New Roman" w:cs="Times New Roman"/>
                <w:sz w:val="18"/>
                <w:szCs w:val="18"/>
              </w:rPr>
            </w:r>
          </w:p>
        </w:tc>
        <w:tc>
          <w:tcPr>
            <w:tcW w:w="11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before="40" w:after="40"/>
              <w:jc w:val="center"/>
              <w:rPr>
                <w:rFonts w:ascii="Times New Roman" w:hAnsi="Times New Roman" w:eastAsia="Times New Roman" w:cs="Times New Roman"/>
                <w:i/>
                <w:i/>
                <w:sz w:val="18"/>
                <w:szCs w:val="18"/>
              </w:rPr>
            </w:pPr>
            <w:r>
              <w:rPr>
                <w:rFonts w:eastAsia="Times New Roman" w:cs="Times New Roman"/>
                <w:sz w:val="18"/>
                <w:szCs w:val="18"/>
              </w:rPr>
              <w:t>отсутствует</w:t>
            </w:r>
          </w:p>
        </w:tc>
        <w:tc>
          <w:tcPr>
            <w:tcW w:w="9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before="40" w:after="40"/>
              <w:jc w:val="center"/>
              <w:rPr>
                <w:rFonts w:ascii="Times New Roman" w:hAnsi="Times New Roman" w:eastAsia="Times New Roman" w:cs="Times New Roman"/>
                <w:sz w:val="18"/>
                <w:szCs w:val="18"/>
              </w:rPr>
            </w:pPr>
            <w:r>
              <w:rPr>
                <w:rFonts w:eastAsia="Times New Roman" w:cs="Times New Roman"/>
                <w:sz w:val="18"/>
                <w:szCs w:val="18"/>
                <w:lang w:val="en-US"/>
              </w:rPr>
              <w:t>85</w:t>
            </w:r>
            <w:r>
              <w:rPr>
                <w:rFonts w:eastAsia="Times New Roman" w:cs="Times New Roman"/>
                <w:sz w:val="18"/>
                <w:szCs w:val="18"/>
              </w:rPr>
              <w:t>%</w:t>
              <w:br/>
              <w:t>(В</w:t>
            </w:r>
            <w:r>
              <w:rPr>
                <w:rFonts w:eastAsia="Times New Roman" w:cs="Times New Roman"/>
                <w:sz w:val="18"/>
                <w:szCs w:val="18"/>
                <w:vertAlign w:val="subscript"/>
              </w:rPr>
              <w:t>1</w:t>
            </w:r>
            <w:r>
              <w:rPr>
                <w:rFonts w:eastAsia="Times New Roman" w:cs="Times New Roman"/>
                <w:sz w:val="18"/>
                <w:szCs w:val="18"/>
              </w:rPr>
              <w:t xml:space="preserve"> = 0,</w:t>
            </w:r>
            <w:r>
              <w:rPr>
                <w:rFonts w:eastAsia="Times New Roman" w:cs="Times New Roman"/>
                <w:sz w:val="18"/>
                <w:szCs w:val="18"/>
                <w:lang w:val="en-US"/>
              </w:rPr>
              <w:t>85</w:t>
            </w:r>
            <w:r>
              <w:rPr>
                <w:rFonts w:eastAsia="Times New Roman" w:cs="Times New Roman"/>
                <w:sz w:val="18"/>
                <w:szCs w:val="18"/>
              </w:rPr>
              <w:t>)</w:t>
            </w:r>
          </w:p>
          <w:p>
            <w:pPr>
              <w:pStyle w:val="Normal"/>
              <w:widowControl w:val="false"/>
              <w:spacing w:lineRule="auto" w:line="252" w:before="40" w:after="40"/>
              <w:jc w:val="both"/>
              <w:rPr>
                <w:rFonts w:ascii="Times New Roman" w:hAnsi="Times New Roman" w:eastAsia="Times New Roman" w:cs="Times New Roman"/>
                <w:sz w:val="18"/>
                <w:szCs w:val="18"/>
              </w:rPr>
            </w:pPr>
            <w:r>
              <w:rPr>
                <w:rFonts w:eastAsia="Times New Roman" w:cs="Times New Roman"/>
                <w:sz w:val="18"/>
                <w:szCs w:val="18"/>
              </w:rPr>
            </w:r>
          </w:p>
        </w:tc>
        <w:tc>
          <w:tcPr>
            <w:tcW w:w="17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before="40" w:after="40"/>
              <w:jc w:val="both"/>
              <w:rPr>
                <w:rFonts w:ascii="Times New Roman" w:hAnsi="Times New Roman" w:eastAsia="Times New Roman" w:cs="Times New Roman"/>
                <w:sz w:val="18"/>
                <w:szCs w:val="18"/>
              </w:rPr>
            </w:pPr>
            <w:r>
              <w:rPr>
                <w:rFonts w:eastAsia="Times New Roman" w:cs="Times New Roman"/>
                <w:sz w:val="18"/>
                <w:szCs w:val="18"/>
              </w:rPr>
              <w:t>Чем меньше стоимость заявки Участника, тем выше предпочтительность</w:t>
            </w:r>
          </w:p>
        </w:tc>
        <w:tc>
          <w:tcPr>
            <w:tcW w:w="690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before="96" w:after="96"/>
              <w:rPr>
                <w:rFonts w:ascii="Times New Roman" w:hAnsi="Times New Roman" w:eastAsia="Times New Roman" w:cs="Times New Roman"/>
                <w:sz w:val="18"/>
                <w:szCs w:val="18"/>
              </w:rPr>
            </w:pPr>
            <w:r>
              <w:rPr>
                <w:rFonts w:eastAsia="Times New Roman" w:cs="Times New Roman"/>
                <w:sz w:val="18"/>
                <w:szCs w:val="18"/>
              </w:rPr>
              <w:t>Расчет оценки предпочтительности по частному критерию по методу «Математическая формула, задающая «функцию ценности»»:</w:t>
            </w:r>
          </w:p>
          <w:p>
            <w:pPr>
              <w:pStyle w:val="Normal"/>
              <w:widowControl w:val="false"/>
              <w:spacing w:lineRule="auto" w:line="252" w:before="96" w:after="96"/>
              <w:jc w:val="center"/>
              <w:rPr>
                <w:rFonts w:ascii="Times New Roman" w:hAnsi="Times New Roman" w:eastAsia="Times New Roman" w:cs="Times New Roman"/>
                <w:sz w:val="18"/>
                <w:szCs w:val="18"/>
              </w:rPr>
            </w:pPr>
            <w:r>
              <w:rPr/>
            </w:r>
            <m:oMathPara xmlns:m="http://schemas.openxmlformats.org/officeDocument/2006/math">
              <m:oMathParaPr>
                <m:jc m:val="center"/>
              </m:oMathParaPr>
              <m:oMath>
                <m:sSub>
                  <m:e>
                    <m:r>
                      <w:rPr>
                        <w:rFonts w:ascii="Cambria Math" w:hAnsi="Cambria Math"/>
                      </w:rPr>
                      <m:t xml:space="preserve">Б</m:t>
                    </m:r>
                  </m:e>
                  <m:sub>
                    <m:r>
                      <w:rPr>
                        <w:rFonts w:ascii="Cambria Math" w:hAnsi="Cambria Math"/>
                      </w:rPr>
                      <m:t xml:space="preserve">1</m:t>
                    </m:r>
                  </m:sub>
                </m:sSub>
                <m:r>
                  <w:rPr>
                    <w:rFonts w:ascii="Cambria Math" w:hAnsi="Cambria Math"/>
                  </w:rPr>
                  <m:t xml:space="preserve">=</m:t>
                </m:r>
                <m:f>
                  <m:num>
                    <m:r>
                      <w:rPr>
                        <w:rFonts w:ascii="Cambria Math" w:hAnsi="Cambria Math"/>
                      </w:rPr>
                      <m:t xml:space="preserve">ЦЕНАmin</m:t>
                    </m:r>
                  </m:num>
                  <m:den>
                    <m:r>
                      <w:rPr>
                        <w:rFonts w:ascii="Cambria Math" w:hAnsi="Cambria Math"/>
                      </w:rPr>
                      <m:t xml:space="preserve">ЦЕНАi</m:t>
                    </m:r>
                  </m:den>
                </m:f>
                <m:r>
                  <w:rPr>
                    <w:rFonts w:ascii="Cambria Math" w:hAnsi="Cambria Math"/>
                  </w:rPr>
                  <m:t xml:space="preserve">×</m:t>
                </m:r>
                <m:r>
                  <w:rPr>
                    <w:rFonts w:ascii="Cambria Math" w:hAnsi="Cambria Math"/>
                  </w:rPr>
                  <m:t xml:space="preserve">Ш</m:t>
                </m:r>
                <m:r>
                  <w:rPr>
                    <w:rFonts w:ascii="Cambria Math" w:hAnsi="Cambria Math"/>
                  </w:rPr>
                  <m:t xml:space="preserve">,</m:t>
                </m:r>
              </m:oMath>
            </m:oMathPara>
          </w:p>
          <w:p>
            <w:pPr>
              <w:pStyle w:val="Normal"/>
              <w:widowControl w:val="false"/>
              <w:spacing w:lineRule="auto" w:line="252" w:before="0" w:after="0"/>
              <w:rPr>
                <w:rFonts w:ascii="Times New Roman" w:hAnsi="Times New Roman" w:eastAsia="Times New Roman" w:cs="Times New Roman"/>
                <w:sz w:val="18"/>
                <w:szCs w:val="18"/>
              </w:rPr>
            </w:pPr>
            <w:r>
              <w:rPr>
                <w:rFonts w:eastAsia="Times New Roman" w:cs="Times New Roman"/>
                <w:sz w:val="18"/>
                <w:szCs w:val="18"/>
              </w:rPr>
              <w:t>где:</w:t>
            </w:r>
          </w:p>
          <w:p>
            <w:pPr>
              <w:pStyle w:val="Normal"/>
              <w:widowControl w:val="false"/>
              <w:spacing w:lineRule="auto" w:line="252" w:before="0" w:after="0"/>
              <w:rPr>
                <w:rFonts w:ascii="Times New Roman" w:hAnsi="Times New Roman" w:eastAsia="Times New Roman" w:cs="Times New Roman"/>
                <w:sz w:val="18"/>
                <w:szCs w:val="18"/>
              </w:rPr>
            </w:pPr>
            <w:r>
              <w:rPr>
                <w:rFonts w:eastAsia="Times New Roman" w:cs="Times New Roman"/>
                <w:sz w:val="18"/>
                <w:szCs w:val="18"/>
              </w:rPr>
              <w:t>Б</w:t>
            </w:r>
            <w:r>
              <w:rPr>
                <w:rFonts w:eastAsia="Times New Roman" w:cs="Times New Roman"/>
                <w:sz w:val="18"/>
                <w:szCs w:val="18"/>
                <w:vertAlign w:val="subscript"/>
              </w:rPr>
              <w:t>1</w:t>
            </w:r>
            <w:r>
              <w:rPr>
                <w:rFonts w:eastAsia="Times New Roman" w:cs="Times New Roman"/>
                <w:sz w:val="18"/>
                <w:szCs w:val="18"/>
              </w:rPr>
              <w:t xml:space="preserve"> – рассчитанная оценка предпочтительности по данному частному критерию оценки в баллах;</w:t>
            </w:r>
          </w:p>
          <w:p>
            <w:pPr>
              <w:pStyle w:val="Normal"/>
              <w:widowControl w:val="false"/>
              <w:spacing w:lineRule="auto" w:line="252" w:before="0" w:after="0"/>
              <w:rPr>
                <w:rFonts w:ascii="Times New Roman" w:hAnsi="Times New Roman" w:eastAsia="Times New Roman" w:cs="Times New Roman"/>
                <w:sz w:val="18"/>
                <w:szCs w:val="18"/>
              </w:rPr>
            </w:pPr>
            <w:r>
              <w:rPr>
                <w:rFonts w:eastAsia="Times New Roman" w:cs="Times New Roman"/>
                <w:sz w:val="18"/>
                <w:szCs w:val="18"/>
              </w:rPr>
              <w:t>ЦЕНА</w:t>
            </w:r>
            <w:r>
              <w:rPr>
                <w:rFonts w:eastAsia="Times New Roman" w:cs="Times New Roman"/>
                <w:i/>
                <w:iCs/>
                <w:sz w:val="18"/>
                <w:szCs w:val="18"/>
                <w:vertAlign w:val="subscript"/>
                <w:lang w:val="en-US"/>
              </w:rPr>
              <w:t>i</w:t>
            </w:r>
            <w:r>
              <w:rPr>
                <w:rFonts w:eastAsia="Times New Roman" w:cs="Times New Roman"/>
                <w:sz w:val="18"/>
                <w:szCs w:val="18"/>
              </w:rPr>
              <w:t xml:space="preserve"> – </w:t>
            </w:r>
            <w:r>
              <w:rPr>
                <w:rFonts w:eastAsia="Calibri" w:cs="Times New Roman"/>
                <w:sz w:val="18"/>
                <w:szCs w:val="16"/>
              </w:rPr>
              <w:t xml:space="preserve">цена договора (стоимость заявки), указанная в </w:t>
            </w:r>
            <w:r>
              <w:rPr>
                <w:rFonts w:eastAsia="Calibri" w:cs="Times New Roman"/>
                <w:sz w:val="18"/>
                <w:szCs w:val="16"/>
                <w:lang w:val="en-US"/>
              </w:rPr>
              <w:t>i</w:t>
            </w:r>
            <w:r>
              <w:rPr>
                <w:rFonts w:eastAsia="Calibri" w:cs="Times New Roman"/>
                <w:sz w:val="18"/>
                <w:szCs w:val="16"/>
              </w:rPr>
              <w:t>-той заявке (в Коммерческом предложении по установленной в Документации о закупке форме) допущенного Участника</w:t>
            </w:r>
            <w:r>
              <w:rPr>
                <w:rFonts w:eastAsia="Times New Roman" w:cs="Times New Roman"/>
                <w:sz w:val="18"/>
                <w:szCs w:val="18"/>
              </w:rPr>
              <w:t>, руб. без НДС;</w:t>
            </w:r>
          </w:p>
          <w:p>
            <w:pPr>
              <w:pStyle w:val="Normal"/>
              <w:widowControl w:val="false"/>
              <w:spacing w:lineRule="auto" w:line="252" w:before="0" w:after="0"/>
              <w:rPr>
                <w:rFonts w:ascii="Times New Roman" w:hAnsi="Times New Roman" w:eastAsia="Times New Roman" w:cs="Times New Roman"/>
                <w:sz w:val="18"/>
                <w:szCs w:val="18"/>
              </w:rPr>
            </w:pPr>
            <w:r>
              <w:rPr>
                <w:rFonts w:eastAsia="Times New Roman" w:cs="Times New Roman"/>
                <w:sz w:val="18"/>
                <w:szCs w:val="18"/>
              </w:rPr>
              <w:t>ЦЕНА</w:t>
            </w:r>
            <w:r>
              <w:rPr>
                <w:rFonts w:eastAsia="Times New Roman" w:cs="Times New Roman"/>
                <w:sz w:val="18"/>
                <w:szCs w:val="18"/>
                <w:vertAlign w:val="subscript"/>
                <w:lang w:val="en-US"/>
              </w:rPr>
              <w:t>min</w:t>
            </w:r>
            <w:r>
              <w:rPr>
                <w:rFonts w:eastAsia="Times New Roman" w:cs="Times New Roman"/>
                <w:sz w:val="18"/>
                <w:szCs w:val="18"/>
                <w:vertAlign w:val="subscript"/>
              </w:rPr>
              <w:t xml:space="preserve"> </w:t>
            </w:r>
            <w:r>
              <w:rPr>
                <w:rFonts w:eastAsia="Times New Roman" w:cs="Times New Roman"/>
                <w:sz w:val="18"/>
                <w:szCs w:val="18"/>
              </w:rPr>
              <w:t>– минимальная цена договора (стоимость заявки) среди всех допущенных заявок Участников, руб. без НДС;</w:t>
            </w:r>
          </w:p>
          <w:p>
            <w:pPr>
              <w:pStyle w:val="Normal"/>
              <w:widowControl w:val="false"/>
              <w:spacing w:lineRule="auto" w:line="252" w:before="0" w:after="0"/>
              <w:rPr>
                <w:rFonts w:ascii="Times New Roman" w:hAnsi="Times New Roman" w:eastAsia="Times New Roman" w:cs="Times New Roman"/>
                <w:sz w:val="18"/>
                <w:szCs w:val="18"/>
              </w:rPr>
            </w:pPr>
            <w:r>
              <w:rPr>
                <w:rFonts w:eastAsia="Times New Roman" w:cs="Times New Roman"/>
                <w:sz w:val="18"/>
                <w:szCs w:val="18"/>
              </w:rPr>
              <w:t>Ш – максимально возможный балл (максимальная возможная оценка предпочтительности) по шкале оценок (Ш = 5).</w:t>
            </w:r>
          </w:p>
          <w:p>
            <w:pPr>
              <w:pStyle w:val="Normal"/>
              <w:widowControl w:val="false"/>
              <w:spacing w:lineRule="auto" w:line="252" w:before="0" w:after="0"/>
              <w:rPr>
                <w:rFonts w:ascii="Times New Roman" w:hAnsi="Times New Roman" w:eastAsia="Times New Roman" w:cs="Times New Roman"/>
                <w:sz w:val="18"/>
                <w:szCs w:val="18"/>
              </w:rPr>
            </w:pPr>
            <w:r>
              <w:rPr>
                <w:rFonts w:eastAsia="Times New Roman" w:cs="Times New Roman"/>
                <w:sz w:val="18"/>
                <w:szCs w:val="18"/>
              </w:rPr>
              <w:t>Оценка предпочтительности заявок осуществляется в едином базисе сопоставления ценовых (стоимостных) предложений, установленном в документации о закупке: без учета НДС. В случае если участник действует по упрощенной системе налогообложения, к таким участникам так же применяется базис сопоставления ценовых (стоимостных) предложений - без учета НДС.</w:t>
            </w:r>
          </w:p>
          <w:p>
            <w:pPr>
              <w:pStyle w:val="Normal"/>
              <w:widowControl w:val="false"/>
              <w:spacing w:lineRule="auto" w:line="252" w:before="0" w:after="0"/>
              <w:rPr>
                <w:rFonts w:ascii="Times New Roman" w:hAnsi="Times New Roman" w:eastAsia="Times New Roman" w:cs="Times New Roman"/>
                <w:sz w:val="18"/>
                <w:szCs w:val="18"/>
              </w:rPr>
            </w:pPr>
            <w:r>
              <w:rPr>
                <w:rFonts w:eastAsia="Times New Roman" w:cs="Times New Roman"/>
                <w:sz w:val="18"/>
                <w:szCs w:val="18"/>
              </w:rPr>
              <w:t>Шкала оценок от 0 до 5 баллов.</w:t>
            </w:r>
          </w:p>
        </w:tc>
      </w:tr>
      <w:tr>
        <w:trPr/>
        <w:tc>
          <w:tcPr>
            <w:tcW w:w="10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40" w:after="40"/>
              <w:jc w:val="center"/>
              <w:rPr>
                <w:rFonts w:ascii="Times New Roman" w:hAnsi="Times New Roman" w:eastAsia="Times New Roman" w:cs="Times New Roman"/>
                <w:sz w:val="18"/>
                <w:szCs w:val="18"/>
              </w:rPr>
            </w:pPr>
            <w:r>
              <w:rPr>
                <w:rFonts w:eastAsia="Times New Roman" w:cs="Times New Roman"/>
                <w:sz w:val="18"/>
                <w:szCs w:val="18"/>
              </w:rPr>
              <w:t>2.</w:t>
            </w:r>
          </w:p>
          <w:p>
            <w:pPr>
              <w:pStyle w:val="Normal"/>
              <w:widowControl w:val="false"/>
              <w:spacing w:lineRule="auto" w:line="252" w:before="40" w:after="40"/>
              <w:jc w:val="both"/>
              <w:rPr>
                <w:rFonts w:ascii="Times New Roman" w:hAnsi="Times New Roman" w:eastAsia="Times New Roman" w:cs="Times New Roman"/>
                <w:sz w:val="18"/>
                <w:szCs w:val="18"/>
              </w:rPr>
            </w:pPr>
            <w:r>
              <w:rPr>
                <w:rFonts w:eastAsia="Times New Roman" w:cs="Times New Roman"/>
                <w:sz w:val="18"/>
                <w:szCs w:val="18"/>
              </w:rPr>
            </w:r>
          </w:p>
        </w:tc>
        <w:tc>
          <w:tcPr>
            <w:tcW w:w="13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40" w:after="40"/>
              <w:jc w:val="center"/>
              <w:rPr>
                <w:rFonts w:ascii="Times New Roman" w:hAnsi="Times New Roman" w:eastAsia="Times New Roman" w:cs="Times New Roman"/>
                <w:sz w:val="18"/>
                <w:szCs w:val="18"/>
              </w:rPr>
            </w:pPr>
            <w:r>
              <w:rPr>
                <w:rFonts w:cs="Times New Roman"/>
                <w:sz w:val="18"/>
                <w:szCs w:val="18"/>
                <w:lang w:eastAsia="ru-RU"/>
              </w:rPr>
              <w:t>Неценовой критерий оценки первого уровня /</w:t>
            </w:r>
            <w:r>
              <w:rPr>
                <w:sz w:val="18"/>
                <w:szCs w:val="18"/>
                <w:lang w:eastAsia="ru-RU"/>
              </w:rPr>
              <w:t xml:space="preserve"> </w:t>
            </w:r>
            <w:r>
              <w:rPr>
                <w:rFonts w:eastAsia="Times New Roman" w:cs="Times New Roman"/>
                <w:sz w:val="18"/>
                <w:szCs w:val="18"/>
              </w:rPr>
              <w:t>ТЕХ</w:t>
            </w:r>
          </w:p>
        </w:tc>
        <w:tc>
          <w:tcPr>
            <w:tcW w:w="191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before="40" w:after="40"/>
              <w:jc w:val="center"/>
              <w:rPr>
                <w:rFonts w:ascii="Times New Roman" w:hAnsi="Times New Roman" w:eastAsia="Times New Roman" w:cs="Times New Roman"/>
                <w:sz w:val="18"/>
                <w:szCs w:val="18"/>
              </w:rPr>
            </w:pPr>
            <w:r>
              <w:rPr>
                <w:rFonts w:eastAsia="Times New Roman" w:cs="Times New Roman"/>
                <w:sz w:val="18"/>
                <w:szCs w:val="18"/>
              </w:rPr>
              <w:t>Квалификация (предпочтительность) участника</w:t>
            </w:r>
          </w:p>
        </w:tc>
        <w:tc>
          <w:tcPr>
            <w:tcW w:w="11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before="40" w:after="40"/>
              <w:jc w:val="center"/>
              <w:rPr>
                <w:rFonts w:ascii="Times New Roman" w:hAnsi="Times New Roman" w:eastAsia="Times New Roman" w:cs="Times New Roman"/>
                <w:i/>
                <w:i/>
                <w:sz w:val="18"/>
                <w:szCs w:val="18"/>
              </w:rPr>
            </w:pPr>
            <w:r>
              <w:rPr>
                <w:rFonts w:eastAsia="Times New Roman" w:cs="Times New Roman"/>
                <w:i/>
                <w:sz w:val="18"/>
                <w:szCs w:val="18"/>
              </w:rPr>
              <w:t>отсутствует</w:t>
            </w:r>
          </w:p>
        </w:tc>
        <w:tc>
          <w:tcPr>
            <w:tcW w:w="9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before="40" w:after="40"/>
              <w:jc w:val="center"/>
              <w:rPr>
                <w:rFonts w:ascii="Times New Roman" w:hAnsi="Times New Roman" w:eastAsia="Times New Roman" w:cs="Times New Roman"/>
                <w:sz w:val="18"/>
                <w:szCs w:val="18"/>
              </w:rPr>
            </w:pPr>
            <w:r>
              <w:rPr>
                <w:rFonts w:eastAsia="Times New Roman" w:cs="Times New Roman"/>
                <w:sz w:val="18"/>
                <w:szCs w:val="18"/>
              </w:rPr>
              <w:t>10%</w:t>
              <w:br/>
              <w:t>(В</w:t>
            </w:r>
            <w:r>
              <w:rPr>
                <w:rFonts w:eastAsia="Times New Roman" w:cs="Times New Roman"/>
                <w:sz w:val="18"/>
                <w:szCs w:val="18"/>
                <w:vertAlign w:val="subscript"/>
              </w:rPr>
              <w:t>2</w:t>
            </w:r>
            <w:r>
              <w:rPr>
                <w:rFonts w:eastAsia="Times New Roman" w:cs="Times New Roman"/>
                <w:sz w:val="18"/>
                <w:szCs w:val="18"/>
              </w:rPr>
              <w:t xml:space="preserve"> = 0,10)</w:t>
            </w:r>
          </w:p>
        </w:tc>
        <w:tc>
          <w:tcPr>
            <w:tcW w:w="17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before="40" w:after="40"/>
              <w:jc w:val="both"/>
              <w:rPr>
                <w:rFonts w:ascii="Times New Roman" w:hAnsi="Times New Roman" w:eastAsia="Times New Roman" w:cs="Times New Roman"/>
                <w:sz w:val="18"/>
                <w:szCs w:val="18"/>
              </w:rPr>
            </w:pPr>
            <w:r>
              <w:rPr>
                <w:rFonts w:eastAsia="Times New Roman" w:cs="Times New Roman"/>
                <w:sz w:val="18"/>
                <w:szCs w:val="18"/>
              </w:rPr>
              <w:t xml:space="preserve">Чем больше опыт разработки проектной  документации по реконструкции, техническому перевооружению, модернизации </w:t>
            </w:r>
            <w:r>
              <w:rPr>
                <w:rFonts w:eastAsia="Times New Roman" w:cs="Times New Roman"/>
                <w:color w:val="000000"/>
                <w:sz w:val="18"/>
                <w:szCs w:val="18"/>
              </w:rPr>
              <w:t xml:space="preserve"> систем вентиляции</w:t>
            </w:r>
            <w:r>
              <w:rPr>
                <w:rFonts w:eastAsia="Times New Roman" w:cs="Times New Roman"/>
                <w:sz w:val="18"/>
                <w:szCs w:val="18"/>
              </w:rPr>
              <w:t>, тем выше предпочтительность</w:t>
            </w:r>
          </w:p>
        </w:tc>
        <w:tc>
          <w:tcPr>
            <w:tcW w:w="690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 xml:space="preserve">Расчет оценки предпочтительности по частному критерию по методу «Оценка предпочтительности посредством однозначной числовой шкалы измерений»: </w:t>
            </w:r>
          </w:p>
          <w:p>
            <w:pPr>
              <w:pStyle w:val="Normal"/>
              <w:widowControl w:val="false"/>
              <w:spacing w:lineRule="auto" w:line="240" w:before="96" w:after="96"/>
              <w:rPr>
                <w:rFonts w:ascii="Times New Roman" w:hAnsi="Times New Roman" w:eastAsia="Times New Roman" w:cs="Times New Roman"/>
                <w:sz w:val="18"/>
                <w:szCs w:val="18"/>
              </w:rPr>
            </w:pPr>
            <w:r>
              <w:rPr>
                <w:rFonts w:cs="Times New Roman"/>
                <w:sz w:val="18"/>
                <w:szCs w:val="18"/>
                <w:lang w:eastAsia="ru-RU"/>
              </w:rPr>
              <w:t>Для целей проведения оценки по данному критерию Участник должен предоставить в составе заявки (в Справке об опыте Участника по установленной в Документации о закупке форме) сведения о ранее исполненных договорах,</w:t>
            </w:r>
            <w:r>
              <w:rPr>
                <w:rFonts w:eastAsia="Times New Roman" w:cs="Times New Roman"/>
                <w:sz w:val="18"/>
                <w:szCs w:val="18"/>
              </w:rPr>
              <w:t>, подтверждающих наличие совокупного опыта (в рамках одного или нескольких договоров) разработки проектной  документации по  реконструкции, техническому перевооружению, модернизации</w:t>
            </w:r>
            <w:r>
              <w:rPr>
                <w:rFonts w:eastAsia="Times New Roman" w:cs="Times New Roman"/>
                <w:color w:val="000000"/>
                <w:sz w:val="18"/>
                <w:szCs w:val="18"/>
              </w:rPr>
              <w:t xml:space="preserve"> систем вентиляции </w:t>
            </w:r>
            <w:r>
              <w:rPr>
                <w:rFonts w:eastAsia="Times New Roman" w:cs="Times New Roman"/>
                <w:bCs/>
                <w:sz w:val="18"/>
                <w:szCs w:val="18"/>
              </w:rPr>
              <w:t>за последние 5 лет, предшествующих дате подачи заявки, с учетом правопреемства,.</w:t>
            </w:r>
            <w:r>
              <w:rPr>
                <w:rFonts w:eastAsia="Times New Roman" w:cs="Times New Roman"/>
                <w:sz w:val="18"/>
                <w:szCs w:val="18"/>
              </w:rPr>
              <w:t xml:space="preserve"> </w:t>
            </w:r>
          </w:p>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 xml:space="preserve"> </w:t>
            </w:r>
            <w:r>
              <w:rPr>
                <w:rFonts w:eastAsia="Times New Roman" w:cs="Times New Roman"/>
                <w:sz w:val="18"/>
                <w:szCs w:val="18"/>
              </w:rPr>
              <w:t>с обязательным приложением следующих подтверждающих документов:</w:t>
              <w:br/>
              <w:t>- копии договоров, подписанных с обеих сторон;</w:t>
            </w:r>
          </w:p>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 копии актов выполненных работ, подписанных с обеих сторон, свидетельствующих о выполнении работ в рамках каждого предоставленного в виде копии договора.</w:t>
            </w:r>
          </w:p>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 и/или копии иных документов, предусмотренных требованиями договора, подтверждающих факт его исполнения, с указанием стоимости и наименования выполненных работ, подписанных с обеих сторон.</w:t>
            </w:r>
          </w:p>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 xml:space="preserve"> </w:t>
            </w:r>
          </w:p>
          <w:p>
            <w:pPr>
              <w:pStyle w:val="Normal"/>
              <w:widowControl w:val="false"/>
              <w:spacing w:lineRule="auto" w:line="240" w:before="96" w:after="96"/>
              <w:rPr>
                <w:rFonts w:ascii="Times New Roman" w:hAnsi="Times New Roman" w:eastAsia="Times New Roman" w:cs="Times New Roman"/>
                <w:sz w:val="18"/>
                <w:szCs w:val="18"/>
              </w:rPr>
            </w:pPr>
            <w:r>
              <w:rPr>
                <w:rFonts w:cs="Times New Roman"/>
                <w:sz w:val="18"/>
                <w:szCs w:val="18"/>
                <w:lang w:eastAsia="ru-RU"/>
              </w:rPr>
              <w:t xml:space="preserve">Порядок осуществления оценки (значение оцениваемого параметра), в зависимости от предоставленных в </w:t>
            </w:r>
            <w:r>
              <w:rPr>
                <w:rFonts w:cs="Times New Roman"/>
                <w:i/>
                <w:sz w:val="18"/>
                <w:szCs w:val="18"/>
                <w:lang w:val="en-US" w:eastAsia="ru-RU"/>
              </w:rPr>
              <w:t>i</w:t>
            </w:r>
            <w:r>
              <w:rPr>
                <w:rFonts w:cs="Times New Roman"/>
                <w:sz w:val="18"/>
                <w:szCs w:val="18"/>
                <w:lang w:eastAsia="ru-RU"/>
              </w:rPr>
              <w:t xml:space="preserve">-ой заявке сведений о наличии у Участника совокупного опыта </w:t>
            </w:r>
            <w:r>
              <w:rPr>
                <w:rFonts w:eastAsia="Times New Roman" w:cs="Times New Roman"/>
                <w:sz w:val="18"/>
                <w:szCs w:val="18"/>
              </w:rPr>
              <w:t xml:space="preserve">разработки проектной документации по реконструкции, техническому перевооружению, модернизациисистем вентиляции </w:t>
            </w:r>
            <w:r>
              <w:rPr>
                <w:rFonts w:eastAsia="Times New Roman" w:cs="Times New Roman"/>
                <w:bCs/>
                <w:sz w:val="18"/>
                <w:szCs w:val="18"/>
              </w:rPr>
              <w:t>за последние 5 лет, предшествующих дате подачи заявки, с учетом правопреемства, в совокупном (суммарном) объеме:</w:t>
            </w:r>
          </w:p>
          <w:tbl>
            <w:tblPr>
              <w:tblW w:w="5000" w:type="pct"/>
              <w:jc w:val="left"/>
              <w:tblInd w:w="0" w:type="dxa"/>
              <w:tblLayout w:type="fixed"/>
              <w:tblCellMar>
                <w:top w:w="0" w:type="dxa"/>
                <w:left w:w="108" w:type="dxa"/>
                <w:bottom w:w="0" w:type="dxa"/>
                <w:right w:w="108" w:type="dxa"/>
              </w:tblCellMar>
              <w:tblLook w:noVBand="1" w:val="04a0" w:noHBand="0" w:lastColumn="0" w:firstColumn="1" w:lastRow="0" w:firstRow="1"/>
            </w:tblPr>
            <w:tblGrid>
              <w:gridCol w:w="863"/>
              <w:gridCol w:w="4599"/>
              <w:gridCol w:w="1226"/>
            </w:tblGrid>
            <w:tr>
              <w:trPr>
                <w:trHeight w:val="302" w:hRule="atLeast"/>
                <w:cantSplit w:val="true"/>
              </w:trPr>
              <w:tc>
                <w:tcPr>
                  <w:tcW w:w="863" w:type="dxa"/>
                  <w:tcBorders>
                    <w:bottom w:val="single" w:sz="8" w:space="0" w:color="000000"/>
                    <w:right w:val="single" w:sz="8" w:space="0" w:color="000000"/>
                  </w:tcBorders>
                </w:tcPr>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Б</w:t>
                  </w:r>
                  <w:r>
                    <w:rPr>
                      <w:rFonts w:eastAsia="Times New Roman" w:cs="Times New Roman"/>
                      <w:sz w:val="18"/>
                      <w:szCs w:val="18"/>
                      <w:vertAlign w:val="subscript"/>
                    </w:rPr>
                    <w:t>2</w:t>
                  </w:r>
                  <w:r>
                    <w:rPr>
                      <w:rFonts w:eastAsia="Times New Roman" w:cs="Times New Roman"/>
                      <w:sz w:val="18"/>
                      <w:szCs w:val="18"/>
                    </w:rPr>
                    <w:t xml:space="preserve"> = 0</w:t>
                  </w:r>
                </w:p>
              </w:tc>
              <w:tc>
                <w:tcPr>
                  <w:tcW w:w="4599" w:type="dxa"/>
                  <w:tcBorders>
                    <w:bottom w:val="single" w:sz="8" w:space="0" w:color="000000"/>
                  </w:tcBorders>
                </w:tcPr>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от 0 % (опыт отсутствует или не подтвержден) от НМЦ, без учета НДС, до 30 % от НМЦ «без учета НДС» включительно; .</w:t>
                  </w:r>
                </w:p>
              </w:tc>
              <w:tc>
                <w:tcPr>
                  <w:tcW w:w="1226" w:type="dxa"/>
                  <w:tcBorders/>
                  <w:tcMar>
                    <w:left w:w="0" w:type="dxa"/>
                    <w:right w:w="10" w:type="dxa"/>
                  </w:tcMar>
                </w:tcPr>
                <w:p>
                  <w:pPr>
                    <w:pStyle w:val="Normal"/>
                    <w:widowControl w:val="false"/>
                    <w:spacing w:lineRule="auto" w:line="240" w:before="0" w:after="0"/>
                    <w:rPr>
                      <w:rFonts w:ascii="Times New Roman" w:hAnsi="Times New Roman" w:eastAsia="Times New Roman" w:cs="Times New Roman"/>
                      <w:sz w:val="28"/>
                      <w:szCs w:val="28"/>
                    </w:rPr>
                  </w:pPr>
                  <w:r>
                    <w:rPr>
                      <w:rFonts w:eastAsia="Times New Roman" w:cs="Times New Roman"/>
                      <w:sz w:val="28"/>
                      <w:szCs w:val="28"/>
                    </w:rPr>
                  </w:r>
                </w:p>
              </w:tc>
            </w:tr>
            <w:tr>
              <w:trPr>
                <w:cantSplit w:val="true"/>
              </w:trPr>
              <w:tc>
                <w:tcPr>
                  <w:tcW w:w="863" w:type="dxa"/>
                  <w:tcBorders>
                    <w:bottom w:val="single" w:sz="8" w:space="0" w:color="000000"/>
                    <w:right w:val="single" w:sz="8" w:space="0" w:color="000000"/>
                  </w:tcBorders>
                </w:tcPr>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Б</w:t>
                  </w:r>
                  <w:r>
                    <w:rPr>
                      <w:rFonts w:eastAsia="Times New Roman" w:cs="Times New Roman"/>
                      <w:sz w:val="18"/>
                      <w:szCs w:val="18"/>
                      <w:vertAlign w:val="subscript"/>
                    </w:rPr>
                    <w:t>2</w:t>
                  </w:r>
                  <w:r>
                    <w:rPr>
                      <w:rFonts w:eastAsia="Times New Roman" w:cs="Times New Roman"/>
                      <w:sz w:val="18"/>
                      <w:szCs w:val="18"/>
                    </w:rPr>
                    <w:t xml:space="preserve"> = 1</w:t>
                  </w:r>
                </w:p>
              </w:tc>
              <w:tc>
                <w:tcPr>
                  <w:tcW w:w="5825" w:type="dxa"/>
                  <w:gridSpan w:val="2"/>
                  <w:tcBorders>
                    <w:bottom w:val="single" w:sz="8" w:space="0" w:color="000000"/>
                  </w:tcBorders>
                </w:tcPr>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Более 30% от НМЦ до 40  % от НМЦ «без учета НДС», (включительно);</w:t>
                  </w:r>
                </w:p>
              </w:tc>
            </w:tr>
            <w:tr>
              <w:trPr>
                <w:cantSplit w:val="true"/>
              </w:trPr>
              <w:tc>
                <w:tcPr>
                  <w:tcW w:w="863" w:type="dxa"/>
                  <w:tcBorders>
                    <w:bottom w:val="single" w:sz="8" w:space="0" w:color="000000"/>
                    <w:right w:val="single" w:sz="8" w:space="0" w:color="000000"/>
                  </w:tcBorders>
                </w:tcPr>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Б</w:t>
                  </w:r>
                  <w:r>
                    <w:rPr>
                      <w:rFonts w:eastAsia="Times New Roman" w:cs="Times New Roman"/>
                      <w:sz w:val="18"/>
                      <w:szCs w:val="18"/>
                      <w:vertAlign w:val="subscript"/>
                    </w:rPr>
                    <w:t>2</w:t>
                  </w:r>
                  <w:r>
                    <w:rPr>
                      <w:rFonts w:eastAsia="Times New Roman" w:cs="Times New Roman"/>
                      <w:sz w:val="18"/>
                      <w:szCs w:val="18"/>
                    </w:rPr>
                    <w:t xml:space="preserve"> = 2</w:t>
                  </w:r>
                </w:p>
              </w:tc>
              <w:tc>
                <w:tcPr>
                  <w:tcW w:w="5825" w:type="dxa"/>
                  <w:gridSpan w:val="2"/>
                  <w:tcBorders>
                    <w:bottom w:val="single" w:sz="8" w:space="0" w:color="000000"/>
                  </w:tcBorders>
                </w:tcPr>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Более 40% от НМЦ до 50 % от НМЦ «без учета НДС». (включительно);</w:t>
                  </w:r>
                </w:p>
              </w:tc>
            </w:tr>
            <w:tr>
              <w:trPr>
                <w:cantSplit w:val="true"/>
              </w:trPr>
              <w:tc>
                <w:tcPr>
                  <w:tcW w:w="863" w:type="dxa"/>
                  <w:tcBorders>
                    <w:bottom w:val="single" w:sz="8" w:space="0" w:color="000000"/>
                    <w:right w:val="single" w:sz="8" w:space="0" w:color="000000"/>
                  </w:tcBorders>
                </w:tcPr>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Б</w:t>
                  </w:r>
                  <w:r>
                    <w:rPr>
                      <w:rFonts w:eastAsia="Times New Roman" w:cs="Times New Roman"/>
                      <w:sz w:val="18"/>
                      <w:szCs w:val="18"/>
                      <w:vertAlign w:val="subscript"/>
                    </w:rPr>
                    <w:t>2</w:t>
                  </w:r>
                  <w:r>
                    <w:rPr>
                      <w:rFonts w:eastAsia="Times New Roman" w:cs="Times New Roman"/>
                      <w:sz w:val="18"/>
                      <w:szCs w:val="18"/>
                    </w:rPr>
                    <w:t xml:space="preserve"> = 3</w:t>
                  </w:r>
                </w:p>
              </w:tc>
              <w:tc>
                <w:tcPr>
                  <w:tcW w:w="5825" w:type="dxa"/>
                  <w:gridSpan w:val="2"/>
                  <w:tcBorders>
                    <w:bottom w:val="single" w:sz="8" w:space="0" w:color="000000"/>
                  </w:tcBorders>
                </w:tcPr>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Более 50% от НМЦ до 60 % от НМЦ «без учета НДС». (включительно);</w:t>
                  </w:r>
                </w:p>
              </w:tc>
            </w:tr>
            <w:tr>
              <w:trPr>
                <w:cantSplit w:val="true"/>
              </w:trPr>
              <w:tc>
                <w:tcPr>
                  <w:tcW w:w="863" w:type="dxa"/>
                  <w:tcBorders>
                    <w:bottom w:val="single" w:sz="8" w:space="0" w:color="000000"/>
                    <w:right w:val="single" w:sz="8" w:space="0" w:color="000000"/>
                  </w:tcBorders>
                </w:tcPr>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Б</w:t>
                  </w:r>
                  <w:r>
                    <w:rPr>
                      <w:rFonts w:eastAsia="Times New Roman" w:cs="Times New Roman"/>
                      <w:sz w:val="18"/>
                      <w:szCs w:val="18"/>
                      <w:vertAlign w:val="subscript"/>
                    </w:rPr>
                    <w:t>2</w:t>
                  </w:r>
                  <w:r>
                    <w:rPr>
                      <w:rFonts w:eastAsia="Times New Roman" w:cs="Times New Roman"/>
                      <w:sz w:val="18"/>
                      <w:szCs w:val="18"/>
                    </w:rPr>
                    <w:t xml:space="preserve"> = 4</w:t>
                  </w:r>
                </w:p>
              </w:tc>
              <w:tc>
                <w:tcPr>
                  <w:tcW w:w="5825" w:type="dxa"/>
                  <w:gridSpan w:val="2"/>
                  <w:tcBorders>
                    <w:bottom w:val="single" w:sz="8" w:space="0" w:color="000000"/>
                  </w:tcBorders>
                </w:tcPr>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Более 60% от НМЦ до 70 % от НМЦ «без учета НДС» (включительно),</w:t>
                  </w:r>
                </w:p>
              </w:tc>
            </w:tr>
            <w:tr>
              <w:trPr>
                <w:cantSplit w:val="true"/>
              </w:trPr>
              <w:tc>
                <w:tcPr>
                  <w:tcW w:w="863" w:type="dxa"/>
                  <w:tcBorders>
                    <w:top w:val="single" w:sz="8" w:space="0" w:color="000000"/>
                    <w:bottom w:val="single" w:sz="4" w:space="0" w:color="000000"/>
                    <w:right w:val="single" w:sz="8" w:space="0" w:color="000000"/>
                  </w:tcBorders>
                </w:tcPr>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Б</w:t>
                  </w:r>
                  <w:r>
                    <w:rPr>
                      <w:rFonts w:eastAsia="Times New Roman" w:cs="Times New Roman"/>
                      <w:sz w:val="18"/>
                      <w:szCs w:val="18"/>
                      <w:vertAlign w:val="subscript"/>
                    </w:rPr>
                    <w:t>2</w:t>
                  </w:r>
                  <w:r>
                    <w:rPr>
                      <w:rFonts w:eastAsia="Times New Roman" w:cs="Times New Roman"/>
                      <w:sz w:val="18"/>
                      <w:szCs w:val="18"/>
                    </w:rPr>
                    <w:t xml:space="preserve"> = 5</w:t>
                  </w:r>
                </w:p>
              </w:tc>
              <w:tc>
                <w:tcPr>
                  <w:tcW w:w="5825" w:type="dxa"/>
                  <w:gridSpan w:val="2"/>
                  <w:tcBorders>
                    <w:top w:val="single" w:sz="8" w:space="0" w:color="000000"/>
                    <w:bottom w:val="single" w:sz="4" w:space="0" w:color="000000"/>
                  </w:tcBorders>
                </w:tcPr>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более 70 % от НМЦ «без учета НДС».</w:t>
                  </w:r>
                </w:p>
              </w:tc>
            </w:tr>
            <w:tr>
              <w:trPr>
                <w:cantSplit w:val="true"/>
              </w:trPr>
              <w:tc>
                <w:tcPr>
                  <w:tcW w:w="6688" w:type="dxa"/>
                  <w:gridSpan w:val="3"/>
                  <w:tcBorders>
                    <w:top w:val="single" w:sz="4" w:space="0" w:color="000000"/>
                  </w:tcBorders>
                </w:tcPr>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Б</w:t>
                  </w:r>
                  <w:r>
                    <w:rPr>
                      <w:rFonts w:eastAsia="Times New Roman" w:cs="Times New Roman"/>
                      <w:sz w:val="18"/>
                      <w:szCs w:val="18"/>
                      <w:vertAlign w:val="subscript"/>
                    </w:rPr>
                    <w:t>2</w:t>
                  </w:r>
                  <w:r>
                    <w:rPr>
                      <w:rFonts w:eastAsia="Times New Roman" w:cs="Times New Roman"/>
                      <w:sz w:val="18"/>
                      <w:szCs w:val="18"/>
                    </w:rPr>
                    <w:t>             –        рассчитанная оценка предпочтительности по данному частному критерию оценки в баллах.</w:t>
                  </w:r>
                </w:p>
                <w:p>
                  <w:pPr>
                    <w:pStyle w:val="Normal"/>
                    <w:widowControl w:val="false"/>
                    <w:spacing w:lineRule="auto" w:line="240" w:before="96" w:after="96"/>
                    <w:jc w:val="both"/>
                    <w:rPr>
                      <w:rFonts w:ascii="Times New Roman" w:hAnsi="Times New Roman" w:eastAsia="Calibri" w:cs="Times New Roman"/>
                      <w:i/>
                      <w:i/>
                      <w:iCs/>
                      <w:sz w:val="18"/>
                      <w:szCs w:val="18"/>
                    </w:rPr>
                  </w:pPr>
                  <w:r>
                    <w:rPr>
                      <w:rFonts w:eastAsia="Calibri" w:cs="Times New Roman"/>
                      <w:i/>
                      <w:iCs/>
                      <w:sz w:val="18"/>
                      <w:szCs w:val="18"/>
                    </w:rPr>
                    <w:t>К рассмотрению не принимаются подтверждающие документы, не указанные в «Справке об опыте Участника», а также сведения, не позволяющие явным (однозначным) образом определить опыт Участника.</w:t>
                  </w:r>
                </w:p>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sz w:val="18"/>
                      <w:szCs w:val="18"/>
                    </w:rPr>
                    <w:t>Опыт, не соответствующий установленным выше требованиям, не оценивается.</w:t>
                  </w:r>
                </w:p>
                <w:p>
                  <w:pPr>
                    <w:pStyle w:val="Normal"/>
                    <w:widowControl w:val="false"/>
                    <w:spacing w:lineRule="auto" w:line="240" w:before="96" w:after="96"/>
                    <w:rPr>
                      <w:rFonts w:ascii="Times New Roman" w:hAnsi="Times New Roman" w:eastAsia="Times New Roman" w:cs="Times New Roman"/>
                      <w:sz w:val="18"/>
                      <w:szCs w:val="18"/>
                    </w:rPr>
                  </w:pPr>
                  <w:r>
                    <w:rPr>
                      <w:rFonts w:eastAsia="Times New Roman" w:cs="Times New Roman"/>
                      <w:b/>
                      <w:sz w:val="18"/>
                      <w:szCs w:val="18"/>
                    </w:rPr>
                    <w:t>Шкала оценок от 0 до 5 баллов.</w:t>
                  </w:r>
                </w:p>
              </w:tc>
            </w:tr>
          </w:tbl>
          <w:p>
            <w:pPr>
              <w:pStyle w:val="Normal"/>
              <w:widowControl w:val="false"/>
              <w:tabs>
                <w:tab w:val="clear" w:pos="708"/>
                <w:tab w:val="left" w:pos="742" w:leader="none"/>
                <w:tab w:val="left" w:pos="1167" w:leader="none"/>
              </w:tabs>
              <w:spacing w:lineRule="auto" w:line="252" w:before="0" w:after="0"/>
              <w:rPr>
                <w:rFonts w:ascii="Times New Roman" w:hAnsi="Times New Roman" w:eastAsia="Times New Roman" w:cs="Times New Roman"/>
                <w:sz w:val="18"/>
                <w:szCs w:val="18"/>
              </w:rPr>
            </w:pPr>
            <w:r>
              <w:rPr>
                <w:rFonts w:eastAsia="Times New Roman" w:cs="Times New Roman"/>
                <w:sz w:val="18"/>
                <w:szCs w:val="18"/>
              </w:rPr>
            </w:r>
          </w:p>
        </w:tc>
      </w:tr>
      <w:tr>
        <w:trPr/>
        <w:tc>
          <w:tcPr>
            <w:tcW w:w="10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40" w:after="40"/>
              <w:jc w:val="center"/>
              <w:rPr>
                <w:rFonts w:ascii="Times New Roman" w:hAnsi="Times New Roman" w:eastAsia="Times New Roman" w:cs="Times New Roman"/>
                <w:sz w:val="18"/>
                <w:szCs w:val="18"/>
              </w:rPr>
            </w:pPr>
            <w:r>
              <w:rPr>
                <w:rFonts w:eastAsia="Times New Roman" w:cs="Times New Roman"/>
                <w:sz w:val="18"/>
                <w:szCs w:val="18"/>
                <w:lang w:val="en-US"/>
              </w:rPr>
              <w:t>3.</w:t>
            </w:r>
          </w:p>
        </w:tc>
        <w:tc>
          <w:tcPr>
            <w:tcW w:w="13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40" w:after="40"/>
              <w:jc w:val="center"/>
              <w:rPr>
                <w:rFonts w:ascii="Times New Roman" w:hAnsi="Times New Roman" w:eastAsia="Times New Roman" w:cs="Times New Roman"/>
                <w:sz w:val="18"/>
                <w:szCs w:val="18"/>
              </w:rPr>
            </w:pPr>
            <w:r>
              <w:rPr>
                <w:rFonts w:cs="Times New Roman"/>
                <w:sz w:val="18"/>
                <w:szCs w:val="18"/>
                <w:lang w:eastAsia="ru-RU"/>
              </w:rPr>
              <w:t>Неценовой критерий оценки первого уровня /</w:t>
            </w:r>
            <w:r>
              <w:rPr>
                <w:sz w:val="18"/>
                <w:szCs w:val="18"/>
                <w:lang w:eastAsia="ru-RU"/>
              </w:rPr>
              <w:t xml:space="preserve"> </w:t>
            </w:r>
            <w:r>
              <w:rPr>
                <w:rFonts w:eastAsia="Times New Roman" w:cs="Times New Roman"/>
                <w:sz w:val="18"/>
                <w:szCs w:val="18"/>
              </w:rPr>
              <w:t>ОРГ</w:t>
            </w:r>
          </w:p>
        </w:tc>
        <w:tc>
          <w:tcPr>
            <w:tcW w:w="191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40" w:after="40"/>
              <w:jc w:val="center"/>
              <w:rPr>
                <w:rFonts w:ascii="Times New Roman" w:hAnsi="Times New Roman" w:eastAsia="Times New Roman" w:cs="Times New Roman"/>
                <w:sz w:val="18"/>
                <w:szCs w:val="18"/>
              </w:rPr>
            </w:pPr>
            <w:bookmarkStart w:id="390" w:name="Финсостояние"/>
            <w:r>
              <w:rPr>
                <w:rFonts w:eastAsia="Times New Roman" w:cs="Times New Roman"/>
                <w:sz w:val="18"/>
                <w:szCs w:val="18"/>
              </w:rPr>
              <w:t>Финансовое состояние (устойчивость) Участника</w:t>
            </w:r>
            <w:bookmarkEnd w:id="390"/>
          </w:p>
        </w:tc>
        <w:tc>
          <w:tcPr>
            <w:tcW w:w="116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40" w:after="40"/>
              <w:jc w:val="center"/>
              <w:rPr>
                <w:rFonts w:ascii="Times New Roman" w:hAnsi="Times New Roman" w:eastAsia="Times New Roman" w:cs="Times New Roman"/>
                <w:i/>
                <w:i/>
                <w:sz w:val="18"/>
                <w:szCs w:val="18"/>
              </w:rPr>
            </w:pPr>
            <w:r>
              <w:rPr>
                <w:rFonts w:eastAsia="Times New Roman" w:cs="Times New Roman"/>
                <w:i/>
                <w:sz w:val="18"/>
                <w:szCs w:val="18"/>
              </w:rPr>
              <w:t>отсутствует</w:t>
            </w:r>
          </w:p>
        </w:tc>
        <w:tc>
          <w:tcPr>
            <w:tcW w:w="96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40" w:after="40"/>
              <w:jc w:val="center"/>
              <w:rPr>
                <w:rFonts w:ascii="Times New Roman" w:hAnsi="Times New Roman" w:eastAsia="Times New Roman" w:cs="Times New Roman"/>
                <w:sz w:val="18"/>
                <w:szCs w:val="18"/>
              </w:rPr>
            </w:pPr>
            <w:r>
              <w:rPr>
                <w:rFonts w:eastAsia="Times New Roman" w:cs="Times New Roman"/>
                <w:sz w:val="18"/>
                <w:szCs w:val="18"/>
              </w:rPr>
              <w:t>5%</w:t>
              <w:br/>
              <w:t>(В</w:t>
            </w:r>
            <w:r>
              <w:rPr>
                <w:rFonts w:eastAsia="Times New Roman" w:cs="Times New Roman"/>
                <w:sz w:val="18"/>
                <w:szCs w:val="18"/>
                <w:vertAlign w:val="subscript"/>
                <w:lang w:val="en-US"/>
              </w:rPr>
              <w:t>3</w:t>
            </w:r>
            <w:r>
              <w:rPr>
                <w:rFonts w:eastAsia="Times New Roman" w:cs="Times New Roman"/>
                <w:sz w:val="18"/>
                <w:szCs w:val="18"/>
              </w:rPr>
              <w:t xml:space="preserve"> = 0,05)</w:t>
            </w:r>
          </w:p>
        </w:tc>
        <w:tc>
          <w:tcPr>
            <w:tcW w:w="178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40" w:after="40"/>
              <w:jc w:val="both"/>
              <w:rPr>
                <w:rFonts w:ascii="Times New Roman" w:hAnsi="Times New Roman" w:eastAsia="Times New Roman" w:cs="Times New Roman"/>
                <w:sz w:val="18"/>
                <w:szCs w:val="18"/>
              </w:rPr>
            </w:pPr>
            <w:r>
              <w:rPr>
                <w:rFonts w:eastAsia="Times New Roman" w:cs="Times New Roman"/>
                <w:sz w:val="18"/>
                <w:szCs w:val="18"/>
              </w:rPr>
              <w:t>Чем выше результат оценки финансового состояния (устойчивости) Участника, тем выше предпочтительность</w:t>
            </w:r>
          </w:p>
        </w:tc>
        <w:tc>
          <w:tcPr>
            <w:tcW w:w="690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sz w:val="18"/>
                <w:szCs w:val="18"/>
              </w:rPr>
            </w:pPr>
            <w:r>
              <w:rPr>
                <w:rFonts w:eastAsia="Times New Roman" w:cs="Times New Roman"/>
                <w:sz w:val="18"/>
                <w:szCs w:val="18"/>
              </w:rPr>
              <w:t>Расчет оценки предпочтительности по частному критерию по методу «Оценка предпочтительности посредством однозначной числовой шкалы измерений»:</w:t>
            </w:r>
          </w:p>
          <w:p>
            <w:pPr>
              <w:pStyle w:val="Normal"/>
              <w:widowControl w:val="false"/>
              <w:spacing w:lineRule="auto" w:line="240" w:before="0" w:after="0"/>
              <w:jc w:val="both"/>
              <w:rPr>
                <w:rFonts w:ascii="Times New Roman" w:hAnsi="Times New Roman" w:eastAsia="Times New Roman" w:cs="Times New Roman"/>
                <w:sz w:val="18"/>
                <w:szCs w:val="18"/>
              </w:rPr>
            </w:pPr>
            <w:r>
              <w:rPr>
                <w:rFonts w:eastAsia="Times New Roman" w:cs="Times New Roman"/>
                <w:sz w:val="18"/>
                <w:szCs w:val="18"/>
              </w:rPr>
              <w:t xml:space="preserve">Порядок осуществления оценки (значение оцениваемого параметра), в зависимости от полученного Участником (с </w:t>
            </w:r>
            <w:r>
              <w:rPr>
                <w:rFonts w:eastAsia="Times New Roman" w:cs="Times New Roman"/>
                <w:i/>
                <w:sz w:val="18"/>
                <w:szCs w:val="18"/>
                <w:lang w:val="en-US"/>
              </w:rPr>
              <w:t>i</w:t>
            </w:r>
            <w:r>
              <w:rPr>
                <w:rFonts w:eastAsia="Times New Roman" w:cs="Times New Roman"/>
                <w:sz w:val="18"/>
                <w:szCs w:val="18"/>
              </w:rPr>
              <w:t>-ой заявкой) значения расчетного балла (интегрального показателя финансового состояния) и установленной соответствующей характеристики его финансового состояния (кризисное / неустойчивое / устойчивое) по результатам проведенной в рамках аккредитации оценки его финансового состояния (устойчивости), при этом:</w:t>
            </w:r>
          </w:p>
          <w:p>
            <w:pPr>
              <w:pStyle w:val="Normal"/>
              <w:widowControl w:val="false"/>
              <w:numPr>
                <w:ilvl w:val="0"/>
                <w:numId w:val="2"/>
              </w:numPr>
              <w:spacing w:lineRule="auto" w:line="240" w:before="0" w:after="0"/>
              <w:ind w:left="685" w:hanging="360"/>
              <w:jc w:val="both"/>
              <w:rPr>
                <w:rFonts w:ascii="Times New Roman" w:hAnsi="Times New Roman" w:eastAsia="Times New Roman" w:cs="Times New Roman"/>
                <w:sz w:val="18"/>
                <w:szCs w:val="18"/>
              </w:rPr>
            </w:pPr>
            <w:r>
              <w:rPr>
                <w:rFonts w:eastAsia="Times New Roman" w:cs="Times New Roman"/>
                <w:sz w:val="18"/>
                <w:szCs w:val="18"/>
              </w:rPr>
              <w:t>порядок проведения оценки финансового состояния (устойчивости) Участника</w:t>
            </w:r>
            <w:r>
              <w:rPr>
                <w:rStyle w:val="FootnoteReference"/>
                <w:rFonts w:eastAsia="Times New Roman" w:cs="Times New Roman"/>
                <w:sz w:val="18"/>
                <w:szCs w:val="18"/>
              </w:rPr>
              <w:footnoteReference w:id="16"/>
            </w:r>
            <w:r>
              <w:rPr>
                <w:rFonts w:eastAsia="Times New Roman" w:cs="Times New Roman"/>
                <w:sz w:val="18"/>
                <w:szCs w:val="18"/>
              </w:rPr>
              <w:t xml:space="preserve"> установлен Приложением №4 к Положению об аккредитации;</w:t>
            </w:r>
          </w:p>
          <w:p>
            <w:pPr>
              <w:pStyle w:val="Normal"/>
              <w:widowControl w:val="false"/>
              <w:numPr>
                <w:ilvl w:val="0"/>
                <w:numId w:val="2"/>
              </w:numPr>
              <w:spacing w:lineRule="auto" w:line="240" w:before="0" w:after="0"/>
              <w:ind w:left="685" w:hanging="360"/>
              <w:jc w:val="both"/>
              <w:rPr>
                <w:rFonts w:ascii="Times New Roman" w:hAnsi="Times New Roman" w:eastAsia="Times New Roman" w:cs="Times New Roman"/>
                <w:sz w:val="18"/>
                <w:szCs w:val="18"/>
              </w:rPr>
            </w:pPr>
            <w:r>
              <w:rPr>
                <w:rFonts w:eastAsia="Times New Roman" w:cs="Times New Roman"/>
                <w:sz w:val="18"/>
                <w:szCs w:val="18"/>
              </w:rPr>
              <w:t>исходными данными для расчета интегрального показателя финансового состояния Участника являются сведения, опубликованные в государственном информационном ресурсе бухгалтерской (финансовой) отчетности организаций (</w:t>
            </w:r>
            <w:hyperlink r:id="rId34">
              <w:r>
                <w:rPr>
                  <w:rStyle w:val="Hyperlink"/>
                  <w:rFonts w:eastAsia="Times New Roman" w:cs="Times New Roman"/>
                  <w:sz w:val="18"/>
                  <w:szCs w:val="18"/>
                </w:rPr>
                <w:t>https://bo.nalog.ru</w:t>
              </w:r>
            </w:hyperlink>
            <w:r>
              <w:rPr>
                <w:rFonts w:eastAsia="Times New Roman" w:cs="Times New Roman"/>
                <w:sz w:val="18"/>
                <w:szCs w:val="18"/>
              </w:rPr>
              <w:t xml:space="preserve">) за предыдущий отчетный период (год) по состоянию на дату окончания срока подачи заявок. </w:t>
            </w:r>
          </w:p>
          <w:p>
            <w:pPr>
              <w:pStyle w:val="Normal"/>
              <w:widowControl w:val="false"/>
              <w:spacing w:lineRule="auto" w:line="240" w:before="0" w:after="0"/>
              <w:jc w:val="both"/>
              <w:rPr>
                <w:rFonts w:ascii="Times New Roman" w:hAnsi="Times New Roman" w:eastAsia="Times New Roman" w:cs="Times New Roman"/>
                <w:sz w:val="18"/>
                <w:szCs w:val="18"/>
              </w:rPr>
            </w:pPr>
            <w:r>
              <w:rPr>
                <w:rFonts w:eastAsia="Times New Roman" w:cs="Times New Roman"/>
                <w:sz w:val="18"/>
                <w:szCs w:val="18"/>
              </w:rPr>
              <w:t>Если Участник в соответствии с законодательством РФ не размещает сведения о своей бухгалтерской (финансовой) отчетности (по формам ОКУД 0710001, 0710002) в упомянутом государственном информационном ресурсе – оценка его финансового состояния производится на основании электронной копии бухгалтерского баланса (ОКУД 0710001) и отчета о финансовых результатах (ОКУД 0710002) за последний завершенный финансовый год, с отметкой налогового органа о приеме или с приложением квитанции о приеме и (или) извещения о вводе сведений налоговым органом, представленной в составе Заявки на аккредитацию (или отдельно в составе заявки на участие в закупке, если ранее при прохождении аккредитации не были представлены);</w:t>
            </w:r>
          </w:p>
          <w:p>
            <w:pPr>
              <w:pStyle w:val="Normal"/>
              <w:widowControl w:val="false"/>
              <w:spacing w:lineRule="auto" w:line="240" w:before="0" w:after="0"/>
              <w:jc w:val="both"/>
              <w:rPr>
                <w:rFonts w:ascii="Times New Roman" w:hAnsi="Times New Roman" w:eastAsia="Times New Roman" w:cs="Times New Roman"/>
                <w:sz w:val="18"/>
                <w:szCs w:val="18"/>
              </w:rPr>
            </w:pPr>
            <w:r>
              <w:rPr>
                <w:rFonts w:eastAsia="Times New Roman" w:cs="Times New Roman"/>
                <w:sz w:val="18"/>
                <w:szCs w:val="18"/>
              </w:rPr>
              <w:t>Если Участник в соответствии с законодательством формирует отчетность по формам ОКУД 0503730, 0503721 (и (или) освобожден от предоставления дополнительного экземпляра отчетности для размещения на официальном сайте ФНС России) – оценка его финансового состояния производится на основании представленных в составе заявки:</w:t>
            </w:r>
          </w:p>
          <w:p>
            <w:pPr>
              <w:pStyle w:val="Normal"/>
              <w:widowControl w:val="false"/>
              <w:numPr>
                <w:ilvl w:val="0"/>
                <w:numId w:val="4"/>
              </w:numPr>
              <w:spacing w:lineRule="auto" w:line="240" w:before="0" w:after="0"/>
              <w:jc w:val="both"/>
              <w:rPr>
                <w:rFonts w:ascii="Times New Roman" w:hAnsi="Times New Roman" w:eastAsia="Times New Roman" w:cs="Times New Roman"/>
                <w:sz w:val="18"/>
                <w:szCs w:val="18"/>
              </w:rPr>
            </w:pPr>
            <w:r>
              <w:rPr>
                <w:rFonts w:eastAsia="Times New Roman" w:cs="Times New Roman"/>
                <w:sz w:val="18"/>
                <w:szCs w:val="18"/>
              </w:rPr>
              <w:t>электронной копии бухгалтерской (финансовой) отчетности по формам ОКУД 0503730, 0503721 за последний завершенный и предшествующий ему финансовый год, с отметкой налогового органа о приеме или с приложением квитанции о приеме и (или) извещения о вводе сведений налоговым органом;</w:t>
            </w:r>
          </w:p>
          <w:p>
            <w:pPr>
              <w:pStyle w:val="Normal"/>
              <w:widowControl w:val="false"/>
              <w:numPr>
                <w:ilvl w:val="0"/>
                <w:numId w:val="4"/>
              </w:numPr>
              <w:spacing w:lineRule="auto" w:line="240" w:before="0" w:after="0"/>
              <w:jc w:val="both"/>
              <w:rPr>
                <w:rFonts w:ascii="Times New Roman" w:hAnsi="Times New Roman" w:eastAsia="Times New Roman" w:cs="Times New Roman"/>
                <w:sz w:val="18"/>
                <w:szCs w:val="18"/>
              </w:rPr>
            </w:pPr>
            <w:r>
              <w:rPr>
                <w:rFonts w:eastAsia="Times New Roman" w:cs="Times New Roman"/>
                <w:sz w:val="18"/>
                <w:szCs w:val="18"/>
              </w:rPr>
              <w:t>дополнительных сведений о размере всех требуемых показателей согласно данным бухгалтерской (финансовой) отчетности по установленной форме (Приложение № _ к Документации о закупке).</w:t>
            </w:r>
          </w:p>
          <w:p>
            <w:pPr>
              <w:pStyle w:val="Normal"/>
              <w:widowControl w:val="false"/>
              <w:spacing w:lineRule="auto" w:line="240" w:before="0" w:after="0"/>
              <w:jc w:val="both"/>
              <w:rPr>
                <w:rFonts w:ascii="Times New Roman" w:hAnsi="Times New Roman" w:eastAsia="Times New Roman" w:cs="Times New Roman"/>
                <w:sz w:val="18"/>
                <w:szCs w:val="18"/>
              </w:rPr>
            </w:pPr>
            <w:r>
              <w:rPr>
                <w:rFonts w:eastAsia="Times New Roman" w:cs="Times New Roman"/>
                <w:sz w:val="18"/>
                <w:szCs w:val="18"/>
              </w:rPr>
              <w:t>Оценка предпочтительности по частному критерию осуществляется в соответствии со следующей шкалой:</w:t>
            </w:r>
          </w:p>
          <w:tbl>
            <w:tblPr>
              <w:tblW w:w="6412" w:type="dxa"/>
              <w:jc w:val="left"/>
              <w:tblInd w:w="0" w:type="dxa"/>
              <w:tblLayout w:type="fixed"/>
              <w:tblCellMar>
                <w:top w:w="0" w:type="dxa"/>
                <w:left w:w="108" w:type="dxa"/>
                <w:bottom w:w="0" w:type="dxa"/>
                <w:right w:w="108" w:type="dxa"/>
              </w:tblCellMar>
              <w:tblLook w:noVBand="1" w:val="04a0" w:noHBand="0" w:lastColumn="0" w:firstColumn="1" w:lastRow="0" w:firstRow="1"/>
            </w:tblPr>
            <w:tblGrid>
              <w:gridCol w:w="884"/>
              <w:gridCol w:w="5527"/>
            </w:tblGrid>
            <w:tr>
              <w:trPr>
                <w:cantSplit w:val="true"/>
              </w:trPr>
              <w:tc>
                <w:tcPr>
                  <w:tcW w:w="884" w:type="dxa"/>
                  <w:tcBorders>
                    <w:bottom w:val="single" w:sz="4" w:space="0" w:color="000000"/>
                    <w:right w:val="single" w:sz="4" w:space="0" w:color="000000"/>
                  </w:tcBorders>
                </w:tcPr>
                <w:p>
                  <w:pPr>
                    <w:pStyle w:val="Normal"/>
                    <w:widowControl w:val="false"/>
                    <w:numPr>
                      <w:ilvl w:val="7"/>
                      <w:numId w:val="3"/>
                    </w:numPr>
                    <w:spacing w:lineRule="auto" w:line="240" w:before="0" w:after="0"/>
                    <w:jc w:val="both"/>
                    <w:rPr>
                      <w:rFonts w:ascii="Times New Roman" w:hAnsi="Times New Roman" w:eastAsia="Times New Roman" w:cs="Times New Roman"/>
                      <w:sz w:val="18"/>
                      <w:szCs w:val="18"/>
                    </w:rPr>
                  </w:pPr>
                  <w:r>
                    <w:rPr>
                      <w:rFonts w:eastAsia="Times New Roman" w:cs="Times New Roman"/>
                      <w:sz w:val="18"/>
                      <w:szCs w:val="18"/>
                    </w:rPr>
                    <w:t>Б</w:t>
                  </w:r>
                  <w:r>
                    <w:rPr>
                      <w:rFonts w:eastAsia="Times New Roman" w:cs="Times New Roman"/>
                      <w:sz w:val="18"/>
                      <w:szCs w:val="18"/>
                      <w:vertAlign w:val="subscript"/>
                    </w:rPr>
                    <w:t>3</w:t>
                  </w:r>
                  <w:r>
                    <w:rPr>
                      <w:rFonts w:eastAsia="Times New Roman" w:cs="Times New Roman"/>
                      <w:sz w:val="18"/>
                      <w:szCs w:val="18"/>
                    </w:rPr>
                    <w:t xml:space="preserve"> = 0</w:t>
                  </w:r>
                </w:p>
              </w:tc>
              <w:tc>
                <w:tcPr>
                  <w:tcW w:w="5527" w:type="dxa"/>
                  <w:tcBorders>
                    <w:left w:val="single" w:sz="4" w:space="0" w:color="000000"/>
                    <w:bottom w:val="single" w:sz="4" w:space="0" w:color="000000"/>
                  </w:tcBorders>
                </w:tcPr>
                <w:p>
                  <w:pPr>
                    <w:pStyle w:val="Normal"/>
                    <w:widowControl w:val="false"/>
                    <w:spacing w:lineRule="auto" w:line="240" w:before="0" w:after="0"/>
                    <w:jc w:val="both"/>
                    <w:rPr>
                      <w:rFonts w:ascii="Times New Roman" w:hAnsi="Times New Roman" w:eastAsia="Times New Roman" w:cs="Times New Roman"/>
                      <w:sz w:val="18"/>
                      <w:szCs w:val="18"/>
                    </w:rPr>
                  </w:pPr>
                  <w:r>
                    <w:rPr>
                      <w:rFonts w:eastAsia="Times New Roman" w:cs="Times New Roman"/>
                      <w:sz w:val="18"/>
                      <w:szCs w:val="18"/>
                    </w:rPr>
                    <w:t>Результат оценки финансового состояния (устойчивости): менее 0,45 балла – Кризисное финансовое состояние;</w:t>
                  </w:r>
                </w:p>
                <w:p>
                  <w:pPr>
                    <w:pStyle w:val="Normal"/>
                    <w:widowControl w:val="false"/>
                    <w:spacing w:lineRule="auto" w:line="240" w:before="0" w:after="0"/>
                    <w:jc w:val="both"/>
                    <w:rPr>
                      <w:rFonts w:ascii="Times New Roman" w:hAnsi="Times New Roman" w:eastAsia="Times New Roman" w:cs="Times New Roman"/>
                      <w:i/>
                      <w:i/>
                      <w:iCs/>
                      <w:sz w:val="18"/>
                      <w:szCs w:val="18"/>
                    </w:rPr>
                  </w:pPr>
                  <w:r>
                    <w:rPr>
                      <w:rFonts w:eastAsia="Times New Roman" w:cs="Times New Roman"/>
                      <w:i/>
                      <w:iCs/>
                      <w:sz w:val="18"/>
                      <w:szCs w:val="18"/>
                    </w:rPr>
                    <w:t>или</w:t>
                  </w:r>
                </w:p>
                <w:p>
                  <w:pPr>
                    <w:pStyle w:val="Normal"/>
                    <w:widowControl w:val="false"/>
                    <w:spacing w:lineRule="auto" w:line="240" w:before="0" w:after="0"/>
                    <w:jc w:val="both"/>
                    <w:rPr>
                      <w:rFonts w:ascii="Times New Roman" w:hAnsi="Times New Roman" w:eastAsia="Times New Roman" w:cs="Times New Roman"/>
                      <w:sz w:val="18"/>
                      <w:szCs w:val="18"/>
                    </w:rPr>
                  </w:pPr>
                  <w:r>
                    <w:rPr>
                      <w:rFonts w:eastAsia="Times New Roman" w:cs="Times New Roman"/>
                      <w:sz w:val="18"/>
                      <w:szCs w:val="18"/>
                    </w:rPr>
                    <w:t xml:space="preserve">в случае отсутствия исходных данных для оценки финансового состояния Участника, в том числе если он является: </w:t>
                  </w:r>
                </w:p>
                <w:p>
                  <w:pPr>
                    <w:pStyle w:val="Normal"/>
                    <w:widowControl w:val="false"/>
                    <w:numPr>
                      <w:ilvl w:val="4"/>
                      <w:numId w:val="3"/>
                    </w:numPr>
                    <w:spacing w:lineRule="auto" w:line="240" w:before="0" w:after="0"/>
                    <w:ind w:left="828" w:hanging="567"/>
                    <w:jc w:val="both"/>
                    <w:rPr>
                      <w:rFonts w:ascii="Times New Roman" w:hAnsi="Times New Roman" w:eastAsia="Times New Roman" w:cs="Times New Roman"/>
                      <w:sz w:val="18"/>
                      <w:szCs w:val="18"/>
                    </w:rPr>
                  </w:pPr>
                  <w:r>
                    <w:rPr>
                      <w:rFonts w:eastAsia="Times New Roman" w:cs="Times New Roman"/>
                      <w:sz w:val="18"/>
                      <w:szCs w:val="18"/>
                    </w:rPr>
                    <w:t>вновь созданным юридическим лицом, которое на дату подачи заявки на участие в закупке в соответствии с законодательством РФ не предоставил в налоговые органы бухгалтерскую (финансовую) отчетность за завершенный финансовый год;</w:t>
                  </w:r>
                </w:p>
                <w:p>
                  <w:pPr>
                    <w:pStyle w:val="Normal"/>
                    <w:widowControl w:val="false"/>
                    <w:numPr>
                      <w:ilvl w:val="4"/>
                      <w:numId w:val="3"/>
                    </w:numPr>
                    <w:spacing w:lineRule="auto" w:line="240" w:before="0" w:after="0"/>
                    <w:ind w:left="828" w:hanging="567"/>
                    <w:jc w:val="both"/>
                    <w:rPr>
                      <w:rFonts w:ascii="Times New Roman" w:hAnsi="Times New Roman" w:eastAsia="Times New Roman" w:cs="Times New Roman"/>
                      <w:sz w:val="18"/>
                      <w:szCs w:val="18"/>
                    </w:rPr>
                  </w:pPr>
                  <w:r>
                    <w:rPr>
                      <w:rFonts w:eastAsia="Times New Roman" w:cs="Times New Roman"/>
                      <w:sz w:val="18"/>
                      <w:szCs w:val="18"/>
                    </w:rPr>
                    <w:t>физическим лицом (индивидуальным предпринимателем и/или применяющим специальный налоговый режим «Налог на профессиональный доход»), не ведущим бухгалтерскую (финансовую) отчетность;</w:t>
                  </w:r>
                </w:p>
              </w:tc>
            </w:tr>
            <w:tr>
              <w:trPr>
                <w:cantSplit w:val="true"/>
              </w:trPr>
              <w:tc>
                <w:tcPr>
                  <w:tcW w:w="884" w:type="dxa"/>
                  <w:tcBorders>
                    <w:top w:val="single" w:sz="4" w:space="0" w:color="000000"/>
                    <w:bottom w:val="single" w:sz="4" w:space="0" w:color="000000"/>
                    <w:right w:val="single" w:sz="4" w:space="0" w:color="000000"/>
                  </w:tcBorders>
                </w:tcPr>
                <w:p>
                  <w:pPr>
                    <w:pStyle w:val="Normal"/>
                    <w:widowControl w:val="false"/>
                    <w:numPr>
                      <w:ilvl w:val="7"/>
                      <w:numId w:val="3"/>
                    </w:numPr>
                    <w:spacing w:lineRule="auto" w:line="240" w:before="0" w:after="0"/>
                    <w:jc w:val="both"/>
                    <w:rPr>
                      <w:rFonts w:ascii="Times New Roman" w:hAnsi="Times New Roman" w:eastAsia="Times New Roman" w:cs="Times New Roman"/>
                      <w:sz w:val="18"/>
                      <w:szCs w:val="18"/>
                    </w:rPr>
                  </w:pPr>
                  <w:r>
                    <w:rPr>
                      <w:rFonts w:eastAsia="Times New Roman" w:cs="Times New Roman"/>
                      <w:sz w:val="18"/>
                      <w:szCs w:val="18"/>
                    </w:rPr>
                    <w:t>Б</w:t>
                  </w:r>
                  <w:r>
                    <w:rPr>
                      <w:rFonts w:eastAsia="Times New Roman" w:cs="Times New Roman"/>
                      <w:sz w:val="18"/>
                      <w:szCs w:val="18"/>
                      <w:vertAlign w:val="subscript"/>
                    </w:rPr>
                    <w:t>3</w:t>
                  </w:r>
                  <w:r>
                    <w:rPr>
                      <w:rFonts w:eastAsia="Times New Roman" w:cs="Times New Roman"/>
                      <w:sz w:val="18"/>
                      <w:szCs w:val="18"/>
                    </w:rPr>
                    <w:t xml:space="preserve"> = 3</w:t>
                  </w:r>
                </w:p>
              </w:tc>
              <w:tc>
                <w:tcPr>
                  <w:tcW w:w="5527"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rFonts w:ascii="Times New Roman" w:hAnsi="Times New Roman" w:eastAsia="Times New Roman" w:cs="Times New Roman"/>
                      <w:sz w:val="18"/>
                      <w:szCs w:val="18"/>
                    </w:rPr>
                  </w:pPr>
                  <w:r>
                    <w:rPr>
                      <w:rFonts w:eastAsia="Times New Roman" w:cs="Times New Roman"/>
                      <w:sz w:val="18"/>
                      <w:szCs w:val="18"/>
                    </w:rPr>
                    <w:t>Результат оценки финансового состояния (устойчивости): от 0,45 балла включительно до 0,90 балла включительно – Неустойчивое финансовое состояние;</w:t>
                  </w:r>
                </w:p>
              </w:tc>
            </w:tr>
            <w:tr>
              <w:trPr>
                <w:cantSplit w:val="true"/>
              </w:trPr>
              <w:tc>
                <w:tcPr>
                  <w:tcW w:w="884" w:type="dxa"/>
                  <w:tcBorders>
                    <w:top w:val="single" w:sz="4" w:space="0" w:color="000000"/>
                    <w:bottom w:val="single" w:sz="4" w:space="0" w:color="000000"/>
                    <w:right w:val="single" w:sz="4" w:space="0" w:color="000000"/>
                  </w:tcBorders>
                </w:tcPr>
                <w:p>
                  <w:pPr>
                    <w:pStyle w:val="Normal"/>
                    <w:widowControl w:val="false"/>
                    <w:numPr>
                      <w:ilvl w:val="7"/>
                      <w:numId w:val="3"/>
                    </w:numPr>
                    <w:spacing w:lineRule="auto" w:line="240" w:before="0" w:after="0"/>
                    <w:jc w:val="both"/>
                    <w:rPr>
                      <w:rFonts w:ascii="Times New Roman" w:hAnsi="Times New Roman" w:eastAsia="Times New Roman" w:cs="Times New Roman"/>
                      <w:sz w:val="18"/>
                      <w:szCs w:val="18"/>
                    </w:rPr>
                  </w:pPr>
                  <w:r>
                    <w:rPr>
                      <w:rFonts w:eastAsia="Times New Roman" w:cs="Times New Roman"/>
                      <w:sz w:val="18"/>
                      <w:szCs w:val="18"/>
                    </w:rPr>
                    <w:t>Б</w:t>
                  </w:r>
                  <w:r>
                    <w:rPr>
                      <w:rFonts w:eastAsia="Times New Roman" w:cs="Times New Roman"/>
                      <w:sz w:val="18"/>
                      <w:szCs w:val="18"/>
                      <w:vertAlign w:val="subscript"/>
                    </w:rPr>
                    <w:t>3</w:t>
                  </w:r>
                  <w:r>
                    <w:rPr>
                      <w:rFonts w:eastAsia="Times New Roman" w:cs="Times New Roman"/>
                      <w:sz w:val="18"/>
                      <w:szCs w:val="18"/>
                    </w:rPr>
                    <w:t xml:space="preserve"> = 5</w:t>
                  </w:r>
                </w:p>
              </w:tc>
              <w:tc>
                <w:tcPr>
                  <w:tcW w:w="5527"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rPr>
                      <w:rFonts w:ascii="Times New Roman" w:hAnsi="Times New Roman" w:eastAsia="Times New Roman" w:cs="Times New Roman"/>
                      <w:sz w:val="18"/>
                      <w:szCs w:val="18"/>
                    </w:rPr>
                  </w:pPr>
                  <w:r>
                    <w:rPr>
                      <w:rFonts w:eastAsia="Times New Roman" w:cs="Times New Roman"/>
                      <w:sz w:val="18"/>
                      <w:szCs w:val="18"/>
                    </w:rPr>
                    <w:t>Результат оценки финансового состояния (устойчивости): более 0,90 балла – Удовлетворительное финансовое состояние.</w:t>
                  </w:r>
                </w:p>
              </w:tc>
            </w:tr>
          </w:tbl>
          <w:p>
            <w:pPr>
              <w:pStyle w:val="Normal"/>
              <w:widowControl w:val="false"/>
              <w:numPr>
                <w:ilvl w:val="6"/>
                <w:numId w:val="3"/>
              </w:numPr>
              <w:spacing w:lineRule="auto" w:line="240" w:before="0" w:after="0"/>
              <w:ind w:left="826" w:hanging="0"/>
              <w:jc w:val="both"/>
              <w:rPr>
                <w:rFonts w:ascii="Times New Roman" w:hAnsi="Times New Roman" w:eastAsia="Times New Roman" w:cs="Times New Roman"/>
                <w:sz w:val="18"/>
                <w:szCs w:val="18"/>
              </w:rPr>
            </w:pPr>
            <w:r>
              <w:rPr>
                <w:rFonts w:eastAsia="Times New Roman" w:cs="Times New Roman"/>
                <w:sz w:val="18"/>
                <w:szCs w:val="18"/>
              </w:rPr>
              <w:t>где:</w:t>
            </w:r>
          </w:p>
          <w:p>
            <w:pPr>
              <w:pStyle w:val="Normal"/>
              <w:widowControl w:val="false"/>
              <w:numPr>
                <w:ilvl w:val="6"/>
                <w:numId w:val="3"/>
              </w:numPr>
              <w:spacing w:lineRule="auto" w:line="240" w:before="0" w:after="0"/>
              <w:ind w:left="826" w:hanging="0"/>
              <w:jc w:val="both"/>
              <w:rPr>
                <w:rFonts w:ascii="Times New Roman" w:hAnsi="Times New Roman" w:eastAsia="Times New Roman" w:cs="Times New Roman"/>
                <w:sz w:val="18"/>
                <w:szCs w:val="18"/>
              </w:rPr>
            </w:pPr>
            <w:r>
              <w:rPr>
                <w:rFonts w:eastAsia="Times New Roman" w:cs="Times New Roman"/>
                <w:sz w:val="18"/>
                <w:szCs w:val="18"/>
              </w:rPr>
              <w:t>Б</w:t>
            </w:r>
            <w:r>
              <w:rPr>
                <w:rFonts w:eastAsia="Times New Roman" w:cs="Times New Roman"/>
                <w:sz w:val="18"/>
                <w:szCs w:val="18"/>
                <w:vertAlign w:val="subscript"/>
              </w:rPr>
              <w:t>3</w:t>
            </w:r>
            <w:r>
              <w:rPr>
                <w:rFonts w:eastAsia="Times New Roman" w:cs="Times New Roman"/>
                <w:sz w:val="18"/>
                <w:szCs w:val="18"/>
              </w:rPr>
              <w:tab/>
              <w:t>–</w:t>
              <w:tab/>
              <w:t>рассчитанная оценка предпочтительности по данному частному критерию оценки в баллах.</w:t>
            </w:r>
          </w:p>
          <w:p>
            <w:pPr>
              <w:pStyle w:val="Normal"/>
              <w:widowControl w:val="false"/>
              <w:spacing w:lineRule="auto" w:line="240" w:before="0" w:after="0"/>
              <w:jc w:val="both"/>
              <w:rPr>
                <w:rFonts w:ascii="Times New Roman" w:hAnsi="Times New Roman" w:eastAsia="Times New Roman" w:cs="Times New Roman"/>
                <w:sz w:val="18"/>
                <w:szCs w:val="18"/>
              </w:rPr>
            </w:pPr>
            <w:r>
              <w:rPr>
                <w:rFonts w:eastAsia="Times New Roman" w:cs="Times New Roman"/>
                <w:sz w:val="18"/>
                <w:szCs w:val="18"/>
              </w:rPr>
              <w:t>В случае участия в закупке Генерального подрядчика – балл по данному критерию присваивается исходя из оценки финансового состояния Генерального подрядчика без учета субподрядчиков.</w:t>
            </w:r>
          </w:p>
          <w:p>
            <w:pPr>
              <w:pStyle w:val="Normal"/>
              <w:widowControl w:val="false"/>
              <w:spacing w:lineRule="auto" w:line="240" w:before="96" w:after="96"/>
              <w:jc w:val="both"/>
              <w:rPr>
                <w:rFonts w:ascii="Times New Roman" w:hAnsi="Times New Roman" w:eastAsia="Times New Roman" w:cs="Times New Roman"/>
                <w:sz w:val="18"/>
                <w:szCs w:val="18"/>
              </w:rPr>
            </w:pPr>
            <w:r>
              <w:rPr>
                <w:rFonts w:eastAsia="Times New Roman" w:cs="Times New Roman"/>
                <w:sz w:val="18"/>
                <w:szCs w:val="18"/>
              </w:rPr>
              <w:t>Шкала оценок от 0 до 5 баллов.</w:t>
            </w:r>
          </w:p>
        </w:tc>
      </w:tr>
      <w:tr>
        <w:trPr>
          <w:trHeight w:val="2154" w:hRule="atLeast"/>
        </w:trPr>
        <w:tc>
          <w:tcPr>
            <w:tcW w:w="5485"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40" w:after="40"/>
              <w:jc w:val="right"/>
              <w:rPr>
                <w:rFonts w:ascii="Times New Roman" w:hAnsi="Times New Roman" w:eastAsia="Times New Roman" w:cs="Times New Roman"/>
                <w:sz w:val="18"/>
                <w:szCs w:val="18"/>
              </w:rPr>
            </w:pPr>
            <w:r>
              <w:rPr>
                <w:rFonts w:eastAsia="Times New Roman" w:cs="Times New Roman"/>
                <w:sz w:val="18"/>
                <w:szCs w:val="18"/>
              </w:rPr>
              <w:t>Итоговая оценка предпочтительности заявки:</w:t>
            </w:r>
          </w:p>
          <w:p>
            <w:pPr>
              <w:pStyle w:val="Normal"/>
              <w:widowControl w:val="false"/>
              <w:spacing w:lineRule="auto" w:line="240" w:before="0" w:after="0"/>
              <w:rPr>
                <w:rFonts w:ascii="Times New Roman" w:hAnsi="Times New Roman" w:eastAsia="Times New Roman" w:cs="Times New Roman"/>
                <w:sz w:val="18"/>
                <w:szCs w:val="18"/>
              </w:rPr>
            </w:pPr>
            <w:r>
              <w:rPr>
                <w:rFonts w:eastAsia="Times New Roman" w:cs="Times New Roman"/>
                <w:sz w:val="18"/>
                <w:szCs w:val="18"/>
              </w:rPr>
            </w:r>
          </w:p>
          <w:p>
            <w:pPr>
              <w:pStyle w:val="Normal"/>
              <w:widowControl w:val="false"/>
              <w:spacing w:lineRule="auto" w:line="240" w:before="0" w:after="0"/>
              <w:rPr>
                <w:rFonts w:ascii="Times New Roman" w:hAnsi="Times New Roman" w:eastAsia="Times New Roman" w:cs="Times New Roman"/>
                <w:sz w:val="18"/>
                <w:szCs w:val="18"/>
              </w:rPr>
            </w:pPr>
            <w:r>
              <w:rPr>
                <w:rFonts w:eastAsia="Times New Roman" w:cs="Times New Roman"/>
                <w:sz w:val="18"/>
                <w:szCs w:val="18"/>
              </w:rPr>
            </w:r>
          </w:p>
          <w:p>
            <w:pPr>
              <w:pStyle w:val="Normal"/>
              <w:widowControl w:val="false"/>
              <w:spacing w:lineRule="auto" w:line="240" w:before="0" w:after="0"/>
              <w:rPr>
                <w:rFonts w:ascii="Times New Roman" w:hAnsi="Times New Roman" w:eastAsia="Times New Roman" w:cs="Times New Roman"/>
                <w:sz w:val="18"/>
                <w:szCs w:val="18"/>
              </w:rPr>
            </w:pPr>
            <w:r>
              <w:rPr>
                <w:rFonts w:eastAsia="Times New Roman" w:cs="Times New Roman"/>
                <w:sz w:val="18"/>
                <w:szCs w:val="18"/>
              </w:rPr>
            </w:r>
          </w:p>
          <w:p>
            <w:pPr>
              <w:pStyle w:val="Normal"/>
              <w:widowControl w:val="false"/>
              <w:spacing w:lineRule="auto" w:line="240" w:before="0" w:after="0"/>
              <w:rPr>
                <w:rFonts w:ascii="Times New Roman" w:hAnsi="Times New Roman" w:eastAsia="Times New Roman" w:cs="Times New Roman"/>
                <w:sz w:val="18"/>
                <w:szCs w:val="18"/>
              </w:rPr>
            </w:pPr>
            <w:r>
              <w:rPr>
                <w:rFonts w:eastAsia="Times New Roman" w:cs="Times New Roman"/>
                <w:sz w:val="18"/>
                <w:szCs w:val="18"/>
              </w:rPr>
            </w:r>
          </w:p>
          <w:p>
            <w:pPr>
              <w:pStyle w:val="Normal"/>
              <w:widowControl w:val="false"/>
              <w:spacing w:lineRule="auto" w:line="240" w:before="0" w:after="0"/>
              <w:rPr>
                <w:rFonts w:ascii="Times New Roman" w:hAnsi="Times New Roman" w:eastAsia="Times New Roman" w:cs="Times New Roman"/>
                <w:sz w:val="18"/>
                <w:szCs w:val="18"/>
              </w:rPr>
            </w:pPr>
            <w:r>
              <w:rPr>
                <w:rFonts w:eastAsia="Times New Roman" w:cs="Times New Roman"/>
                <w:sz w:val="18"/>
                <w:szCs w:val="18"/>
              </w:rPr>
            </w:r>
          </w:p>
          <w:p>
            <w:pPr>
              <w:pStyle w:val="Normal"/>
              <w:widowControl w:val="false"/>
              <w:spacing w:lineRule="auto" w:line="240" w:before="0" w:after="0"/>
              <w:rPr>
                <w:rFonts w:ascii="Times New Roman" w:hAnsi="Times New Roman" w:eastAsia="Times New Roman" w:cs="Times New Roman"/>
                <w:sz w:val="18"/>
                <w:szCs w:val="18"/>
              </w:rPr>
            </w:pPr>
            <w:r>
              <w:rPr>
                <w:rFonts w:eastAsia="Times New Roman" w:cs="Times New Roman"/>
                <w:sz w:val="18"/>
                <w:szCs w:val="18"/>
              </w:rPr>
            </w:r>
          </w:p>
          <w:p>
            <w:pPr>
              <w:pStyle w:val="Normal"/>
              <w:widowControl w:val="false"/>
              <w:spacing w:lineRule="auto" w:line="240" w:before="0" w:after="0"/>
              <w:rPr>
                <w:rFonts w:ascii="Times New Roman" w:hAnsi="Times New Roman" w:eastAsia="Times New Roman" w:cs="Times New Roman"/>
                <w:sz w:val="18"/>
                <w:szCs w:val="18"/>
              </w:rPr>
            </w:pPr>
            <w:r>
              <w:rPr>
                <w:rFonts w:eastAsia="Times New Roman" w:cs="Times New Roman"/>
                <w:sz w:val="18"/>
                <w:szCs w:val="18"/>
              </w:rPr>
            </w:r>
          </w:p>
          <w:p>
            <w:pPr>
              <w:pStyle w:val="Normal"/>
              <w:widowControl w:val="false"/>
              <w:spacing w:lineRule="auto" w:line="240" w:before="0" w:after="0"/>
              <w:rPr>
                <w:rFonts w:ascii="Times New Roman" w:hAnsi="Times New Roman" w:eastAsia="Times New Roman" w:cs="Times New Roman"/>
                <w:sz w:val="18"/>
                <w:szCs w:val="18"/>
              </w:rPr>
            </w:pPr>
            <w:r>
              <w:rPr>
                <w:rFonts w:eastAsia="Times New Roman" w:cs="Times New Roman"/>
                <w:sz w:val="18"/>
                <w:szCs w:val="18"/>
              </w:rPr>
            </w:r>
          </w:p>
          <w:p>
            <w:pPr>
              <w:pStyle w:val="Normal"/>
              <w:widowControl w:val="false"/>
              <w:spacing w:lineRule="auto" w:line="240" w:before="0" w:after="0"/>
              <w:rPr>
                <w:rFonts w:ascii="Times New Roman" w:hAnsi="Times New Roman" w:eastAsia="Times New Roman" w:cs="Times New Roman"/>
                <w:sz w:val="18"/>
                <w:szCs w:val="18"/>
              </w:rPr>
            </w:pPr>
            <w:r>
              <w:rPr>
                <w:rFonts w:eastAsia="Times New Roman" w:cs="Times New Roman"/>
                <w:sz w:val="18"/>
                <w:szCs w:val="18"/>
              </w:rPr>
            </w:r>
          </w:p>
          <w:p>
            <w:pPr>
              <w:pStyle w:val="Normal"/>
              <w:widowControl w:val="false"/>
              <w:spacing w:lineRule="auto" w:line="240" w:before="0" w:after="0"/>
              <w:rPr>
                <w:rFonts w:ascii="Times New Roman" w:hAnsi="Times New Roman" w:eastAsia="Times New Roman" w:cs="Times New Roman"/>
                <w:sz w:val="18"/>
                <w:szCs w:val="18"/>
              </w:rPr>
            </w:pPr>
            <w:r>
              <w:rPr>
                <w:rFonts w:eastAsia="Times New Roman" w:cs="Times New Roman"/>
                <w:sz w:val="18"/>
                <w:szCs w:val="18"/>
              </w:rPr>
            </w:r>
          </w:p>
          <w:p>
            <w:pPr>
              <w:pStyle w:val="Normal"/>
              <w:widowControl w:val="false"/>
              <w:spacing w:lineRule="auto" w:line="240" w:before="0" w:after="0"/>
              <w:jc w:val="right"/>
              <w:rPr>
                <w:rFonts w:ascii="Times New Roman" w:hAnsi="Times New Roman" w:eastAsia="Times New Roman" w:cs="Times New Roman"/>
                <w:sz w:val="18"/>
                <w:szCs w:val="18"/>
              </w:rPr>
            </w:pPr>
            <w:r>
              <w:rPr>
                <w:rFonts w:eastAsia="Times New Roman" w:cs="Times New Roman"/>
                <w:sz w:val="18"/>
                <w:szCs w:val="18"/>
              </w:rPr>
            </w:r>
          </w:p>
        </w:tc>
        <w:tc>
          <w:tcPr>
            <w:tcW w:w="965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120" w:after="0"/>
              <w:rPr>
                <w:rFonts w:ascii="Times New Roman" w:hAnsi="Times New Roman" w:eastAsia="Times New Roman" w:cs="Times New Roman"/>
                <w:sz w:val="18"/>
                <w:szCs w:val="18"/>
              </w:rPr>
            </w:pPr>
            <w:r>
              <w:rPr>
                <w:rFonts w:eastAsia="Times New Roman" w:cs="Times New Roman"/>
                <w:sz w:val="18"/>
                <w:szCs w:val="18"/>
              </w:rPr>
              <w:t xml:space="preserve">Расчет итоговой оценки предпочтительности </w:t>
            </w:r>
            <w:r>
              <w:rPr>
                <w:rFonts w:eastAsia="Times New Roman" w:cs="Times New Roman"/>
                <w:i/>
                <w:sz w:val="18"/>
                <w:szCs w:val="18"/>
                <w:lang w:val="en-US"/>
              </w:rPr>
              <w:t>i</w:t>
            </w:r>
            <w:r>
              <w:rPr>
                <w:rFonts w:eastAsia="Times New Roman" w:cs="Times New Roman"/>
                <w:sz w:val="18"/>
                <w:szCs w:val="18"/>
              </w:rPr>
              <w:t>-ой заявки:</w:t>
            </w:r>
          </w:p>
          <w:p>
            <w:pPr>
              <w:pStyle w:val="Normal"/>
              <w:keepNext w:val="true"/>
              <w:widowControl w:val="false"/>
              <w:spacing w:lineRule="auto" w:line="252" w:before="96" w:after="0"/>
              <w:jc w:val="center"/>
              <w:rPr>
                <w:rFonts w:ascii="Times New Roman" w:hAnsi="Times New Roman" w:eastAsia="Times New Roman" w:cs="Times New Roman"/>
                <w:sz w:val="18"/>
                <w:szCs w:val="18"/>
              </w:rPr>
            </w:pPr>
            <w:r>
              <w:rPr/>
            </w:r>
            <m:oMathPara xmlns:m="http://schemas.openxmlformats.org/officeDocument/2006/math">
              <m:oMathParaPr>
                <m:jc m:val="center"/>
              </m:oMathParaPr>
              <m:oMath>
                <m:sSub>
                  <m:e>
                    <m:r>
                      <w:rPr>
                        <w:rFonts w:ascii="Cambria Math" w:hAnsi="Cambria Math"/>
                      </w:rPr>
                      <m:t xml:space="preserve">Б</m:t>
                    </m:r>
                  </m:e>
                  <m:sub>
                    <m:r>
                      <w:rPr>
                        <w:rFonts w:ascii="Cambria Math" w:hAnsi="Cambria Math"/>
                      </w:rPr>
                      <m:t xml:space="preserve">ИТОГ</m:t>
                    </m:r>
                  </m:sub>
                </m:sSub>
                <m:r>
                  <w:rPr>
                    <w:rFonts w:ascii="Cambria Math" w:hAnsi="Cambria Math"/>
                  </w:rPr>
                  <m:t xml:space="preserve">=</m:t>
                </m:r>
                <m:nary>
                  <m:naryPr>
                    <m:chr m:val="∑"/>
                    <m:subHide m:val="1"/>
                    <m:supHide m:val="1"/>
                  </m:naryPr>
                  <m:sub/>
                  <m:sup/>
                  <m:e>
                    <m:d>
                      <m:dPr>
                        <m:begChr m:val="("/>
                        <m:endChr m:val=")"/>
                      </m:dPr>
                      <m:e>
                        <m:sSub>
                          <m:e>
                            <m:r>
                              <w:rPr>
                                <w:rFonts w:ascii="Cambria Math" w:hAnsi="Cambria Math"/>
                              </w:rPr>
                              <m:t xml:space="preserve">Б</m:t>
                            </m:r>
                          </m:e>
                          <m:sub>
                            <m:sSub>
                              <m:e>
                                <m:r>
                                  <w:rPr>
                                    <w:rFonts w:ascii="Cambria Math" w:hAnsi="Cambria Math"/>
                                  </w:rPr>
                                  <m:t xml:space="preserve">1</m:t>
                                </m:r>
                                <m:r>
                                  <w:rPr>
                                    <w:rFonts w:ascii="Cambria Math" w:hAnsi="Cambria Math"/>
                                  </w:rPr>
                                  <m:t xml:space="preserve">уровень</m:t>
                                </m:r>
                              </m:e>
                              <m:sub>
                                <m:r>
                                  <w:rPr>
                                    <w:rFonts w:ascii="Cambria Math" w:hAnsi="Cambria Math"/>
                                  </w:rPr>
                                  <m:t xml:space="preserve">k</m:t>
                                </m:r>
                              </m:sub>
                            </m:sSub>
                          </m:sub>
                        </m:sSub>
                        <m:r>
                          <w:rPr>
                            <w:rFonts w:ascii="Cambria Math" w:hAnsi="Cambria Math"/>
                          </w:rPr>
                          <m:t xml:space="preserve">×</m:t>
                        </m:r>
                        <m:sSub>
                          <m:e>
                            <m:r>
                              <w:rPr>
                                <w:rFonts w:ascii="Cambria Math" w:hAnsi="Cambria Math"/>
                              </w:rPr>
                              <m:t xml:space="preserve">В</m:t>
                            </m:r>
                          </m:e>
                          <m:sub>
                            <m:sSub>
                              <m:e>
                                <m:r>
                                  <w:rPr>
                                    <w:rFonts w:ascii="Cambria Math" w:hAnsi="Cambria Math"/>
                                  </w:rPr>
                                  <m:t xml:space="preserve">1</m:t>
                                </m:r>
                                <m:r>
                                  <w:rPr>
                                    <w:rFonts w:ascii="Cambria Math" w:hAnsi="Cambria Math"/>
                                  </w:rPr>
                                  <m:t xml:space="preserve">уровень</m:t>
                                </m:r>
                              </m:e>
                              <m:sub>
                                <m:r>
                                  <w:rPr>
                                    <w:rFonts w:ascii="Cambria Math" w:hAnsi="Cambria Math"/>
                                  </w:rPr>
                                  <m:t xml:space="preserve">k</m:t>
                                </m:r>
                              </m:sub>
                            </m:sSub>
                          </m:sub>
                        </m:sSub>
                      </m:e>
                    </m:d>
                  </m:e>
                </m:nary>
                <m:r>
                  <w:rPr>
                    <w:rFonts w:ascii="Cambria Math" w:hAnsi="Cambria Math"/>
                  </w:rPr>
                  <m:t xml:space="preserve">,</m:t>
                </m:r>
              </m:oMath>
            </m:oMathPara>
          </w:p>
          <w:p>
            <w:pPr>
              <w:pStyle w:val="Normal"/>
              <w:keepNext w:val="true"/>
              <w:widowControl w:val="false"/>
              <w:spacing w:lineRule="auto" w:line="252" w:before="0" w:after="0"/>
              <w:rPr>
                <w:rFonts w:ascii="Times New Roman" w:hAnsi="Times New Roman" w:eastAsia="Times New Roman" w:cs="Times New Roman"/>
                <w:sz w:val="18"/>
                <w:szCs w:val="18"/>
              </w:rPr>
            </w:pPr>
            <w:r>
              <w:rPr>
                <w:rFonts w:eastAsia="Times New Roman" w:cs="Times New Roman"/>
                <w:sz w:val="18"/>
                <w:szCs w:val="18"/>
              </w:rPr>
              <w:t>где:</w:t>
            </w:r>
          </w:p>
          <w:p>
            <w:pPr>
              <w:pStyle w:val="Normal"/>
              <w:widowControl w:val="false"/>
              <w:tabs>
                <w:tab w:val="clear" w:pos="708"/>
                <w:tab w:val="left" w:pos="742" w:leader="none"/>
                <w:tab w:val="left" w:pos="1167" w:leader="none"/>
              </w:tabs>
              <w:spacing w:lineRule="auto" w:line="252" w:before="0" w:after="0"/>
              <w:rPr>
                <w:rFonts w:ascii="Times New Roman" w:hAnsi="Times New Roman" w:eastAsia="Times New Roman" w:cs="Times New Roman"/>
                <w:sz w:val="18"/>
                <w:szCs w:val="18"/>
              </w:rPr>
            </w:pPr>
            <w:r>
              <w:rPr>
                <w:rFonts w:eastAsia="Times New Roman" w:cs="Times New Roman"/>
                <w:sz w:val="18"/>
                <w:szCs w:val="18"/>
              </w:rPr>
              <w:t>Б</w:t>
            </w:r>
            <w:r>
              <w:rPr>
                <w:rFonts w:eastAsia="Times New Roman" w:cs="Times New Roman"/>
                <w:sz w:val="18"/>
                <w:szCs w:val="18"/>
                <w:vertAlign w:val="subscript"/>
              </w:rPr>
              <w:t>ИТОГ</w:t>
            </w:r>
            <w:r>
              <w:rPr>
                <w:rFonts w:eastAsia="Times New Roman" w:cs="Times New Roman"/>
                <w:sz w:val="18"/>
                <w:szCs w:val="18"/>
              </w:rPr>
              <w:tab/>
              <w:t>–</w:t>
              <w:tab/>
              <w:t>рассчитанная итоговая оценка предпочтительности в баллах;</w:t>
            </w:r>
          </w:p>
          <w:p>
            <w:pPr>
              <w:pStyle w:val="Normal"/>
              <w:widowControl w:val="false"/>
              <w:tabs>
                <w:tab w:val="clear" w:pos="708"/>
                <w:tab w:val="left" w:pos="742" w:leader="none"/>
                <w:tab w:val="left" w:pos="1167" w:leader="none"/>
              </w:tabs>
              <w:spacing w:lineRule="auto" w:line="252" w:before="0" w:after="0"/>
              <w:rPr>
                <w:rFonts w:ascii="Times New Roman" w:hAnsi="Times New Roman" w:eastAsia="Times New Roman" w:cs="Times New Roman"/>
                <w:sz w:val="18"/>
                <w:szCs w:val="18"/>
              </w:rPr>
            </w:pPr>
            <w:r>
              <w:rPr>
                <w:rFonts w:eastAsia="Times New Roman" w:cs="Times New Roman"/>
                <w:sz w:val="18"/>
                <w:szCs w:val="18"/>
              </w:rPr>
              <w:t>Б</w:t>
            </w:r>
            <w:r>
              <w:rPr>
                <w:rFonts w:eastAsia="Times New Roman" w:cs="Times New Roman"/>
                <w:sz w:val="18"/>
                <w:szCs w:val="18"/>
                <w:vertAlign w:val="subscript"/>
              </w:rPr>
              <w:t>1 уровень k</w:t>
            </w:r>
            <w:r>
              <w:rPr>
                <w:rFonts w:eastAsia="Times New Roman" w:cs="Times New Roman"/>
                <w:sz w:val="18"/>
                <w:szCs w:val="18"/>
              </w:rPr>
              <w:tab/>
              <w:t>–</w:t>
              <w:tab/>
              <w:t>оценка предпочтительности по k-тому критерию оценки первого уровня в баллах;</w:t>
            </w:r>
          </w:p>
          <w:p>
            <w:pPr>
              <w:pStyle w:val="Normal"/>
              <w:widowControl w:val="false"/>
              <w:tabs>
                <w:tab w:val="clear" w:pos="708"/>
                <w:tab w:val="left" w:pos="742" w:leader="none"/>
                <w:tab w:val="left" w:pos="1167" w:leader="none"/>
              </w:tabs>
              <w:spacing w:lineRule="auto" w:line="252" w:before="0" w:after="0"/>
              <w:rPr>
                <w:rFonts w:ascii="Times New Roman" w:hAnsi="Times New Roman" w:eastAsia="Times New Roman" w:cs="Times New Roman"/>
                <w:sz w:val="18"/>
                <w:szCs w:val="18"/>
              </w:rPr>
            </w:pPr>
            <w:r>
              <w:rPr>
                <w:rFonts w:eastAsia="Times New Roman" w:cs="Times New Roman"/>
                <w:sz w:val="18"/>
                <w:szCs w:val="18"/>
              </w:rPr>
              <w:t>В</w:t>
            </w:r>
            <w:r>
              <w:rPr>
                <w:rFonts w:eastAsia="Times New Roman" w:cs="Times New Roman"/>
                <w:sz w:val="18"/>
                <w:szCs w:val="18"/>
                <w:vertAlign w:val="subscript"/>
              </w:rPr>
              <w:t>1 уровень k</w:t>
            </w:r>
            <w:r>
              <w:rPr>
                <w:rFonts w:eastAsia="Times New Roman" w:cs="Times New Roman"/>
                <w:sz w:val="18"/>
                <w:szCs w:val="18"/>
              </w:rPr>
              <w:tab/>
              <w:t>–</w:t>
              <w:tab/>
              <w:t>значимость k-ого критерия оценки первого уровня, выраженная в диапазоне от 1% до 100% (или от 0,01 до 1,00) – вес k-ого критерия оценки первого уровня.</w:t>
            </w:r>
          </w:p>
          <w:p>
            <w:pPr>
              <w:pStyle w:val="Normal"/>
              <w:widowControl w:val="false"/>
              <w:tabs>
                <w:tab w:val="clear" w:pos="708"/>
                <w:tab w:val="left" w:pos="742" w:leader="none"/>
                <w:tab w:val="left" w:pos="1167" w:leader="none"/>
              </w:tabs>
              <w:spacing w:lineRule="auto" w:line="252" w:before="0" w:after="0"/>
              <w:rPr>
                <w:rFonts w:ascii="Times New Roman" w:hAnsi="Times New Roman" w:eastAsia="Times New Roman" w:cs="Times New Roman"/>
                <w:sz w:val="18"/>
                <w:szCs w:val="18"/>
              </w:rPr>
            </w:pPr>
            <w:r>
              <w:rPr>
                <w:rFonts w:eastAsia="Times New Roman" w:cs="Times New Roman"/>
                <w:sz w:val="18"/>
                <w:szCs w:val="18"/>
              </w:rPr>
            </w:r>
          </w:p>
          <w:p>
            <w:pPr>
              <w:pStyle w:val="Normal"/>
              <w:widowControl w:val="false"/>
              <w:tabs>
                <w:tab w:val="clear" w:pos="708"/>
                <w:tab w:val="left" w:pos="742" w:leader="none"/>
                <w:tab w:val="left" w:pos="1167" w:leader="none"/>
              </w:tabs>
              <w:spacing w:lineRule="auto" w:line="252" w:before="0" w:after="0"/>
              <w:rPr>
                <w:rFonts w:ascii="Times New Roman" w:hAnsi="Times New Roman" w:eastAsia="Times New Roman" w:cs="Times New Roman"/>
                <w:sz w:val="18"/>
                <w:szCs w:val="18"/>
              </w:rPr>
            </w:pPr>
            <w:r>
              <w:rPr>
                <w:rFonts w:cs="Times New Roman"/>
                <w:i/>
                <w:iCs/>
                <w:sz w:val="18"/>
                <w:szCs w:val="18"/>
              </w:rPr>
              <w:t>Расчет значений баллов по частным / обобщенным критериям оценки, а также итогового балла (итоговой оценки предпочтительности) производится до четвертого знака после запятой (в соответствии с математическими правилами округления).</w:t>
            </w:r>
          </w:p>
          <w:p>
            <w:pPr>
              <w:pStyle w:val="Normal"/>
              <w:widowControl w:val="false"/>
              <w:spacing w:lineRule="auto" w:line="240" w:before="0" w:after="0"/>
              <w:rPr>
                <w:rFonts w:ascii="Times New Roman" w:hAnsi="Times New Roman" w:eastAsia="Times New Roman" w:cs="Times New Roman"/>
                <w:sz w:val="18"/>
                <w:szCs w:val="18"/>
              </w:rPr>
            </w:pPr>
            <w:r>
              <w:rPr>
                <w:rFonts w:eastAsia="Times New Roman" w:cs="Times New Roman"/>
                <w:sz w:val="18"/>
                <w:szCs w:val="18"/>
              </w:rPr>
            </w:r>
          </w:p>
        </w:tc>
      </w:tr>
    </w:tbl>
    <w:p>
      <w:pPr>
        <w:pStyle w:val="Normal"/>
        <w:numPr>
          <w:ilvl w:val="0"/>
          <w:numId w:val="0"/>
        </w:numPr>
        <w:ind w:left="1134" w:hanging="0"/>
        <w:rPr/>
      </w:pPr>
      <w:r>
        <w:rPr/>
      </w:r>
    </w:p>
    <w:p>
      <w:pPr>
        <w:pStyle w:val="Style24"/>
        <w:rPr/>
      </w:pPr>
      <w:r>
        <w:rPr/>
        <w:t>Итоговая оценка предпочтительности заявки формируется путем взвешенного суммирования (суммирования в баллах, умноженных на соответствующий коэффициент значимости критерия), производимого в рамках критериев одного уровня. Общая значимость всех критериев одного уровня на одной ветке иерархии составляет 100%. Вычисление оценки предпочтительности по каждому критерию и итоговой оценки предпочтительности заявки производится с точностью до десятитысячных балла.</w:t>
      </w:r>
    </w:p>
    <w:p>
      <w:pPr>
        <w:pStyle w:val="Style24"/>
        <w:rPr/>
      </w:pPr>
      <w:r>
        <w:rPr/>
        <w:t>В установленных случаях оценка и сопоставление заявок производится с учетом предоставления национального режима в соответствии с порядком, предусмотренном подразделом </w:t>
      </w:r>
      <w:r>
        <w:rPr/>
        <w:fldChar w:fldCharType="begin"/>
      </w:r>
      <w:r>
        <w:rPr/>
        <w:instrText xml:space="preserve"> REF _Ref130985951 \r \h </w:instrText>
      </w:r>
      <w:r>
        <w:rPr/>
        <w:fldChar w:fldCharType="separate"/>
      </w:r>
      <w:r>
        <w:rPr/>
        <w:t>4.13</w:t>
      </w:r>
      <w:r>
        <w:rPr/>
        <w:fldChar w:fldCharType="end"/>
      </w:r>
      <w:r>
        <w:rPr/>
        <w:t>.</w:t>
      </w:r>
    </w:p>
    <w:p>
      <w:pPr>
        <w:sectPr>
          <w:headerReference w:type="default" r:id="rId35"/>
          <w:headerReference w:type="first" r:id="rId36"/>
          <w:footerReference w:type="default" r:id="rId37"/>
          <w:footerReference w:type="first" r:id="rId38"/>
          <w:footnotePr>
            <w:numFmt w:val="decimal"/>
          </w:footnotePr>
          <w:type w:val="nextPage"/>
          <w:pgSz w:orient="landscape" w:w="16838" w:h="11906"/>
          <w:pgMar w:left="851" w:right="851" w:gutter="0" w:header="567" w:top="1134" w:footer="567" w:bottom="850"/>
          <w:pgNumType w:fmt="decimal"/>
          <w:formProt w:val="false"/>
          <w:textDirection w:val="lrTb"/>
          <w:docGrid w:type="default" w:linePitch="360" w:charSpace="0"/>
        </w:sectPr>
        <w:pStyle w:val="Style24"/>
        <w:rPr/>
      </w:pPr>
      <w:r>
        <w:rPr/>
        <w:t>Заявки участников (из числа успешно прошедших отборочную стадию) ранжируются по количеству набранных баллов (от наибольшего к наименьшему), присвоенных заявкам по результатам оценки.</w:t>
      </w:r>
    </w:p>
    <w:p>
      <w:pPr>
        <w:pStyle w:val="Style22"/>
        <w:rPr/>
      </w:pPr>
      <w:bookmarkStart w:id="391" w:name="_Toc188004718"/>
      <w:bookmarkStart w:id="392" w:name="Прил09_ОбоснованиеНМЦ"/>
      <w:bookmarkStart w:id="393" w:name="_Ref125360420"/>
      <w:bookmarkStart w:id="394" w:name="_Toc136261769"/>
      <w:bookmarkStart w:id="395" w:name="_Toc136261692"/>
      <w:bookmarkStart w:id="396" w:name="_Toc136249263"/>
      <w:bookmarkStart w:id="397" w:name="_Toc136261768"/>
      <w:bookmarkStart w:id="398" w:name="_Toc136261691"/>
      <w:bookmarkStart w:id="399" w:name="_Toc136249262"/>
      <w:bookmarkStart w:id="400" w:name="_Toc136261767"/>
      <w:bookmarkStart w:id="401" w:name="_Toc136261690"/>
      <w:bookmarkStart w:id="402" w:name="_Toc136249261"/>
      <w:bookmarkStart w:id="403" w:name="_Toc136261766"/>
      <w:bookmarkStart w:id="404" w:name="_Toc136261689"/>
      <w:bookmarkStart w:id="405" w:name="_Toc136249260"/>
      <w:bookmarkEnd w:id="394"/>
      <w:bookmarkEnd w:id="395"/>
      <w:bookmarkEnd w:id="396"/>
      <w:bookmarkEnd w:id="397"/>
      <w:bookmarkEnd w:id="398"/>
      <w:bookmarkEnd w:id="399"/>
      <w:bookmarkEnd w:id="400"/>
      <w:bookmarkEnd w:id="401"/>
      <w:bookmarkEnd w:id="402"/>
      <w:bookmarkEnd w:id="403"/>
      <w:bookmarkEnd w:id="404"/>
      <w:bookmarkEnd w:id="405"/>
      <w:r>
        <w:rPr/>
        <w:t>Приложение № 9 – Обоснование НМЦ</w:t>
      </w:r>
      <w:bookmarkEnd w:id="391"/>
      <w:bookmarkEnd w:id="392"/>
      <w:bookmarkEnd w:id="393"/>
    </w:p>
    <w:p>
      <w:pPr>
        <w:pStyle w:val="Style23"/>
        <w:rPr/>
      </w:pPr>
      <w:bookmarkStart w:id="406" w:name="_Toc188004719"/>
      <w:r>
        <w:rPr/>
        <w:t>Пояснения к Обоснованию НМЦ</w:t>
      </w:r>
      <w:bookmarkEnd w:id="406"/>
    </w:p>
    <w:p>
      <w:pPr>
        <w:pStyle w:val="Style24"/>
        <w:rPr/>
      </w:pPr>
      <w:r>
        <w:rPr/>
        <w:t>Обоснование НМЦ приведено в отдельном файле (предоставляется отдельным документом в составе Документации о закупке), являющимся Приложением № 9 к Документации о закупке.</w:t>
      </w:r>
    </w:p>
    <w:p>
      <w:pPr>
        <w:pStyle w:val="Style22"/>
        <w:rPr/>
      </w:pPr>
      <w:bookmarkStart w:id="407" w:name="_Toc188004720"/>
      <w:bookmarkStart w:id="408" w:name="Прил10_ЗаявкаНаАккредитацию"/>
      <w:bookmarkEnd w:id="408"/>
      <w:r>
        <w:rPr/>
        <w:t>Приложение № 10 – Форма Заявки на аккредитацию</w:t>
      </w:r>
      <w:bookmarkEnd w:id="407"/>
    </w:p>
    <w:p>
      <w:pPr>
        <w:pStyle w:val="Style23"/>
        <w:rPr/>
      </w:pPr>
      <w:bookmarkStart w:id="409" w:name="_Toc188004721"/>
      <w:bookmarkStart w:id="410" w:name="_GoBack"/>
      <w:bookmarkEnd w:id="410"/>
      <w:r>
        <w:rPr/>
        <w:t>Пояснения к форме Заявки на аккредитацию</w:t>
      </w:r>
      <w:bookmarkEnd w:id="409"/>
    </w:p>
    <w:p>
      <w:pPr>
        <w:pStyle w:val="Style24"/>
        <w:rPr/>
      </w:pPr>
      <w:r>
        <w:rPr/>
        <w:t>Форма Заявки на аккредитацию приведена в отдельном файле (предоставляется отдельным документом в составе Документации о закупке), являющимся Приложением № 10 к Документации о закупке.</w:t>
      </w:r>
    </w:p>
    <w:p>
      <w:pPr>
        <w:pStyle w:val="Style28"/>
        <w:jc w:val="center"/>
        <w:rPr/>
      </w:pPr>
      <w:r>
        <w:rPr/>
      </w:r>
    </w:p>
    <w:sectPr>
      <w:headerReference w:type="default" r:id="rId39"/>
      <w:headerReference w:type="first" r:id="rId40"/>
      <w:footerReference w:type="default" r:id="rId41"/>
      <w:footerReference w:type="first" r:id="rId42"/>
      <w:footnotePr>
        <w:numFmt w:val="decimal"/>
      </w:footnotePr>
      <w:type w:val="nextPage"/>
      <w:pgSz w:w="11906" w:h="16838"/>
      <w:pgMar w:left="1134" w:right="850" w:gutter="0" w:header="567" w:top="851" w:footer="567"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Calibri Light">
    <w:charset w:val="01"/>
    <w:family w:val="roman"/>
    <w:pitch w:val="variable"/>
  </w:font>
  <w:font w:name="Segoe UI">
    <w:charset w:val="01"/>
    <w:family w:val="roman"/>
    <w:pitch w:val="variable"/>
  </w:font>
  <w:font w:name="Liberation Sans">
    <w:altName w:val="Arial"/>
    <w:charset w:val="01"/>
    <w:family w:val="roman"/>
    <w:pitch w:val="variable"/>
  </w:font>
  <w:font w:name="Calibri">
    <w:charset w:val="01"/>
    <w:family w:val="roman"/>
    <w:pitch w:val="variable"/>
  </w:font>
  <w:font w:name="Wingdings 3">
    <w:charset w:val="02"/>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715229772"/>
    </w:sdtPr>
    <w:sdtContent>
      <w:p>
        <w:pPr>
          <w:pStyle w:val="Footer"/>
          <w:spacing w:before="120" w:after="0"/>
          <w:rPr/>
        </w:pPr>
        <w:r>
          <w:rPr/>
          <w:fldChar w:fldCharType="begin"/>
        </w:r>
        <w:r>
          <w:rPr/>
          <w:instrText xml:space="preserve"> PAGE </w:instrText>
        </w:r>
        <w:r>
          <w:rPr/>
          <w:fldChar w:fldCharType="separate"/>
        </w:r>
        <w:r>
          <w:rPr/>
          <w:t>22</w:t>
        </w:r>
        <w:r>
          <w:rPr/>
          <w:fldChar w:fldCharType="end"/>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325697344"/>
    </w:sdtPr>
    <w:sdtContent>
      <w:p>
        <w:pPr>
          <w:pStyle w:val="Footer"/>
          <w:spacing w:before="120" w:after="0"/>
          <w:rPr/>
        </w:pPr>
        <w:r>
          <w:rPr/>
          <w:fldChar w:fldCharType="begin"/>
        </w:r>
        <w:r>
          <w:rPr/>
          <w:instrText xml:space="preserve"> PAGE </w:instrText>
        </w:r>
        <w:r>
          <w:rPr/>
          <w:fldChar w:fldCharType="separate"/>
        </w:r>
        <w:r>
          <w:rPr/>
          <w:t>24</w:t>
        </w:r>
        <w:r>
          <w:rPr/>
          <w:fldChar w:fldCharType="end"/>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708795848"/>
    </w:sdtPr>
    <w:sdtContent>
      <w:p>
        <w:pPr>
          <w:pStyle w:val="Footer"/>
          <w:spacing w:before="120" w:after="0"/>
          <w:rPr/>
        </w:pPr>
        <w:r>
          <w:rPr/>
          <w:fldChar w:fldCharType="begin"/>
        </w:r>
        <w:r>
          <w:rPr/>
          <w:instrText xml:space="preserve"> PAGE </w:instrText>
        </w:r>
        <w:r>
          <w:rPr/>
          <w:fldChar w:fldCharType="separate"/>
        </w:r>
        <w:r>
          <w:rPr/>
          <w:t>52</w:t>
        </w:r>
        <w:r>
          <w:rPr/>
          <w:fldChar w:fldCharType="end"/>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00166143"/>
    </w:sdtPr>
    <w:sdtContent>
      <w:p>
        <w:pPr>
          <w:pStyle w:val="Footer"/>
          <w:spacing w:before="120" w:after="0"/>
          <w:rPr/>
        </w:pPr>
        <w:r>
          <w:rPr/>
          <w:fldChar w:fldCharType="begin"/>
        </w:r>
        <w:r>
          <w:rPr/>
          <w:instrText xml:space="preserve"> PAGE </w:instrText>
        </w:r>
        <w:r>
          <w:rPr/>
          <w:fldChar w:fldCharType="separate"/>
        </w:r>
        <w:r>
          <w:rPr/>
          <w:t>58</w:t>
        </w:r>
        <w:r>
          <w:rPr/>
          <w:fldChar w:fldCharType="end"/>
        </w:r>
      </w:p>
    </w:sdtContent>
  </w:sdt>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601819642"/>
    </w:sdtPr>
    <w:sdtContent>
      <w:p>
        <w:pPr>
          <w:pStyle w:val="Footer"/>
          <w:spacing w:before="120" w:after="0"/>
          <w:rPr/>
        </w:pPr>
        <w:r>
          <w:rPr/>
          <w:fldChar w:fldCharType="begin"/>
        </w:r>
        <w:r>
          <w:rPr/>
          <w:instrText xml:space="preserve"> PAGE </w:instrText>
        </w:r>
        <w:r>
          <w:rPr/>
          <w:fldChar w:fldCharType="separate"/>
        </w:r>
        <w:r>
          <w:rPr/>
          <w:t>64</w:t>
        </w:r>
        <w:r>
          <w:rPr/>
          <w:fldChar w:fldCharType="end"/>
        </w:r>
      </w:p>
    </w:sdtContent>
  </w:sdt>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43246306"/>
    </w:sdtPr>
    <w:sdtContent>
      <w:p>
        <w:pPr>
          <w:pStyle w:val="Footer"/>
          <w:spacing w:before="120" w:after="0"/>
          <w:rPr/>
        </w:pPr>
        <w:r>
          <w:rPr/>
          <w:fldChar w:fldCharType="begin"/>
        </w:r>
        <w:r>
          <w:rPr/>
          <w:instrText xml:space="preserve"> PAGE </w:instrText>
        </w:r>
        <w:r>
          <w:rPr/>
          <w:fldChar w:fldCharType="separate"/>
        </w:r>
        <w:r>
          <w:rPr/>
          <w:t>71</w:t>
        </w:r>
        <w:r>
          <w:rPr/>
          <w:fldChar w:fldCharType="end"/>
        </w:r>
      </w:p>
    </w:sdtContent>
  </w:sdt>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03646224"/>
    </w:sdtPr>
    <w:sdtContent>
      <w:p>
        <w:pPr>
          <w:pStyle w:val="Footer"/>
          <w:spacing w:before="120" w:after="0"/>
          <w:rPr/>
        </w:pPr>
        <w:r>
          <w:rPr/>
          <w:fldChar w:fldCharType="begin"/>
        </w:r>
        <w:r>
          <w:rPr/>
          <w:instrText xml:space="preserve"> PAGE </w:instrText>
        </w:r>
        <w:r>
          <w:rPr/>
          <w:fldChar w:fldCharType="separate"/>
        </w:r>
        <w:r>
          <w:rPr/>
          <w:t>76</w:t>
        </w:r>
        <w:r>
          <w:rPr/>
          <w:fldChar w:fldCharType="end"/>
        </w:r>
      </w:p>
    </w:sdtContent>
  </w:sdt>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86223034"/>
    </w:sdtPr>
    <w:sdtContent>
      <w:p>
        <w:pPr>
          <w:pStyle w:val="Footer"/>
          <w:spacing w:before="120" w:after="0"/>
          <w:rPr/>
        </w:pPr>
        <w:r>
          <w:rPr/>
          <w:fldChar w:fldCharType="begin"/>
        </w:r>
        <w:r>
          <w:rPr/>
          <w:instrText xml:space="preserve"> PAGE </w:instrText>
        </w:r>
        <w:r>
          <w:rPr/>
          <w:fldChar w:fldCharType="separate"/>
        </w:r>
        <w:r>
          <w:rPr/>
          <w:t>78</w:t>
        </w:r>
        <w:r>
          <w:rPr/>
          <w:fldChar w:fldCharType="end"/>
        </w:r>
      </w:p>
    </w:sdtContent>
  </w:sdt>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Style30"/>
        <w:spacing w:before="80" w:after="0"/>
        <w:ind w:left="567" w:hanging="567"/>
        <w:jc w:val="both"/>
        <w:rPr/>
      </w:pPr>
      <w:r>
        <w:rPr>
          <w:rStyle w:val="Style12"/>
        </w:rPr>
        <w:footnoteRef/>
      </w:r>
      <w:r>
        <w:rPr/>
        <w:tab/>
        <w:t>Информационной Системой ЭДО ПАО «РусГидро» является «Диадок», с оператором которой ЗАО «ПФ «СКБ» Контур» заключено Соглашение о переходе на юридически значимый документооборот.</w:t>
      </w:r>
    </w:p>
  </w:footnote>
  <w:footnote w:id="3">
    <w:p>
      <w:pPr>
        <w:pStyle w:val="Style30"/>
        <w:spacing w:before="80" w:after="0"/>
        <w:ind w:left="567" w:hanging="567"/>
        <w:jc w:val="both"/>
        <w:rPr/>
      </w:pPr>
      <w:r>
        <w:rPr>
          <w:rStyle w:val="Style12"/>
        </w:rPr>
        <w:footnoteRef/>
      </w:r>
      <w:r>
        <w:rPr/>
        <w:tab/>
        <w:t>Определенные в соответствии с Законом 422-ФЗ.</w:t>
      </w:r>
    </w:p>
  </w:footnote>
  <w:footnote w:id="4">
    <w:p>
      <w:pPr>
        <w:pStyle w:val="Style30"/>
        <w:spacing w:before="80" w:after="0"/>
        <w:ind w:left="567" w:hanging="567"/>
        <w:jc w:val="both"/>
        <w:rPr/>
      </w:pPr>
      <w:r>
        <w:rPr>
          <w:rStyle w:val="Style12"/>
        </w:rPr>
        <w:footnoteRef/>
      </w:r>
      <w:r>
        <w:rPr/>
        <w:tab/>
        <w:t>По решению Организатора (в соответствии с Приложением о закупке) в протоколе закупке могут не отражаться сведения, позволяющие идентифицировать Участников.</w:t>
      </w:r>
    </w:p>
  </w:footnote>
  <w:footnote w:id="5">
    <w:p>
      <w:pPr>
        <w:pStyle w:val="Style30"/>
        <w:spacing w:before="80" w:after="0"/>
        <w:ind w:left="567" w:hanging="567"/>
        <w:jc w:val="both"/>
        <w:rPr/>
      </w:pPr>
      <w:r>
        <w:rPr>
          <w:rStyle w:val="Style12"/>
        </w:rPr>
        <w:footnoteRef/>
      </w:r>
      <w:r>
        <w:rPr/>
        <w:tab/>
        <w:t>При этом отклонение заявки за отсутствие в ней документов, требующихся исключительно для целей оценки и сопоставления заявок (подраздел </w:t>
      </w:r>
      <w:r>
        <w:rPr/>
        <w:fldChar w:fldCharType="begin"/>
      </w:r>
      <w:r>
        <w:rPr/>
        <w:instrText xml:space="preserve"> REF _Ref125362626 \w \h </w:instrText>
      </w:r>
      <w:r>
        <w:rPr/>
        <w:fldChar w:fldCharType="separate"/>
      </w:r>
      <w:r>
        <w:rPr/>
        <w:t>4.12</w:t>
      </w:r>
      <w:r>
        <w:rPr/>
        <w:fldChar w:fldCharType="end"/>
      </w:r>
      <w:r>
        <w:rPr/>
        <w:t>), не допускается.</w:t>
      </w:r>
    </w:p>
  </w:footnote>
  <w:footnote w:id="6">
    <w:p>
      <w:pPr>
        <w:pStyle w:val="Style30"/>
        <w:spacing w:before="80" w:after="0"/>
        <w:ind w:left="567" w:hanging="567"/>
        <w:jc w:val="both"/>
        <w:rPr/>
      </w:pPr>
      <w:r>
        <w:rPr>
          <w:rStyle w:val="Style12"/>
        </w:rPr>
        <w:footnoteRef/>
      </w:r>
      <w:r>
        <w:rPr/>
        <w:tab/>
        <w:t>С учетом пункта 4.13.5.</w:t>
      </w:r>
    </w:p>
  </w:footnote>
  <w:footnote w:id="7">
    <w:p>
      <w:pPr>
        <w:pStyle w:val="Style30"/>
        <w:spacing w:before="80" w:after="0"/>
        <w:ind w:left="567" w:hanging="567"/>
        <w:jc w:val="both"/>
        <w:rPr/>
      </w:pPr>
      <w:r>
        <w:rPr>
          <w:rStyle w:val="Style12"/>
        </w:rPr>
        <w:footnoteRef/>
      </w:r>
      <w:r>
        <w:rPr/>
        <w:tab/>
        <w:t>По решению Организатора (в соответствии с Приложением о закупке) в протоколе закупке могут не отражаться сведения, позволяющие идентифицировать Участников.</w:t>
      </w:r>
    </w:p>
  </w:footnote>
  <w:footnote w:id="8">
    <w:p>
      <w:pPr>
        <w:pStyle w:val="Style30"/>
        <w:spacing w:before="80" w:after="0"/>
        <w:ind w:left="567" w:hanging="567"/>
        <w:jc w:val="both"/>
        <w:rPr/>
      </w:pPr>
      <w:r>
        <w:rPr>
          <w:rStyle w:val="Style12"/>
        </w:rPr>
        <w:footnoteRef/>
      </w:r>
      <w:r>
        <w:rPr/>
        <w:tab/>
        <w:t>В отношении предоставляемой Участником (в целях обеспечения проведения оценки его финансового состояния (устойчивости) в соответствии с Положением об аккредитации) бухгалтерской (финансовой) отчетности самостоятельные исправления арифметических ошибок не допускается (все изменения в отчетность должны вноситься в установленном законодательством порядке).</w:t>
      </w:r>
    </w:p>
  </w:footnote>
  <w:footnote w:id="9">
    <w:p>
      <w:pPr>
        <w:pStyle w:val="Style30"/>
        <w:spacing w:before="80" w:after="0"/>
        <w:ind w:left="567" w:hanging="567"/>
        <w:jc w:val="both"/>
        <w:rPr/>
      </w:pPr>
      <w:r>
        <w:rPr>
          <w:rStyle w:val="Style12"/>
        </w:rPr>
        <w:footnoteRef/>
      </w:r>
      <w:r>
        <w:rPr/>
        <w:tab/>
        <w:t>Увеличение на 15% (пятнадцать процентов) итоговой стоимости заявки (цены Договора) в случае подачи им предложения о размере платы, подлежащей внесению за заключение Договора.</w:t>
      </w:r>
    </w:p>
  </w:footnote>
  <w:footnote w:id="10">
    <w:p>
      <w:pPr>
        <w:pStyle w:val="Style30"/>
        <w:spacing w:before="80" w:after="0"/>
        <w:ind w:left="567" w:hanging="567"/>
        <w:jc w:val="both"/>
        <w:rPr/>
      </w:pPr>
      <w:r>
        <w:rPr>
          <w:rStyle w:val="Style12"/>
        </w:rPr>
        <w:footnoteRef/>
      </w:r>
      <w:r>
        <w:rPr/>
        <w:tab/>
        <w:t>По решению Организатора (в соответствии с Приложением о закупке) в протоколе закупке могут не отражаться сведения, позволяющие идентифицировать Участников.</w:t>
      </w:r>
    </w:p>
  </w:footnote>
  <w:footnote w:id="11">
    <w:p>
      <w:pPr>
        <w:pStyle w:val="Style30"/>
        <w:spacing w:before="80" w:after="0"/>
        <w:ind w:left="567" w:hanging="567"/>
        <w:jc w:val="both"/>
        <w:rPr/>
      </w:pPr>
      <w:r>
        <w:rPr>
          <w:rStyle w:val="Style12"/>
        </w:rPr>
        <w:footnoteRef/>
      </w:r>
      <w:r>
        <w:rPr/>
        <w:tab/>
        <w:t>https://minfin.gov.ru/ru/perfomance/tax_relations/policy/bankwarranty/</w:t>
      </w:r>
    </w:p>
  </w:footnote>
  <w:footnote w:id="12">
    <w:p>
      <w:pPr>
        <w:pStyle w:val="Style30"/>
        <w:spacing w:before="80" w:after="0"/>
        <w:ind w:left="567" w:hanging="567"/>
        <w:jc w:val="both"/>
        <w:rPr/>
      </w:pPr>
      <w:r>
        <w:rPr>
          <w:rStyle w:val="Style12"/>
        </w:rPr>
        <w:footnoteRef/>
      </w:r>
      <w:r>
        <w:rPr/>
        <w:tab/>
        <w:t>Коллективный участник предоставляет указанные документы на каждого члена.</w:t>
      </w:r>
    </w:p>
  </w:footnote>
  <w:footnote w:id="13">
    <w:p>
      <w:pPr>
        <w:pStyle w:val="Style30"/>
        <w:spacing w:before="80" w:after="0"/>
        <w:ind w:left="567" w:hanging="567"/>
        <w:jc w:val="both"/>
        <w:rPr/>
      </w:pPr>
      <w:r>
        <w:rPr>
          <w:rStyle w:val="Style12"/>
        </w:rPr>
        <w:footnoteRef/>
      </w:r>
      <w:r>
        <w:rPr/>
        <w:tab/>
        <w:t>По решению Организатора (в соответствии с Приложением о закупке) в протоколе закупке могут не отражаться сведения, позволяющие идентифицировать Участников.</w:t>
      </w:r>
    </w:p>
  </w:footnote>
  <w:footnote w:id="14">
    <w:p>
      <w:pPr>
        <w:pStyle w:val="Style30"/>
        <w:spacing w:before="80" w:after="0"/>
        <w:ind w:left="567" w:hanging="567"/>
        <w:jc w:val="both"/>
        <w:rPr/>
      </w:pPr>
      <w:r>
        <w:rPr>
          <w:rStyle w:val="Style12"/>
        </w:rPr>
        <w:footnoteRef/>
      </w:r>
      <w:bookmarkStart w:id="411" w:name="_Hlk139028796_Копия_1_Копия_1_Копия_1_Ко"/>
      <w:r>
        <w:rPr/>
        <w:tab/>
        <w:t>Во исполнение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bookmarkEnd w:id="411"/>
    </w:p>
  </w:footnote>
  <w:footnote w:id="15">
    <w:p>
      <w:pPr>
        <w:pStyle w:val="Style30"/>
        <w:spacing w:before="80" w:after="0"/>
        <w:ind w:left="567" w:hanging="567"/>
        <w:jc w:val="both"/>
        <w:rPr/>
      </w:pPr>
      <w:r>
        <w:rPr>
          <w:rStyle w:val="Style12"/>
        </w:rPr>
        <w:footnoteRef/>
      </w:r>
      <w:bookmarkStart w:id="412" w:name="_Hlk139028803_Копия_1_Копия_1_Копия_1_Ко"/>
      <w:bookmarkStart w:id="413" w:name="_Hlk139028804_Копия_1_Копия_1_Копия_1_Ко"/>
      <w:r>
        <w:rPr/>
        <w:tab/>
        <w:t>Перед заключением договора Заказчик дополнительно проводит проверку Победителя (данная норма применима также в отношении Единственного участника несостоявшейся закупки, с которым принято решение о заключении договора) на основании документов, предоставляемых в соответствии с подразделом </w:t>
      </w:r>
      <w:r>
        <w:rPr/>
        <w:fldChar w:fldCharType="begin"/>
      </w:r>
      <w:r>
        <w:rPr/>
        <w:instrText xml:space="preserve"> REF _Ref138232981 \r \h </w:instrText>
      </w:r>
      <w:r>
        <w:rPr/>
        <w:fldChar w:fldCharType="separate"/>
      </w:r>
      <w:r>
        <w:rPr/>
        <w:t>5.2</w:t>
      </w:r>
      <w:r>
        <w:rPr/>
        <w:fldChar w:fldCharType="end"/>
      </w:r>
      <w:r>
        <w:rPr/>
        <w:t>. Если по результатам такой проверки Участник не отвечает установленным требованиям, то он утрачивает статус Победителя, а Закупочная комиссия имеет право выбрать в качестве Победителя иного Участника, занявшего следующее место в ранжировке заявок после Победителя, из числа остальных действующих заявок.</w:t>
      </w:r>
      <w:bookmarkEnd w:id="412"/>
      <w:bookmarkEnd w:id="413"/>
    </w:p>
  </w:footnote>
  <w:footnote w:id="16">
    <w:p>
      <w:pPr>
        <w:pStyle w:val="FootnoteText"/>
        <w:widowControl w:val="false"/>
        <w:rPr/>
      </w:pPr>
      <w:r>
        <w:rPr>
          <w:rStyle w:val="Style12"/>
        </w:rPr>
        <w:footnoteRef/>
      </w:r>
      <w:r>
        <w:rPr/>
        <w:t xml:space="preserve"> </w:t>
      </w:r>
      <w:r>
        <w:rPr/>
        <w:t>В Положении об аккредитации используется термин «Заявитель».</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20"/>
      <w:jc w:val="cent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20"/>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20"/>
      <w:jc w:val="cent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20"/>
      <w:jc w:val="center"/>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20"/>
      <w:jc w:val="center"/>
      <w:rPr/>
    </w:pPr>
    <w:r>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20"/>
      <w:jc w:val="center"/>
      <w:rPr/>
    </w:pPr>
    <w:r>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20"/>
      <w:jc w:val="center"/>
      <w:rPr/>
    </w:pPr>
    <w:r>
      <w:rPr/>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20"/>
      <w:jc w:val="center"/>
      <w:rPr/>
    </w:pPr>
    <w:r>
      <w:rPr/>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Style22"/>
      <w:numFmt w:val="decimal"/>
      <w:lvlText w:val="%1."/>
      <w:lvlJc w:val="left"/>
      <w:pPr>
        <w:tabs>
          <w:tab w:val="num" w:pos="1134"/>
        </w:tabs>
        <w:ind w:left="1134" w:hanging="1134"/>
      </w:pPr>
      <w:rPr/>
    </w:lvl>
    <w:lvl w:ilvl="1">
      <w:start w:val="1"/>
      <w:pStyle w:val="Style23"/>
      <w:numFmt w:val="decimal"/>
      <w:lvlText w:val="%1.%2"/>
      <w:lvlJc w:val="left"/>
      <w:pPr>
        <w:tabs>
          <w:tab w:val="num" w:pos="1134"/>
        </w:tabs>
        <w:ind w:left="1134" w:hanging="1134"/>
      </w:pPr>
      <w:rPr/>
    </w:lvl>
    <w:lvl w:ilvl="2">
      <w:start w:val="1"/>
      <w:pStyle w:val="Style24"/>
      <w:numFmt w:val="decimal"/>
      <w:lvlText w:val="%1.%2.%3"/>
      <w:lvlJc w:val="left"/>
      <w:pPr>
        <w:tabs>
          <w:tab w:val="num" w:pos="1134"/>
        </w:tabs>
        <w:ind w:left="1134" w:hanging="1134"/>
      </w:pPr>
      <w:rPr/>
    </w:lvl>
    <w:lvl w:ilvl="3">
      <w:start w:val="1"/>
      <w:pStyle w:val="Style25"/>
      <w:numFmt w:val="russianLower"/>
      <w:lvlText w:val="%4)"/>
      <w:lvlJc w:val="left"/>
      <w:pPr>
        <w:tabs>
          <w:tab w:val="num" w:pos="1701"/>
        </w:tabs>
        <w:ind w:left="1701" w:hanging="567"/>
      </w:pPr>
      <w:rPr/>
    </w:lvl>
    <w:lvl w:ilvl="4">
      <w:start w:val="1"/>
      <w:pStyle w:val="Style26"/>
      <w:numFmt w:val="bullet"/>
      <w:lvlText w:val=""/>
      <w:lvlJc w:val="left"/>
      <w:pPr>
        <w:tabs>
          <w:tab w:val="num" w:pos="2268"/>
        </w:tabs>
        <w:ind w:left="2268" w:hanging="567"/>
      </w:pPr>
      <w:rPr>
        <w:rFonts w:ascii="Symbol" w:hAnsi="Symbol" w:cs="Symbol" w:hint="default"/>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russianLower"/>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decimal"/>
      <w:lvlText w:val="%1."/>
      <w:lvlJc w:val="left"/>
      <w:pPr>
        <w:tabs>
          <w:tab w:val="num" w:pos="0"/>
        </w:tabs>
        <w:ind w:left="1134" w:hanging="1134"/>
      </w:pPr>
      <w:rPr/>
    </w:lvl>
    <w:lvl w:ilvl="1">
      <w:start w:val="1"/>
      <w:numFmt w:val="decimal"/>
      <w:lvlText w:val="%1.%2."/>
      <w:lvlJc w:val="left"/>
      <w:pPr>
        <w:tabs>
          <w:tab w:val="num" w:pos="0"/>
        </w:tabs>
        <w:ind w:left="1134" w:hanging="1134"/>
      </w:pPr>
      <w:rPr/>
    </w:lvl>
    <w:lvl w:ilvl="2">
      <w:start w:val="1"/>
      <w:numFmt w:val="decimal"/>
      <w:lvlText w:val="%1.%2.%3."/>
      <w:lvlJc w:val="left"/>
      <w:pPr>
        <w:tabs>
          <w:tab w:val="num" w:pos="0"/>
        </w:tabs>
        <w:ind w:left="1134" w:hanging="1134"/>
      </w:pPr>
      <w:rPr/>
    </w:lvl>
    <w:lvl w:ilvl="3">
      <w:start w:val="1"/>
      <w:numFmt w:val="russianLower"/>
      <w:lvlText w:val="(%4)"/>
      <w:lvlJc w:val="left"/>
      <w:pPr>
        <w:tabs>
          <w:tab w:val="num" w:pos="0"/>
        </w:tabs>
        <w:ind w:left="1701" w:hanging="567"/>
      </w:pPr>
      <w:rPr/>
    </w:lvl>
    <w:lvl w:ilvl="4">
      <w:start w:val="1"/>
      <w:numFmt w:val="bullet"/>
      <w:lvlText w:val="–"/>
      <w:lvlJc w:val="left"/>
      <w:pPr>
        <w:tabs>
          <w:tab w:val="num" w:pos="0"/>
        </w:tabs>
        <w:ind w:left="2268" w:hanging="567"/>
      </w:pPr>
      <w:rPr>
        <w:rFonts w:ascii="Times New Roman" w:hAnsi="Times New Roman" w:cs="Times New Roman" w:hint="default"/>
      </w:rPr>
    </w:lvl>
    <w:lvl w:ilvl="5">
      <w:start w:val="1"/>
      <w:numFmt w:val="none"/>
      <w:suff w:val="nothing"/>
      <w:lvlText w:val=""/>
      <w:lvlJc w:val="left"/>
      <w:pPr>
        <w:tabs>
          <w:tab w:val="num" w:pos="0"/>
        </w:tabs>
        <w:ind w:left="1134" w:hanging="0"/>
      </w:pPr>
      <w:rPr/>
    </w:lvl>
    <w:lvl w:ilvl="6">
      <w:start w:val="1"/>
      <w:numFmt w:val="none"/>
      <w:suff w:val="nothing"/>
      <w:lvlText w:val=""/>
      <w:lvlJc w:val="left"/>
      <w:pPr>
        <w:tabs>
          <w:tab w:val="num" w:pos="0"/>
        </w:tabs>
        <w:ind w:left="1701"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1134" w:hanging="0"/>
      </w:pPr>
      <w:rPr/>
    </w:lvl>
  </w:abstractNum>
  <w:abstractNum w:abstractNumId="15">
    <w:lvl w:ilvl="0">
      <w:start w:val="1"/>
      <w:numFmt w:val="upperRoman"/>
      <w:lvlText w:val="Раздел %1"/>
      <w:lvlJc w:val="left"/>
      <w:pPr>
        <w:tabs>
          <w:tab w:val="num" w:pos="0"/>
        </w:tabs>
        <w:ind w:left="1701" w:hanging="1701"/>
      </w:pPr>
      <w:rPr>
        <w:rFonts w:cs="Times New Roman"/>
      </w:rPr>
    </w:lvl>
    <w:lvl w:ilvl="1">
      <w:start w:val="1"/>
      <w:numFmt w:val="decimal"/>
      <w:lvlText w:val="Глава %2"/>
      <w:lvlJc w:val="left"/>
      <w:pPr>
        <w:tabs>
          <w:tab w:val="num" w:pos="0"/>
        </w:tabs>
        <w:ind w:left="1701" w:hanging="1701"/>
      </w:pPr>
      <w:rPr>
        <w:rFonts w:cs="Times New Roman"/>
      </w:rPr>
    </w:lvl>
    <w:lvl w:ilvl="2">
      <w:start w:val="1"/>
      <w:numFmt w:val="decimal"/>
      <w:lvlText w:val="%2.%3"/>
      <w:lvlJc w:val="left"/>
      <w:pPr>
        <w:tabs>
          <w:tab w:val="num" w:pos="0"/>
        </w:tabs>
        <w:ind w:left="1701" w:hanging="1701"/>
      </w:pPr>
      <w:rPr>
        <w:rFonts w:cs="Times New Roman"/>
      </w:rPr>
    </w:lvl>
    <w:lvl w:ilvl="3">
      <w:start w:val="1"/>
      <w:numFmt w:val="decimal"/>
      <w:lvlText w:val="%2.%3.%4"/>
      <w:lvlJc w:val="left"/>
      <w:pPr>
        <w:tabs>
          <w:tab w:val="num" w:pos="0"/>
        </w:tabs>
        <w:ind w:left="1701" w:hanging="1701"/>
      </w:pPr>
      <w:rPr>
        <w:rFonts w:cs="Times New Roman"/>
      </w:rPr>
    </w:lvl>
    <w:lvl w:ilvl="4">
      <w:start w:val="1"/>
      <w:numFmt w:val="russianLower"/>
      <w:lvlText w:val="%5)"/>
      <w:lvlJc w:val="left"/>
      <w:pPr>
        <w:tabs>
          <w:tab w:val="num" w:pos="0"/>
        </w:tabs>
        <w:ind w:left="2268" w:hanging="567"/>
      </w:pPr>
      <w:rPr>
        <w:rFonts w:cs="Times New Roman"/>
      </w:rPr>
    </w:lvl>
    <w:lvl w:ilvl="5">
      <w:start w:val="1"/>
      <w:numFmt w:val="bullet"/>
      <w:lvlText w:val=""/>
      <w:lvlJc w:val="left"/>
      <w:pPr>
        <w:tabs>
          <w:tab w:val="num" w:pos="0"/>
        </w:tabs>
        <w:ind w:left="2268" w:hanging="567"/>
      </w:pPr>
      <w:rPr>
        <w:rFonts w:ascii="Symbol" w:hAnsi="Symbol" w:cs="Symbol" w:hint="default"/>
      </w:rPr>
    </w:lvl>
    <w:lvl w:ilvl="6">
      <w:start w:val="1"/>
      <w:numFmt w:val="none"/>
      <w:suff w:val="nothing"/>
      <w:lvlText w:val="%7"/>
      <w:lvlJc w:val="left"/>
      <w:pPr>
        <w:tabs>
          <w:tab w:val="num" w:pos="0"/>
        </w:tabs>
        <w:ind w:left="0" w:firstLine="1134"/>
      </w:pPr>
      <w:rPr>
        <w:rFonts w:cs="Times New Roman"/>
      </w:rPr>
    </w:lvl>
    <w:lvl w:ilvl="7">
      <w:start w:val="1"/>
      <w:numFmt w:val="none"/>
      <w:suff w:val="nothing"/>
      <w:lvlText w:val="%8"/>
      <w:lvlJc w:val="left"/>
      <w:pPr>
        <w:tabs>
          <w:tab w:val="num" w:pos="0"/>
        </w:tabs>
        <w:ind w:left="0" w:firstLine="1701"/>
      </w:pPr>
      <w:rPr>
        <w:rFonts w:cs="Times New Roman"/>
      </w:rPr>
    </w:lvl>
    <w:lvl w:ilvl="8">
      <w:start w:val="1"/>
      <w:numFmt w:val="none"/>
      <w:suff w:val="nothing"/>
      <w:lvlText w:val="%9"/>
      <w:lvlJc w:val="left"/>
      <w:pPr>
        <w:tabs>
          <w:tab w:val="num" w:pos="0"/>
        </w:tabs>
        <w:ind w:left="0" w:firstLine="1701"/>
      </w:pPr>
      <w:rPr>
        <w:rFonts w:cs="Times New Roman"/>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10"/>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 w:val="26"/>
        <w:szCs w:val="22"/>
        <w:lang w:val="ru-RU" w:eastAsia="en-US" w:bidi="ar-SA"/>
      </w:rPr>
    </w:rPrDefault>
    <w:pPrDefault>
      <w:pPr>
        <w:suppressAutoHyphens w:val="true"/>
      </w:pPr>
    </w:pPrDefault>
  </w:docDefaults>
  <w:latentStyles w:defLockedState="1" w:defUIPriority="99" w:defSemiHidden="0" w:defUnhideWhenUsed="0" w:defQFormat="0" w:count="371">
    <w:lsdException w:name="Normal" w:locked="0" w:uiPriority="0" w:qFormat="1"/>
    <w:lsdException w:name="heading 1" w:locked="0" w:uiPriority="9" w:qFormat="1"/>
    <w:lsdException w:name="heading 2" w:locked="0" w:uiPriority="9" w:semiHidden="1" w:unhideWhenUsed="1" w:qFormat="1"/>
    <w:lsdException w:name="heading 3" w:locked="0" w:uiPriority="9" w:semiHidden="1" w:unhideWhenUsed="1" w:qFormat="1"/>
    <w:lsdException w:name="heading 4" w:locked="0" w:uiPriority="9" w:semiHidden="1" w:unhideWhenUsed="1" w:qFormat="1"/>
    <w:lsdException w:name="heading 5" w:locked="0" w:uiPriority="9" w:semiHidden="1" w:unhideWhenUsed="1" w:qFormat="1"/>
    <w:lsdException w:name="heading 6" w:locked="0" w:uiPriority="9" w:semiHidden="1" w:unhideWhenUsed="1" w:qFormat="1"/>
    <w:lsdException w:name="heading 7" w:locked="0" w:uiPriority="9" w:semiHidden="1" w:unhideWhenUsed="1" w:qFormat="1"/>
    <w:lsdException w:name="heading 8" w:locked="0" w:uiPriority="9" w:semiHidden="1" w:unhideWhenUsed="1" w:qFormat="1"/>
    <w:lsdException w:name="heading 9" w:locked="0" w:uiPriority="9" w:semiHidden="1" w:unhideWhenUsed="1" w:qFormat="1"/>
    <w:lsdException w:name="index 1" w:locked="0" w:semiHidden="1" w:unhideWhenUsed="1"/>
    <w:lsdException w:name="index 2" w:locked="0" w:semiHidden="1" w:unhideWhenUsed="1"/>
    <w:lsdException w:name="index 3" w:locked="0" w:semiHidden="1" w:unhideWhenUsed="1"/>
    <w:lsdException w:name="index 4" w:locked="0" w:semiHidden="1" w:unhideWhenUsed="1"/>
    <w:lsdException w:name="index 5" w:locked="0" w:semiHidden="1" w:unhideWhenUsed="1"/>
    <w:lsdException w:name="index 6" w:locked="0" w:semiHidden="1" w:unhideWhenUsed="1"/>
    <w:lsdException w:name="index 7" w:locked="0" w:semiHidden="1" w:unhideWhenUsed="1"/>
    <w:lsdException w:name="index 8" w:locked="0" w:semiHidden="1" w:unhideWhenUsed="1"/>
    <w:lsdException w:name="index 9" w:locked="0" w:semiHidden="1" w:unhideWhenUsed="1"/>
    <w:lsdException w:name="toc 1" w:locked="0" w:uiPriority="39" w:semiHidden="1" w:unhideWhenUsed="1"/>
    <w:lsdException w:name="toc 2" w:locked="0" w:uiPriority="39" w:semiHidden="1" w:unhideWhenUsed="1"/>
    <w:lsdException w:name="toc 3" w:locked="0" w:uiPriority="39" w:semiHidden="1" w:unhideWhenUsed="1"/>
    <w:lsdException w:name="toc 4" w:locked="0" w:uiPriority="39" w:semiHidden="1" w:unhideWhenUsed="1"/>
    <w:lsdException w:name="toc 5" w:locked="0" w:uiPriority="39" w:semiHidden="1" w:unhideWhenUsed="1"/>
    <w:lsdException w:name="toc 6" w:locked="0" w:uiPriority="39" w:semiHidden="1" w:unhideWhenUsed="1"/>
    <w:lsdException w:name="toc 7" w:locked="0" w:uiPriority="39" w:semiHidden="1" w:unhideWhenUsed="1"/>
    <w:lsdException w:name="toc 8" w:locked="0" w:uiPriority="39" w:semiHidden="1" w:unhideWhenUsed="1"/>
    <w:lsdException w:name="toc 9" w:locked="0" w:uiPriority="39" w:semiHidden="1" w:unhideWhenUsed="1"/>
    <w:lsdException w:name="Normal Indent" w:locked="0" w:semiHidden="1" w:unhideWhenUsed="1"/>
    <w:lsdException w:name="footnote text" w:locked="0" w:semiHidden="1" w:unhideWhenUsed="1"/>
    <w:lsdException w:name="annotation text" w:locked="0" w:semiHidden="1" w:unhideWhenUsed="1"/>
    <w:lsdException w:name="header" w:locked="0" w:semiHidden="1" w:unhideWhenUsed="1"/>
    <w:lsdException w:name="footer" w:locked="0" w:semiHidden="1" w:unhideWhenUsed="1"/>
    <w:lsdException w:name="index heading" w:locked="0" w:semiHidden="1" w:unhideWhenUsed="1"/>
    <w:lsdException w:name="caption" w:locked="0" w:uiPriority="35" w:semiHidden="1" w:unhideWhenUsed="1" w:qFormat="1"/>
    <w:lsdException w:name="table of figures" w:locked="0" w:semiHidden="1" w:unhideWhenUsed="1"/>
    <w:lsdException w:name="envelope address" w:locked="0" w:semiHidden="1" w:unhideWhenUsed="1"/>
    <w:lsdException w:name="envelope return" w:locked="0" w:semiHidden="1" w:unhideWhenUsed="1"/>
    <w:lsdException w:name="footnote reference" w:locked="0" w:semiHidden="1" w:unhideWhenUsed="1"/>
    <w:lsdException w:name="annotation reference" w:locked="0" w:uiPriority="0" w:semiHidden="1" w:unhideWhenUsed="1"/>
    <w:lsdException w:name="line number" w:locked="0" w:semiHidden="1" w:unhideWhenUsed="1"/>
    <w:lsdException w:name="page number" w:locked="0" w:semiHidden="1" w:unhideWhenUsed="1"/>
    <w:lsdException w:name="endnote reference" w:locked="0" w:semiHidden="1" w:unhideWhenUsed="1"/>
    <w:lsdException w:name="endnote text" w:locked="0" w:semiHidden="1" w:unhideWhenUsed="1"/>
    <w:lsdException w:name="table of authorities" w:locked="0" w:semiHidden="1" w:unhideWhenUsed="1"/>
    <w:lsdException w:name="macro" w:locked="0" w:semiHidden="1" w:unhideWhenUsed="1"/>
    <w:lsdException w:name="toa heading" w:locked="0" w:semiHidden="1" w:unhideWhenUsed="1"/>
    <w:lsdException w:name="List" w:locked="0" w:semiHidden="1" w:unhideWhenUsed="1"/>
    <w:lsdException w:name="List Bullet" w:locked="0" w:semiHidden="1" w:unhideWhenUsed="1"/>
    <w:lsdException w:name="List Number" w:locked="0" w:semiHidden="1" w:unhideWhenUsed="1"/>
    <w:lsdException w:name="List 2" w:locked="0" w:semiHidden="1" w:unhideWhenUsed="1"/>
    <w:lsdException w:name="List 3" w:locked="0" w:semiHidden="1" w:unhideWhenUsed="1"/>
    <w:lsdException w:name="List 4" w:locked="0" w:semiHidden="1" w:unhideWhenUsed="1"/>
    <w:lsdException w:name="List 5" w:locked="0" w:semiHidden="1" w:unhideWhenUsed="1"/>
    <w:lsdException w:name="List Bullet 2" w:locked="0" w:semiHidden="1" w:unhideWhenUsed="1"/>
    <w:lsdException w:name="List Bullet 3" w:locked="0" w:semiHidden="1" w:unhideWhenUsed="1"/>
    <w:lsdException w:name="List Bullet 4" w:locked="0" w:semiHidden="1" w:unhideWhenUsed="1"/>
    <w:lsdException w:name="List Bullet 5" w:locked="0" w:semiHidden="1" w:unhideWhenUsed="1"/>
    <w:lsdException w:name="List Number 2" w:locked="0" w:semiHidden="1" w:unhideWhenUsed="1"/>
    <w:lsdException w:name="List Number 3" w:locked="0" w:semiHidden="1" w:unhideWhenUsed="1"/>
    <w:lsdException w:name="List Number 4" w:locked="0" w:semiHidden="1" w:unhideWhenUsed="1"/>
    <w:lsdException w:name="List Number 5" w:locked="0" w:semiHidden="1" w:unhideWhenUsed="1"/>
    <w:lsdException w:name="Title" w:locked="0" w:uiPriority="10" w:qFormat="1"/>
    <w:lsdException w:name="Closing" w:locked="0" w:semiHidden="1" w:unhideWhenUsed="1"/>
    <w:lsdException w:name="Signature" w:locked="0" w:semiHidden="1" w:unhideWhenUsed="1"/>
    <w:lsdException w:name="Default Paragraph Font" w:locked="0" w:uiPriority="1" w:semiHidden="1" w:unhideWhenUsed="1"/>
    <w:lsdException w:name="Body Text" w:locked="0" w:semiHidden="1" w:unhideWhenUsed="1"/>
    <w:lsdException w:name="Body Text Indent" w:locked="0" w:semiHidden="1" w:unhideWhenUsed="1"/>
    <w:lsdException w:name="List Continue" w:locked="0" w:semiHidden="1" w:unhideWhenUsed="1"/>
    <w:lsdException w:name="List Continue 2" w:locked="0" w:semiHidden="1" w:unhideWhenUsed="1"/>
    <w:lsdException w:name="List Continue 3" w:locked="0" w:semiHidden="1" w:unhideWhenUsed="1"/>
    <w:lsdException w:name="List Continue 4" w:locked="0" w:semiHidden="1" w:unhideWhenUsed="1"/>
    <w:lsdException w:name="List Continue 5" w:locked="0" w:semiHidden="1" w:unhideWhenUsed="1"/>
    <w:lsdException w:name="Message Header" w:locked="0" w:semiHidden="1" w:unhideWhenUsed="1"/>
    <w:lsdException w:name="Subtitle" w:locked="0" w:uiPriority="11" w:qFormat="1"/>
    <w:lsdException w:name="Salutation" w:locked="0" w:semiHidden="1" w:unhideWhenUsed="1"/>
    <w:lsdException w:name="Date" w:locked="0" w:semiHidden="1" w:unhideWhenUsed="1"/>
    <w:lsdException w:name="Body Text First Indent" w:locked="0" w:semiHidden="1" w:unhideWhenUsed="1"/>
    <w:lsdException w:name="Body Text First Indent 2" w:locked="0" w:semiHidden="1" w:unhideWhenUsed="1"/>
    <w:lsdException w:name="Note Heading" w:locked="0" w:semiHidden="1" w:unhideWhenUsed="1"/>
    <w:lsdException w:name="Body Text 2" w:locked="0" w:semiHidden="1" w:unhideWhenUsed="1"/>
    <w:lsdException w:name="Body Text 3" w:locked="0" w:semiHidden="1" w:unhideWhenUsed="1"/>
    <w:lsdException w:name="Body Text Indent 2" w:locked="0" w:semiHidden="1" w:unhideWhenUsed="1"/>
    <w:lsdException w:name="Body Text Indent 3" w:locked="0" w:semiHidden="1" w:unhideWhenUsed="1"/>
    <w:lsdException w:name="Block Text" w:locked="0" w:semiHidden="1" w:unhideWhenUsed="1"/>
    <w:lsdException w:name="Hyperlink" w:locked="0" w:semiHidden="1" w:unhideWhenUsed="1"/>
    <w:lsdException w:name="FollowedHyperlink" w:locked="0" w:semiHidden="1" w:unhideWhenUsed="1"/>
    <w:lsdException w:name="Strong" w:locked="0" w:uiPriority="22" w:qFormat="1"/>
    <w:lsdException w:name="Emphasis" w:locked="0" w:uiPriority="20" w:qFormat="1"/>
    <w:lsdException w:name="Document Map" w:locked="0" w:semiHidden="1" w:unhideWhenUsed="1"/>
    <w:lsdException w:name="Plain Text" w:locked="0" w:semiHidden="1" w:unhideWhenUsed="1"/>
    <w:lsdException w:name="E-mail Signature" w:locked="0"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locked="0" w:semiHidden="1" w:unhideWhenUsed="1"/>
    <w:lsdException w:name="HTML Address" w:locked="0" w:semiHidden="1" w:unhideWhenUsed="1"/>
    <w:lsdException w:name="HTML Cite" w:locked="0" w:semiHidden="1" w:unhideWhenUsed="1"/>
    <w:lsdException w:name="HTML Code" w:locked="0" w:semiHidden="1" w:unhideWhenUsed="1"/>
    <w:lsdException w:name="HTML Definition" w:locked="0" w:semiHidden="1" w:unhideWhenUsed="1"/>
    <w:lsdException w:name="HTML Keyboard" w:locked="0" w:semiHidden="1" w:unhideWhenUsed="1"/>
    <w:lsdException w:name="HTML Preformatted" w:locked="0" w:semiHidden="1" w:unhideWhenUsed="1"/>
    <w:lsdException w:name="HTML Sample" w:locked="0" w:semiHidden="1" w:unhideWhenUsed="1"/>
    <w:lsdException w:name="HTML Typewriter" w:locked="0" w:semiHidden="1" w:unhideWhenUsed="1"/>
    <w:lsdException w:name="HTML Variable" w:locked="0"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lsdException w:name="Intense Quote" w:locked="0"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uiPriority="37" w:semiHidden="1" w:unhideWhenUsed="1"/>
    <w:lsdException w:name="TOC Heading" w:locked="0"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17933"/>
    <w:pPr>
      <w:widowControl/>
      <w:suppressAutoHyphens w:val="true"/>
      <w:bidi w:val="0"/>
      <w:spacing w:before="120" w:after="0"/>
      <w:jc w:val="left"/>
    </w:pPr>
    <w:rPr>
      <w:rFonts w:ascii="Times New Roman" w:hAnsi="Times New Roman" w:eastAsia="Calibri" w:cs="" w:cstheme="minorBidi" w:eastAsiaTheme="minorHAnsi"/>
      <w:color w:val="auto"/>
      <w:kern w:val="0"/>
      <w:sz w:val="26"/>
      <w:szCs w:val="22"/>
      <w:lang w:val="ru-RU" w:eastAsia="en-US" w:bidi="ar-SA"/>
    </w:rPr>
  </w:style>
  <w:style w:type="paragraph" w:styleId="Heading1">
    <w:name w:val="Heading 1"/>
    <w:basedOn w:val="Normal"/>
    <w:next w:val="Normal"/>
    <w:link w:val="1"/>
    <w:uiPriority w:val="9"/>
    <w:qFormat/>
    <w:rsid w:val="00e8251e"/>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Style8" w:customStyle="1">
    <w:name w:val="Верхний колонтитул Знак"/>
    <w:basedOn w:val="DefaultParagraphFont"/>
    <w:uiPriority w:val="99"/>
    <w:qFormat/>
    <w:rsid w:val="00c95e18"/>
    <w:rPr/>
  </w:style>
  <w:style w:type="character" w:styleId="Style9" w:customStyle="1">
    <w:name w:val="Нижний колонтитул Знак"/>
    <w:basedOn w:val="DefaultParagraphFont"/>
    <w:uiPriority w:val="99"/>
    <w:qFormat/>
    <w:rsid w:val="008364e8"/>
    <w:rPr/>
  </w:style>
  <w:style w:type="character" w:styleId="Style10" w:customStyle="1">
    <w:name w:val="[РГ] Инструкция для организатора"/>
    <w:basedOn w:val="DefaultParagraphFont"/>
    <w:uiPriority w:val="1"/>
    <w:qFormat/>
    <w:rsid w:val="00277346"/>
    <w:rPr>
      <w:i/>
      <w:iCs/>
      <w:shd w:fill="FFFF99" w:val="clear"/>
      <w:lang w:val="ru-RU"/>
    </w:rPr>
  </w:style>
  <w:style w:type="character" w:styleId="Style11" w:customStyle="1">
    <w:name w:val="Текст сноски Знак"/>
    <w:basedOn w:val="DefaultParagraphFont"/>
    <w:uiPriority w:val="99"/>
    <w:qFormat/>
    <w:rsid w:val="006608d1"/>
    <w:rPr>
      <w:sz w:val="20"/>
      <w:szCs w:val="20"/>
    </w:rPr>
  </w:style>
  <w:style w:type="character" w:styleId="Style12">
    <w:name w:val="Символ сноски"/>
    <w:uiPriority w:val="99"/>
    <w:qFormat/>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cc7f55"/>
    <w:rPr>
      <w:color w:val="0563C1" w:themeColor="hyperlink"/>
      <w:u w:val="single"/>
    </w:rPr>
  </w:style>
  <w:style w:type="character" w:styleId="UnresolvedMention" w:customStyle="1">
    <w:name w:val="Unresolved Mention"/>
    <w:basedOn w:val="DefaultParagraphFont"/>
    <w:uiPriority w:val="99"/>
    <w:semiHidden/>
    <w:unhideWhenUsed/>
    <w:qFormat/>
    <w:rsid w:val="00cc7f55"/>
    <w:rPr>
      <w:color w:val="605E5C"/>
      <w:shd w:fill="E1DFDD" w:val="clear"/>
    </w:rPr>
  </w:style>
  <w:style w:type="character" w:styleId="PlaceholderText">
    <w:name w:val="Placeholder Text"/>
    <w:basedOn w:val="DefaultParagraphFont"/>
    <w:uiPriority w:val="99"/>
    <w:semiHidden/>
    <w:qFormat/>
    <w:rsid w:val="00984d97"/>
    <w:rPr>
      <w:color w:val="808080"/>
    </w:rPr>
  </w:style>
  <w:style w:type="character" w:styleId="Style13" w:customStyle="1">
    <w:name w:val="[РГ] Отсылка"/>
    <w:basedOn w:val="DefaultParagraphFont"/>
    <w:uiPriority w:val="1"/>
    <w:qFormat/>
    <w:rsid w:val="00c558e6"/>
    <w:rPr>
      <w:color w:val="000000"/>
      <w:spacing w:val="0"/>
      <w:u w:val="dotted" w:color="4472C4"/>
      <w:shd w:fill="auto" w:val="clear"/>
      <w:lang w:val="ru-RU"/>
    </w:rPr>
  </w:style>
  <w:style w:type="character" w:styleId="Annotationreference">
    <w:name w:val="annotation reference"/>
    <w:basedOn w:val="DefaultParagraphFont"/>
    <w:unhideWhenUsed/>
    <w:qFormat/>
    <w:rsid w:val="007e365e"/>
    <w:rPr>
      <w:sz w:val="16"/>
      <w:szCs w:val="16"/>
    </w:rPr>
  </w:style>
  <w:style w:type="character" w:styleId="Style14" w:customStyle="1">
    <w:name w:val="Текст примечания Знак"/>
    <w:basedOn w:val="DefaultParagraphFont"/>
    <w:link w:val="Annotationtext"/>
    <w:uiPriority w:val="99"/>
    <w:qFormat/>
    <w:rsid w:val="007e365e"/>
    <w:rPr>
      <w:sz w:val="20"/>
      <w:szCs w:val="20"/>
    </w:rPr>
  </w:style>
  <w:style w:type="character" w:styleId="Style15" w:customStyle="1">
    <w:name w:val="Тема примечания Знак"/>
    <w:basedOn w:val="Style14"/>
    <w:link w:val="Annotationsubject"/>
    <w:uiPriority w:val="99"/>
    <w:semiHidden/>
    <w:qFormat/>
    <w:rsid w:val="007e365e"/>
    <w:rPr>
      <w:b/>
      <w:bCs/>
      <w:sz w:val="20"/>
      <w:szCs w:val="20"/>
    </w:rPr>
  </w:style>
  <w:style w:type="character" w:styleId="Style16" w:customStyle="1">
    <w:name w:val="[РГ] Инструкция для участника"/>
    <w:basedOn w:val="DefaultParagraphFont"/>
    <w:uiPriority w:val="1"/>
    <w:qFormat/>
    <w:rsid w:val="005864e9"/>
    <w:rPr>
      <w:i/>
      <w:shd w:fill="D0CECE" w:val="clear"/>
      <w:lang w:val="ru-RU"/>
    </w:rPr>
  </w:style>
  <w:style w:type="character" w:styleId="FollowedHyperlink">
    <w:name w:val="FollowedHyperlink"/>
    <w:basedOn w:val="DefaultParagraphFont"/>
    <w:uiPriority w:val="99"/>
    <w:semiHidden/>
    <w:unhideWhenUsed/>
    <w:rsid w:val="006d25e1"/>
    <w:rPr>
      <w:color w:val="954F72" w:themeColor="followedHyperlink"/>
      <w:u w:val="single"/>
    </w:rPr>
  </w:style>
  <w:style w:type="character" w:styleId="Style17" w:customStyle="1">
    <w:name w:val="Текст выноски Знак"/>
    <w:basedOn w:val="DefaultParagraphFont"/>
    <w:link w:val="BalloonText"/>
    <w:uiPriority w:val="99"/>
    <w:semiHidden/>
    <w:qFormat/>
    <w:rsid w:val="0079507d"/>
    <w:rPr>
      <w:rFonts w:ascii="Segoe UI" w:hAnsi="Segoe UI" w:cs="Segoe UI"/>
      <w:sz w:val="18"/>
      <w:szCs w:val="18"/>
    </w:rPr>
  </w:style>
  <w:style w:type="character" w:styleId="Style18" w:customStyle="1">
    <w:name w:val="Ссылка указателя"/>
    <w:qFormat/>
    <w:rPr/>
  </w:style>
  <w:style w:type="character" w:styleId="Style19" w:customStyle="1">
    <w:name w:val="Символ концевой сноски"/>
    <w:qFormat/>
    <w:rPr>
      <w:vertAlign w:val="superscript"/>
    </w:rPr>
  </w:style>
  <w:style w:type="character" w:styleId="EndnoteReference">
    <w:name w:val="Endnote Reference"/>
    <w:rPr>
      <w:vertAlign w:val="superscript"/>
    </w:rPr>
  </w:style>
  <w:style w:type="character" w:styleId="-" w:customStyle="1">
    <w:name w:val="УРОВЕНЬ_- Знак"/>
    <w:link w:val="-1"/>
    <w:qFormat/>
    <w:locked/>
    <w:rsid w:val="008e2467"/>
    <w:rPr>
      <w:rFonts w:cs="Times New Roman"/>
      <w:szCs w:val="28"/>
    </w:rPr>
  </w:style>
  <w:style w:type="character" w:styleId="2" w:customStyle="1">
    <w:name w:val="УРОВЕНЬ_Абзац_тип2 Знак"/>
    <w:link w:val="21"/>
    <w:qFormat/>
    <w:locked/>
    <w:rsid w:val="008e2467"/>
    <w:rPr>
      <w:rFonts w:cs="Times New Roman"/>
      <w:szCs w:val="28"/>
    </w:rPr>
  </w:style>
  <w:style w:type="character" w:styleId="3" w:customStyle="1">
    <w:name w:val="УРОВЕНЬ_Абзац_тип3 Знак"/>
    <w:link w:val="31"/>
    <w:qFormat/>
    <w:locked/>
    <w:rsid w:val="008e2467"/>
    <w:rPr>
      <w:rFonts w:cs="Times New Roman"/>
      <w:szCs w:val="28"/>
    </w:rPr>
  </w:style>
  <w:style w:type="character" w:styleId="1" w:customStyle="1">
    <w:name w:val="Заголовок 1 Знак"/>
    <w:basedOn w:val="DefaultParagraphFont"/>
    <w:uiPriority w:val="9"/>
    <w:qFormat/>
    <w:rsid w:val="00e8251e"/>
    <w:rPr>
      <w:rFonts w:ascii="Calibri Light" w:hAnsi="Calibri Light" w:eastAsia="" w:cs="" w:asciiTheme="majorHAnsi" w:cstheme="majorBidi" w:eastAsiaTheme="majorEastAsia" w:hAnsiTheme="majorHAnsi"/>
      <w:color w:val="2F5496" w:themeColor="accent1" w:themeShade="bf"/>
      <w:sz w:val="32"/>
      <w:szCs w:val="32"/>
    </w:rPr>
  </w:style>
  <w:style w:type="paragraph" w:styleId="Style20">
    <w:name w:val="Заголовок"/>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Style21">
    <w:name w:val="Указатель"/>
    <w:basedOn w:val="Normal"/>
    <w:qFormat/>
    <w:pPr>
      <w:suppressLineNumbers/>
    </w:pPr>
    <w:rPr/>
  </w:style>
  <w:style w:type="paragraph" w:styleId="Title">
    <w:name w:val="Title"/>
    <w:basedOn w:val="Normal"/>
    <w:next w:val="BodyText"/>
    <w:qFormat/>
    <w:pPr>
      <w:keepNext w:val="true"/>
      <w:spacing w:before="240" w:after="120"/>
    </w:pPr>
    <w:rPr>
      <w:rFonts w:ascii="Liberation Sans" w:hAnsi="Liberation Sans" w:eastAsia="Arial Unicode MS" w:cs="Arial Unicode MS"/>
      <w:sz w:val="28"/>
      <w:szCs w:val="28"/>
    </w:rPr>
  </w:style>
  <w:style w:type="paragraph" w:styleId="Caption1">
    <w:name w:val="caption1"/>
    <w:basedOn w:val="Normal"/>
    <w:qFormat/>
    <w:pPr>
      <w:suppressLineNumbers/>
      <w:spacing w:before="120" w:after="120"/>
    </w:pPr>
    <w:rPr>
      <w:i/>
      <w:iCs/>
      <w:sz w:val="24"/>
      <w:szCs w:val="24"/>
    </w:rPr>
  </w:style>
  <w:style w:type="paragraph" w:styleId="Indexheading1">
    <w:name w:val="index heading1"/>
    <w:basedOn w:val="Title"/>
    <w:qFormat/>
    <w:pPr/>
    <w:rPr/>
  </w:style>
  <w:style w:type="paragraph" w:styleId="Caption11" w:customStyle="1">
    <w:name w:val="caption11"/>
    <w:basedOn w:val="Normal"/>
    <w:qFormat/>
    <w:pPr>
      <w:suppressLineNumbers/>
      <w:spacing w:before="120" w:after="120"/>
    </w:pPr>
    <w:rPr>
      <w:i/>
      <w:iCs/>
      <w:sz w:val="24"/>
      <w:szCs w:val="24"/>
    </w:rPr>
  </w:style>
  <w:style w:type="paragraph" w:styleId="Indexheading11" w:customStyle="1">
    <w:name w:val="index heading11"/>
    <w:basedOn w:val="Normal"/>
    <w:qFormat/>
    <w:pPr>
      <w:suppressLineNumbers/>
    </w:pPr>
    <w:rPr/>
  </w:style>
  <w:style w:type="paragraph" w:styleId="Style22" w:customStyle="1">
    <w:name w:val="[РГ] Раздел"/>
    <w:basedOn w:val="Normal"/>
    <w:next w:val="Style23"/>
    <w:qFormat/>
    <w:rsid w:val="00c95e18"/>
    <w:pPr>
      <w:keepNext w:val="true"/>
      <w:pageBreakBefore/>
      <w:numPr>
        <w:ilvl w:val="0"/>
        <w:numId w:val="1"/>
      </w:numPr>
      <w:spacing w:before="0" w:after="360"/>
      <w:jc w:val="both"/>
      <w:outlineLvl w:val="0"/>
    </w:pPr>
    <w:rPr>
      <w:b/>
      <w:bCs/>
      <w:caps/>
    </w:rPr>
  </w:style>
  <w:style w:type="paragraph" w:styleId="Style23" w:customStyle="1">
    <w:name w:val="[РГ] Подраздел"/>
    <w:basedOn w:val="Normal"/>
    <w:next w:val="Style24"/>
    <w:qFormat/>
    <w:rsid w:val="00891546"/>
    <w:pPr>
      <w:keepNext w:val="true"/>
      <w:numPr>
        <w:ilvl w:val="1"/>
        <w:numId w:val="1"/>
      </w:numPr>
      <w:spacing w:before="360" w:after="0"/>
      <w:jc w:val="both"/>
      <w:outlineLvl w:val="1"/>
    </w:pPr>
    <w:rPr>
      <w:b/>
      <w:bCs/>
    </w:rPr>
  </w:style>
  <w:style w:type="paragraph" w:styleId="Style24" w:customStyle="1">
    <w:name w:val="[РГ] Пункт"/>
    <w:basedOn w:val="Normal"/>
    <w:qFormat/>
    <w:rsid w:val="00891546"/>
    <w:pPr>
      <w:numPr>
        <w:ilvl w:val="2"/>
        <w:numId w:val="1"/>
      </w:numPr>
      <w:jc w:val="both"/>
      <w:outlineLvl w:val="2"/>
    </w:pPr>
    <w:rPr/>
  </w:style>
  <w:style w:type="paragraph" w:styleId="Style25" w:customStyle="1">
    <w:name w:val="[РГ] Подпункт"/>
    <w:basedOn w:val="Normal"/>
    <w:qFormat/>
    <w:rsid w:val="00891546"/>
    <w:pPr>
      <w:numPr>
        <w:ilvl w:val="3"/>
        <w:numId w:val="1"/>
      </w:numPr>
      <w:jc w:val="both"/>
      <w:outlineLvl w:val="3"/>
    </w:pPr>
    <w:rPr/>
  </w:style>
  <w:style w:type="paragraph" w:styleId="Style26" w:customStyle="1">
    <w:name w:val="[РГ] Перечисление"/>
    <w:basedOn w:val="Normal"/>
    <w:qFormat/>
    <w:rsid w:val="00891546"/>
    <w:pPr>
      <w:numPr>
        <w:ilvl w:val="4"/>
        <w:numId w:val="1"/>
      </w:numPr>
      <w:jc w:val="both"/>
      <w:outlineLvl w:val="4"/>
    </w:pPr>
    <w:rPr/>
  </w:style>
  <w:style w:type="paragraph" w:styleId="Style27" w:customStyle="1">
    <w:name w:val="[РГ] Заголовок"/>
    <w:basedOn w:val="Normal"/>
    <w:next w:val="Style28"/>
    <w:qFormat/>
    <w:rsid w:val="00f87384"/>
    <w:pPr>
      <w:keepNext w:val="true"/>
      <w:pageBreakBefore/>
      <w:spacing w:before="0" w:after="360"/>
      <w:jc w:val="both"/>
    </w:pPr>
    <w:rPr>
      <w:b/>
      <w:bCs/>
      <w:caps/>
    </w:rPr>
  </w:style>
  <w:style w:type="paragraph" w:styleId="Style28" w:customStyle="1">
    <w:name w:val="[РГ] Текст"/>
    <w:basedOn w:val="Normal"/>
    <w:qFormat/>
    <w:rsid w:val="00891546"/>
    <w:pPr>
      <w:jc w:val="both"/>
    </w:pPr>
    <w:rPr/>
  </w:style>
  <w:style w:type="paragraph" w:styleId="Style29" w:customStyle="1">
    <w:name w:val="Колонтитул"/>
    <w:basedOn w:val="Normal"/>
    <w:qFormat/>
    <w:pPr/>
    <w:rPr/>
  </w:style>
  <w:style w:type="paragraph" w:styleId="Header">
    <w:name w:val="Header"/>
    <w:basedOn w:val="Normal"/>
    <w:link w:val="Style8"/>
    <w:uiPriority w:val="99"/>
    <w:unhideWhenUsed/>
    <w:rsid w:val="00c95e18"/>
    <w:pPr>
      <w:spacing w:before="0" w:after="120"/>
      <w:jc w:val="center"/>
    </w:pPr>
    <w:rPr/>
  </w:style>
  <w:style w:type="paragraph" w:styleId="Footer">
    <w:name w:val="Footer"/>
    <w:basedOn w:val="Normal"/>
    <w:link w:val="Style9"/>
    <w:uiPriority w:val="99"/>
    <w:unhideWhenUsed/>
    <w:rsid w:val="008364e8"/>
    <w:pPr>
      <w:jc w:val="right"/>
    </w:pPr>
    <w:rPr/>
  </w:style>
  <w:style w:type="paragraph" w:styleId="FootnoteText">
    <w:name w:val="Footnote Text"/>
    <w:basedOn w:val="Normal"/>
    <w:link w:val="Style11"/>
    <w:uiPriority w:val="99"/>
    <w:unhideWhenUsed/>
    <w:rsid w:val="006608d1"/>
    <w:pPr>
      <w:spacing w:before="0" w:after="0"/>
    </w:pPr>
    <w:rPr>
      <w:sz w:val="20"/>
      <w:szCs w:val="20"/>
    </w:rPr>
  </w:style>
  <w:style w:type="paragraph" w:styleId="Style30" w:customStyle="1">
    <w:name w:val="[РГ] Сноска"/>
    <w:basedOn w:val="FootnoteText"/>
    <w:qFormat/>
    <w:rsid w:val="006608d1"/>
    <w:pPr>
      <w:spacing w:before="80" w:after="0"/>
      <w:ind w:left="567" w:hanging="567"/>
      <w:jc w:val="both"/>
    </w:pPr>
    <w:rPr>
      <w:sz w:val="22"/>
    </w:rPr>
  </w:style>
  <w:style w:type="paragraph" w:styleId="TOC2">
    <w:name w:val="TOC 2"/>
    <w:basedOn w:val="Normal"/>
    <w:next w:val="Normal"/>
    <w:autoRedefine/>
    <w:uiPriority w:val="39"/>
    <w:unhideWhenUsed/>
    <w:rsid w:val="002c4b1b"/>
    <w:pPr>
      <w:tabs>
        <w:tab w:val="clear" w:pos="708"/>
        <w:tab w:val="left" w:pos="851" w:leader="none"/>
        <w:tab w:val="right" w:pos="9923" w:leader="none"/>
      </w:tabs>
      <w:spacing w:before="120" w:after="120"/>
      <w:ind w:left="851" w:hanging="851"/>
    </w:pPr>
    <w:rPr/>
  </w:style>
  <w:style w:type="paragraph" w:styleId="TOC1">
    <w:name w:val="TOC 1"/>
    <w:basedOn w:val="Normal"/>
    <w:next w:val="Normal"/>
    <w:autoRedefine/>
    <w:uiPriority w:val="39"/>
    <w:unhideWhenUsed/>
    <w:rsid w:val="00bd294b"/>
    <w:pPr>
      <w:keepNext w:val="true"/>
      <w:tabs>
        <w:tab w:val="clear" w:pos="708"/>
        <w:tab w:val="left" w:pos="851" w:leader="none"/>
        <w:tab w:val="right" w:pos="9923" w:leader="none"/>
      </w:tabs>
      <w:spacing w:before="120" w:after="120"/>
      <w:ind w:left="851" w:hanging="851"/>
    </w:pPr>
    <w:rPr>
      <w:b/>
      <w:caps/>
    </w:rPr>
  </w:style>
  <w:style w:type="paragraph" w:styleId="TOC3">
    <w:name w:val="TOC 3"/>
    <w:basedOn w:val="Normal"/>
    <w:next w:val="Normal"/>
    <w:autoRedefine/>
    <w:uiPriority w:val="39"/>
    <w:unhideWhenUsed/>
    <w:rsid w:val="009c217f"/>
    <w:pPr>
      <w:spacing w:lineRule="auto" w:line="259" w:before="0" w:after="100"/>
      <w:ind w:left="440" w:hanging="0"/>
    </w:pPr>
    <w:rPr>
      <w:rFonts w:ascii="Calibri" w:hAnsi="Calibri" w:eastAsia="" w:asciiTheme="minorHAnsi" w:eastAsiaTheme="minorEastAsia" w:hAnsiTheme="minorHAnsi"/>
      <w:sz w:val="22"/>
      <w:lang w:eastAsia="ru-RU"/>
    </w:rPr>
  </w:style>
  <w:style w:type="paragraph" w:styleId="TOC4">
    <w:name w:val="TOC 4"/>
    <w:basedOn w:val="Normal"/>
    <w:next w:val="Normal"/>
    <w:autoRedefine/>
    <w:uiPriority w:val="39"/>
    <w:unhideWhenUsed/>
    <w:rsid w:val="009c217f"/>
    <w:pPr>
      <w:spacing w:lineRule="auto" w:line="259" w:before="0" w:after="100"/>
      <w:ind w:left="660" w:hanging="0"/>
    </w:pPr>
    <w:rPr>
      <w:rFonts w:ascii="Calibri" w:hAnsi="Calibri" w:eastAsia="" w:asciiTheme="minorHAnsi" w:eastAsiaTheme="minorEastAsia" w:hAnsiTheme="minorHAnsi"/>
      <w:sz w:val="22"/>
      <w:lang w:eastAsia="ru-RU"/>
    </w:rPr>
  </w:style>
  <w:style w:type="paragraph" w:styleId="TOC5">
    <w:name w:val="TOC 5"/>
    <w:basedOn w:val="Normal"/>
    <w:next w:val="Normal"/>
    <w:autoRedefine/>
    <w:uiPriority w:val="39"/>
    <w:unhideWhenUsed/>
    <w:rsid w:val="009c217f"/>
    <w:pPr>
      <w:spacing w:lineRule="auto" w:line="259" w:before="0" w:after="100"/>
      <w:ind w:left="880" w:hanging="0"/>
    </w:pPr>
    <w:rPr>
      <w:rFonts w:ascii="Calibri" w:hAnsi="Calibri" w:eastAsia="" w:asciiTheme="minorHAnsi" w:eastAsiaTheme="minorEastAsia" w:hAnsiTheme="minorHAnsi"/>
      <w:sz w:val="22"/>
      <w:lang w:eastAsia="ru-RU"/>
    </w:rPr>
  </w:style>
  <w:style w:type="paragraph" w:styleId="TOC6">
    <w:name w:val="TOC 6"/>
    <w:basedOn w:val="Normal"/>
    <w:next w:val="Normal"/>
    <w:autoRedefine/>
    <w:uiPriority w:val="39"/>
    <w:unhideWhenUsed/>
    <w:rsid w:val="009c217f"/>
    <w:pPr>
      <w:spacing w:lineRule="auto" w:line="259" w:before="0" w:after="100"/>
      <w:ind w:left="1100" w:hanging="0"/>
    </w:pPr>
    <w:rPr>
      <w:rFonts w:ascii="Calibri" w:hAnsi="Calibri" w:eastAsia="" w:asciiTheme="minorHAnsi" w:eastAsiaTheme="minorEastAsia" w:hAnsiTheme="minorHAnsi"/>
      <w:sz w:val="22"/>
      <w:lang w:eastAsia="ru-RU"/>
    </w:rPr>
  </w:style>
  <w:style w:type="paragraph" w:styleId="TOC7">
    <w:name w:val="TOC 7"/>
    <w:basedOn w:val="Normal"/>
    <w:next w:val="Normal"/>
    <w:autoRedefine/>
    <w:uiPriority w:val="39"/>
    <w:unhideWhenUsed/>
    <w:rsid w:val="009c217f"/>
    <w:pPr>
      <w:spacing w:lineRule="auto" w:line="259" w:before="0" w:after="100"/>
      <w:ind w:left="1320" w:hanging="0"/>
    </w:pPr>
    <w:rPr>
      <w:rFonts w:ascii="Calibri" w:hAnsi="Calibri" w:eastAsia="" w:asciiTheme="minorHAnsi" w:eastAsiaTheme="minorEastAsia" w:hAnsiTheme="minorHAnsi"/>
      <w:sz w:val="22"/>
      <w:lang w:eastAsia="ru-RU"/>
    </w:rPr>
  </w:style>
  <w:style w:type="paragraph" w:styleId="TOC8">
    <w:name w:val="TOC 8"/>
    <w:basedOn w:val="Normal"/>
    <w:next w:val="Normal"/>
    <w:autoRedefine/>
    <w:uiPriority w:val="39"/>
    <w:unhideWhenUsed/>
    <w:rsid w:val="009c217f"/>
    <w:pPr>
      <w:spacing w:lineRule="auto" w:line="259" w:before="0" w:after="100"/>
      <w:ind w:left="1540" w:hanging="0"/>
    </w:pPr>
    <w:rPr>
      <w:rFonts w:ascii="Calibri" w:hAnsi="Calibri" w:eastAsia="" w:asciiTheme="minorHAnsi" w:eastAsiaTheme="minorEastAsia" w:hAnsiTheme="minorHAnsi"/>
      <w:sz w:val="22"/>
      <w:lang w:eastAsia="ru-RU"/>
    </w:rPr>
  </w:style>
  <w:style w:type="paragraph" w:styleId="TOC9">
    <w:name w:val="TOC 9"/>
    <w:basedOn w:val="Normal"/>
    <w:next w:val="Normal"/>
    <w:autoRedefine/>
    <w:uiPriority w:val="39"/>
    <w:unhideWhenUsed/>
    <w:rsid w:val="009c217f"/>
    <w:pPr>
      <w:spacing w:lineRule="auto" w:line="259" w:before="0" w:after="100"/>
      <w:ind w:left="1760" w:hanging="0"/>
    </w:pPr>
    <w:rPr>
      <w:rFonts w:ascii="Calibri" w:hAnsi="Calibri" w:eastAsia="" w:asciiTheme="minorHAnsi" w:eastAsiaTheme="minorEastAsia" w:hAnsiTheme="minorHAnsi"/>
      <w:sz w:val="22"/>
      <w:lang w:eastAsia="ru-RU"/>
    </w:rPr>
  </w:style>
  <w:style w:type="paragraph" w:styleId="Annotationtext">
    <w:name w:val="annotation text"/>
    <w:basedOn w:val="Normal"/>
    <w:link w:val="Style14"/>
    <w:uiPriority w:val="99"/>
    <w:unhideWhenUsed/>
    <w:qFormat/>
    <w:rsid w:val="007e365e"/>
    <w:pPr/>
    <w:rPr>
      <w:sz w:val="20"/>
      <w:szCs w:val="20"/>
    </w:rPr>
  </w:style>
  <w:style w:type="paragraph" w:styleId="Annotationsubject">
    <w:name w:val="annotation subject"/>
    <w:basedOn w:val="Annotationtext"/>
    <w:next w:val="Annotationtext"/>
    <w:link w:val="Style15"/>
    <w:uiPriority w:val="99"/>
    <w:semiHidden/>
    <w:unhideWhenUsed/>
    <w:qFormat/>
    <w:rsid w:val="007e365e"/>
    <w:pPr/>
    <w:rPr>
      <w:b/>
      <w:bCs/>
    </w:rPr>
  </w:style>
  <w:style w:type="paragraph" w:styleId="Style31" w:customStyle="1">
    <w:name w:val="[РГ] Альтернатива / Дополнение"/>
    <w:basedOn w:val="Style28"/>
    <w:next w:val="Style28"/>
    <w:qFormat/>
    <w:rsid w:val="00a932a1"/>
    <w:pPr/>
    <w:rPr>
      <w:i/>
      <w:shd w:fill="CCECFF" w:val="clear"/>
    </w:rPr>
  </w:style>
  <w:style w:type="paragraph" w:styleId="Revision">
    <w:name w:val="Revision"/>
    <w:uiPriority w:val="99"/>
    <w:semiHidden/>
    <w:qFormat/>
    <w:rsid w:val="00537a41"/>
    <w:pPr>
      <w:widowControl/>
      <w:suppressAutoHyphens w:val="true"/>
      <w:bidi w:val="0"/>
      <w:spacing w:before="0" w:after="0"/>
      <w:jc w:val="left"/>
    </w:pPr>
    <w:rPr>
      <w:rFonts w:ascii="Times New Roman" w:hAnsi="Times New Roman" w:eastAsia="Calibri" w:cs="" w:cstheme="minorBidi" w:eastAsiaTheme="minorHAnsi"/>
      <w:color w:val="auto"/>
      <w:kern w:val="0"/>
      <w:sz w:val="26"/>
      <w:szCs w:val="22"/>
      <w:lang w:val="ru-RU" w:eastAsia="en-US" w:bidi="ar-SA"/>
    </w:rPr>
  </w:style>
  <w:style w:type="paragraph" w:styleId="ListParagraph">
    <w:name w:val="List Paragraph"/>
    <w:basedOn w:val="Normal"/>
    <w:uiPriority w:val="34"/>
    <w:qFormat/>
    <w:rsid w:val="00bb1e37"/>
    <w:pPr>
      <w:spacing w:before="120" w:after="0"/>
      <w:ind w:left="720" w:hanging="0"/>
      <w:contextualSpacing/>
    </w:pPr>
    <w:rPr/>
  </w:style>
  <w:style w:type="paragraph" w:styleId="BalloonText">
    <w:name w:val="Balloon Text"/>
    <w:basedOn w:val="Normal"/>
    <w:link w:val="Style17"/>
    <w:uiPriority w:val="99"/>
    <w:semiHidden/>
    <w:unhideWhenUsed/>
    <w:qFormat/>
    <w:rsid w:val="0079507d"/>
    <w:pPr>
      <w:spacing w:before="0" w:after="0"/>
    </w:pPr>
    <w:rPr>
      <w:rFonts w:ascii="Segoe UI" w:hAnsi="Segoe UI" w:cs="Segoe UI"/>
      <w:sz w:val="18"/>
      <w:szCs w:val="18"/>
    </w:rPr>
  </w:style>
  <w:style w:type="paragraph" w:styleId="Tableheader" w:customStyle="1">
    <w:name w:val="Table_header"/>
    <w:basedOn w:val="Normal"/>
    <w:qFormat/>
    <w:rsid w:val="0071281d"/>
    <w:pPr>
      <w:jc w:val="both"/>
    </w:pPr>
    <w:rPr>
      <w:rFonts w:eastAsia="Times New Roman" w:cs="Times New Roman"/>
      <w:b/>
      <w:sz w:val="20"/>
      <w:szCs w:val="24"/>
      <w:lang w:eastAsia="ru-RU"/>
    </w:rPr>
  </w:style>
  <w:style w:type="paragraph" w:styleId="Style32" w:customStyle="1">
    <w:name w:val="УРОВЕНЬ_(а)"/>
    <w:basedOn w:val="ListParagraph"/>
    <w:qFormat/>
    <w:rsid w:val="008e2467"/>
    <w:pPr>
      <w:numPr>
        <w:ilvl w:val="3"/>
        <w:numId w:val="14"/>
      </w:numPr>
      <w:tabs>
        <w:tab w:val="left" w:pos="360" w:leader="none"/>
        <w:tab w:val="left" w:pos="708" w:leader="none"/>
      </w:tabs>
      <w:suppressAutoHyphens w:val="false"/>
      <w:spacing w:lineRule="exact" w:line="360" w:before="120" w:after="0"/>
      <w:ind w:left="720" w:firstLine="567"/>
      <w:contextualSpacing w:val="false"/>
      <w:jc w:val="both"/>
      <w:outlineLvl w:val="3"/>
    </w:pPr>
    <w:rPr>
      <w:rFonts w:eastAsia="Calibri" w:cs="Times New Roman"/>
      <w:szCs w:val="28"/>
    </w:rPr>
  </w:style>
  <w:style w:type="paragraph" w:styleId="-1" w:customStyle="1">
    <w:name w:val="УРОВЕНЬ_-"/>
    <w:basedOn w:val="ListParagraph"/>
    <w:link w:val="-"/>
    <w:qFormat/>
    <w:rsid w:val="008e2467"/>
    <w:pPr>
      <w:numPr>
        <w:ilvl w:val="4"/>
        <w:numId w:val="14"/>
      </w:numPr>
      <w:tabs>
        <w:tab w:val="left" w:pos="360" w:leader="none"/>
        <w:tab w:val="left" w:pos="708" w:leader="none"/>
      </w:tabs>
      <w:suppressAutoHyphens w:val="false"/>
      <w:spacing w:lineRule="exact" w:line="360" w:before="120" w:after="0"/>
      <w:ind w:left="720" w:firstLine="567"/>
      <w:contextualSpacing w:val="false"/>
      <w:jc w:val="both"/>
      <w:outlineLvl w:val="4"/>
    </w:pPr>
    <w:rPr>
      <w:rFonts w:cs="Times New Roman"/>
      <w:szCs w:val="28"/>
    </w:rPr>
  </w:style>
  <w:style w:type="paragraph" w:styleId="21" w:customStyle="1">
    <w:name w:val="УРОВЕНЬ_Абзац_тип2"/>
    <w:basedOn w:val="ListParagraph"/>
    <w:link w:val="2"/>
    <w:qFormat/>
    <w:rsid w:val="008e2467"/>
    <w:pPr>
      <w:numPr>
        <w:ilvl w:val="6"/>
        <w:numId w:val="14"/>
      </w:numPr>
      <w:suppressAutoHyphens w:val="false"/>
      <w:spacing w:lineRule="exact" w:line="360" w:before="120" w:after="0"/>
      <w:contextualSpacing w:val="false"/>
      <w:jc w:val="both"/>
    </w:pPr>
    <w:rPr>
      <w:rFonts w:cs="Times New Roman"/>
      <w:szCs w:val="28"/>
    </w:rPr>
  </w:style>
  <w:style w:type="paragraph" w:styleId="31" w:customStyle="1">
    <w:name w:val="УРОВЕНЬ_Абзац_тип3"/>
    <w:basedOn w:val="ListParagraph"/>
    <w:link w:val="3"/>
    <w:qFormat/>
    <w:rsid w:val="008e2467"/>
    <w:pPr>
      <w:numPr>
        <w:ilvl w:val="7"/>
        <w:numId w:val="14"/>
      </w:numPr>
      <w:suppressAutoHyphens w:val="false"/>
      <w:spacing w:lineRule="exact" w:line="360" w:before="120" w:after="0"/>
      <w:contextualSpacing w:val="false"/>
      <w:jc w:val="both"/>
    </w:pPr>
    <w:rPr>
      <w:rFonts w:cs="Times New Roman"/>
      <w:szCs w:val="28"/>
    </w:rPr>
  </w:style>
  <w:style w:type="paragraph" w:styleId="Style33" w:customStyle="1">
    <w:name w:val="УРОВЕНЬ_Подпись"/>
    <w:basedOn w:val="ListParagraph"/>
    <w:qFormat/>
    <w:rsid w:val="008e2467"/>
    <w:pPr>
      <w:keepNext w:val="true"/>
      <w:numPr>
        <w:ilvl w:val="5"/>
        <w:numId w:val="14"/>
      </w:numPr>
      <w:tabs>
        <w:tab w:val="left" w:pos="360" w:leader="none"/>
        <w:tab w:val="left" w:pos="708" w:leader="none"/>
      </w:tabs>
      <w:suppressAutoHyphens w:val="false"/>
      <w:spacing w:lineRule="exact" w:line="360" w:before="120" w:after="120"/>
      <w:ind w:left="720" w:firstLine="567"/>
      <w:contextualSpacing w:val="false"/>
      <w:jc w:val="right"/>
      <w:outlineLvl w:val="3"/>
    </w:pPr>
    <w:rPr>
      <w:rFonts w:eastAsia="Calibri" w:cs="Times New Roman"/>
      <w:szCs w:val="28"/>
    </w:rPr>
  </w:style>
  <w:style w:type="paragraph" w:styleId="Style34" w:customStyle="1">
    <w:name w:val="[РусГидро] Глава"/>
    <w:basedOn w:val="ListParagraph"/>
    <w:next w:val="Style36"/>
    <w:qFormat/>
    <w:rsid w:val="008e2467"/>
    <w:pPr>
      <w:keepNext w:val="true"/>
      <w:keepLines/>
      <w:numPr>
        <w:ilvl w:val="1"/>
        <w:numId w:val="15"/>
      </w:numPr>
      <w:tabs>
        <w:tab w:val="clear" w:pos="708"/>
        <w:tab w:val="left" w:pos="360" w:leader="none"/>
      </w:tabs>
      <w:suppressAutoHyphens w:val="false"/>
      <w:spacing w:before="360" w:after="240"/>
      <w:ind w:left="720" w:hanging="0"/>
      <w:contextualSpacing w:val="false"/>
      <w:jc w:val="both"/>
      <w:outlineLvl w:val="1"/>
    </w:pPr>
    <w:rPr>
      <w:rFonts w:eastAsia="Times New Roman" w:cs="Times New Roman"/>
      <w:b/>
      <w:bCs/>
      <w:caps/>
      <w:color w:val="000000" w:themeColor="text1"/>
      <w:szCs w:val="26"/>
    </w:rPr>
  </w:style>
  <w:style w:type="paragraph" w:styleId="Style35" w:customStyle="1">
    <w:name w:val="[РусГидро] Раздел"/>
    <w:basedOn w:val="ListParagraph"/>
    <w:next w:val="Style34"/>
    <w:qFormat/>
    <w:rsid w:val="008e2467"/>
    <w:pPr>
      <w:keepNext w:val="true"/>
      <w:keepLines/>
      <w:pageBreakBefore/>
      <w:numPr>
        <w:ilvl w:val="0"/>
        <w:numId w:val="15"/>
      </w:numPr>
      <w:tabs>
        <w:tab w:val="clear" w:pos="708"/>
        <w:tab w:val="left" w:pos="360" w:leader="none"/>
      </w:tabs>
      <w:suppressAutoHyphens w:val="false"/>
      <w:spacing w:before="0" w:after="0"/>
      <w:ind w:left="720" w:hanging="0"/>
      <w:contextualSpacing w:val="false"/>
      <w:jc w:val="both"/>
      <w:outlineLvl w:val="0"/>
    </w:pPr>
    <w:rPr>
      <w:rFonts w:eastAsia="Times New Roman" w:cs="Times New Roman"/>
      <w:b/>
      <w:bCs/>
      <w:caps/>
      <w:color w:val="000000" w:themeColor="text1"/>
      <w:szCs w:val="26"/>
    </w:rPr>
  </w:style>
  <w:style w:type="paragraph" w:styleId="Style36" w:customStyle="1">
    <w:name w:val="[РусГидро] Пункт"/>
    <w:basedOn w:val="ListParagraph"/>
    <w:qFormat/>
    <w:rsid w:val="008e2467"/>
    <w:pPr>
      <w:numPr>
        <w:ilvl w:val="2"/>
        <w:numId w:val="15"/>
      </w:numPr>
      <w:tabs>
        <w:tab w:val="clear" w:pos="708"/>
        <w:tab w:val="left" w:pos="360" w:leader="none"/>
      </w:tabs>
      <w:suppressAutoHyphens w:val="false"/>
      <w:spacing w:before="120" w:after="0"/>
      <w:ind w:left="720" w:hanging="0"/>
      <w:contextualSpacing w:val="false"/>
      <w:jc w:val="both"/>
      <w:outlineLvl w:val="2"/>
    </w:pPr>
    <w:rPr>
      <w:rFonts w:eastAsia="Times New Roman" w:cs="Times New Roman"/>
      <w:color w:val="000000" w:themeColor="text1"/>
      <w:szCs w:val="26"/>
    </w:rPr>
  </w:style>
  <w:style w:type="paragraph" w:styleId="Style37" w:customStyle="1">
    <w:name w:val="[РусГидро] Подпункт"/>
    <w:basedOn w:val="ListParagraph"/>
    <w:qFormat/>
    <w:rsid w:val="008e2467"/>
    <w:pPr>
      <w:numPr>
        <w:ilvl w:val="3"/>
        <w:numId w:val="15"/>
      </w:numPr>
      <w:tabs>
        <w:tab w:val="clear" w:pos="708"/>
        <w:tab w:val="left" w:pos="360" w:leader="none"/>
      </w:tabs>
      <w:suppressAutoHyphens w:val="false"/>
      <w:spacing w:before="120" w:after="0"/>
      <w:ind w:left="720" w:hanging="0"/>
      <w:contextualSpacing w:val="false"/>
      <w:jc w:val="both"/>
      <w:outlineLvl w:val="3"/>
    </w:pPr>
    <w:rPr>
      <w:rFonts w:eastAsia="Times New Roman" w:cs="Times New Roman"/>
      <w:color w:val="000000" w:themeColor="text1"/>
      <w:szCs w:val="26"/>
    </w:rPr>
  </w:style>
  <w:style w:type="paragraph" w:styleId="Style38" w:customStyle="1">
    <w:name w:val="[РусГидро] Перечисление"/>
    <w:basedOn w:val="ListParagraph"/>
    <w:qFormat/>
    <w:rsid w:val="008e2467"/>
    <w:pPr>
      <w:numPr>
        <w:ilvl w:val="4"/>
        <w:numId w:val="15"/>
      </w:numPr>
      <w:tabs>
        <w:tab w:val="clear" w:pos="708"/>
        <w:tab w:val="left" w:pos="360" w:leader="none"/>
      </w:tabs>
      <w:suppressAutoHyphens w:val="false"/>
      <w:spacing w:before="120" w:after="0"/>
      <w:ind w:left="720" w:hanging="0"/>
      <w:contextualSpacing w:val="false"/>
      <w:jc w:val="both"/>
      <w:outlineLvl w:val="4"/>
    </w:pPr>
    <w:rPr>
      <w:rFonts w:eastAsia="Times New Roman" w:cs="Times New Roman"/>
      <w:color w:val="000000" w:themeColor="text1"/>
      <w:szCs w:val="26"/>
    </w:rPr>
  </w:style>
  <w:style w:type="paragraph" w:styleId="Style39" w:customStyle="1">
    <w:name w:val="[РусГидро] Буллиты"/>
    <w:basedOn w:val="ListParagraph"/>
    <w:qFormat/>
    <w:rsid w:val="008e2467"/>
    <w:pPr>
      <w:numPr>
        <w:ilvl w:val="5"/>
        <w:numId w:val="15"/>
      </w:numPr>
      <w:tabs>
        <w:tab w:val="clear" w:pos="708"/>
        <w:tab w:val="left" w:pos="360" w:leader="none"/>
      </w:tabs>
      <w:suppressAutoHyphens w:val="false"/>
      <w:spacing w:before="120" w:after="0"/>
      <w:ind w:left="720" w:hanging="0"/>
      <w:contextualSpacing w:val="false"/>
      <w:jc w:val="both"/>
      <w:outlineLvl w:val="5"/>
    </w:pPr>
    <w:rPr>
      <w:rFonts w:eastAsia="Times New Roman" w:cs="Times New Roman"/>
      <w:color w:val="000000" w:themeColor="text1"/>
      <w:szCs w:val="26"/>
    </w:rPr>
  </w:style>
  <w:style w:type="paragraph" w:styleId="Style40" w:customStyle="1">
    <w:name w:val="[РусГидро] Текст"/>
    <w:basedOn w:val="ListParagraph"/>
    <w:qFormat/>
    <w:rsid w:val="008e2467"/>
    <w:pPr>
      <w:numPr>
        <w:ilvl w:val="6"/>
        <w:numId w:val="15"/>
      </w:numPr>
      <w:tabs>
        <w:tab w:val="clear" w:pos="708"/>
        <w:tab w:val="left" w:pos="360" w:leader="none"/>
        <w:tab w:val="left" w:pos="1701" w:leader="none"/>
      </w:tabs>
      <w:suppressAutoHyphens w:val="false"/>
      <w:spacing w:before="120" w:after="0"/>
      <w:ind w:left="720" w:hanging="0"/>
      <w:contextualSpacing w:val="false"/>
      <w:jc w:val="both"/>
      <w:outlineLvl w:val="6"/>
    </w:pPr>
    <w:rPr>
      <w:rFonts w:eastAsia="Times New Roman" w:cs="Times New Roman"/>
      <w:color w:val="000000" w:themeColor="text1"/>
      <w:szCs w:val="26"/>
    </w:rPr>
  </w:style>
  <w:style w:type="paragraph" w:styleId="IndexHeading">
    <w:name w:val="Index Heading"/>
    <w:basedOn w:val="Style20"/>
    <w:pPr/>
    <w:rPr/>
  </w:style>
  <w:style w:type="paragraph" w:styleId="TOCHeading">
    <w:name w:val="TOC Heading"/>
    <w:basedOn w:val="Heading1"/>
    <w:next w:val="Normal"/>
    <w:uiPriority w:val="39"/>
    <w:unhideWhenUsed/>
    <w:qFormat/>
    <w:rsid w:val="00e8251e"/>
    <w:pPr>
      <w:suppressAutoHyphens w:val="false"/>
      <w:spacing w:lineRule="auto" w:line="259"/>
      <w:outlineLvl w:val="9"/>
    </w:pPr>
    <w:rPr>
      <w:lang w:eastAsia="ru-RU"/>
    </w:rPr>
  </w:style>
  <w:style w:type="numbering" w:styleId="NoList" w:default="1">
    <w:name w:val="No List"/>
    <w:uiPriority w:val="99"/>
    <w:semiHidden/>
    <w:unhideWhenUsed/>
    <w:qFormat/>
  </w:style>
  <w:style w:type="table" w:default="1" w:styleId="af">
    <w:name w:val="Normal Table"/>
    <w:uiPriority w:val="99"/>
    <w:semiHidden/>
    <w:unhideWhenUsed/>
    <w:tblPr>
      <w:tblCellMar>
        <w:top w:w="0" w:type="dxa"/>
        <w:left w:w="108" w:type="dxa"/>
        <w:bottom w:w="0" w:type="dxa"/>
        <w:right w:w="108" w:type="dxa"/>
      </w:tblCellMar>
    </w:tblPr>
  </w:style>
  <w:style w:type="table" w:customStyle="1" w:styleId="afff6">
    <w:name w:val="[РГ] Таблица"/>
    <w:basedOn w:val="af"/>
    <w:uiPriority w:val="99"/>
    <w:rsid w:val="006173b0"/>
    <w:pPr>
      <w:spacing w:before="60" w:after="60"/>
    </w:p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57" w:type="dxa"/>
        <w:right w:w="57" w:type="dxa"/>
      </w:tblCellMar>
    </w:tblPr>
    <w:tblStylePr w:type="firstRow">
      <w:pPr>
        <w:wordWrap/>
        <w:jc w:val="center"/>
      </w:pPr>
      <w:rPr>
        <w:b/>
      </w:rPr>
      <w:tblPr/>
    </w:tblStylePr>
  </w:style>
  <w:style w:type="table" w:styleId="afff7">
    <w:name w:val="Table Grid"/>
    <w:basedOn w:val="af"/>
    <w:uiPriority w:val="39"/>
    <w:rsid w:val="006173b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hyperlink" Target="https://tender.lot-online.ru/app/EtpDocList/page" TargetMode="External"/><Relationship Id="rId4" Type="http://schemas.openxmlformats.org/officeDocument/2006/relationships/hyperlink" Target="mailto:KuzminAV@rushydro.ru" TargetMode="External"/><Relationship Id="rId5" Type="http://schemas.openxmlformats.org/officeDocument/2006/relationships/header" Target="head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package" Target="embeddings/oleObject1.docx"/><Relationship Id="rId13" Type="http://schemas.openxmlformats.org/officeDocument/2006/relationships/image" Target="media/image1.wmf"/><Relationship Id="rId14" Type="http://schemas.openxmlformats.org/officeDocument/2006/relationships/header" Target="header4.xml"/><Relationship Id="rId15" Type="http://schemas.openxmlformats.org/officeDocument/2006/relationships/header" Target="header5.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header" Target="header6.xml"/><Relationship Id="rId19" Type="http://schemas.openxmlformats.org/officeDocument/2006/relationships/header" Target="header7.xml"/><Relationship Id="rId20" Type="http://schemas.openxmlformats.org/officeDocument/2006/relationships/footer" Target="footer8.xml"/><Relationship Id="rId21" Type="http://schemas.openxmlformats.org/officeDocument/2006/relationships/footer" Target="footer9.xml"/><Relationship Id="rId22" Type="http://schemas.openxmlformats.org/officeDocument/2006/relationships/package" Target="embeddings/oleObject2.docx"/><Relationship Id="rId23" Type="http://schemas.openxmlformats.org/officeDocument/2006/relationships/image" Target="media/image2.wmf"/><Relationship Id="rId24" Type="http://schemas.openxmlformats.org/officeDocument/2006/relationships/package" Target="embeddings/oleObject3.docx"/><Relationship Id="rId25" Type="http://schemas.openxmlformats.org/officeDocument/2006/relationships/image" Target="media/image3.wmf"/><Relationship Id="rId26" Type="http://schemas.openxmlformats.org/officeDocument/2006/relationships/header" Target="header8.xml"/><Relationship Id="rId27" Type="http://schemas.openxmlformats.org/officeDocument/2006/relationships/header" Target="header9.xml"/><Relationship Id="rId28" Type="http://schemas.openxmlformats.org/officeDocument/2006/relationships/footer" Target="footer10.xml"/><Relationship Id="rId29" Type="http://schemas.openxmlformats.org/officeDocument/2006/relationships/footer" Target="footer11.xml"/><Relationship Id="rId30" Type="http://schemas.openxmlformats.org/officeDocument/2006/relationships/header" Target="header10.xml"/><Relationship Id="rId31" Type="http://schemas.openxmlformats.org/officeDocument/2006/relationships/header" Target="header11.xml"/><Relationship Id="rId32" Type="http://schemas.openxmlformats.org/officeDocument/2006/relationships/footer" Target="footer12.xml"/><Relationship Id="rId33" Type="http://schemas.openxmlformats.org/officeDocument/2006/relationships/footer" Target="footer13.xml"/><Relationship Id="rId34" Type="http://schemas.openxmlformats.org/officeDocument/2006/relationships/hyperlink" Target="https://bo.nalog.ru/" TargetMode="External"/><Relationship Id="rId35" Type="http://schemas.openxmlformats.org/officeDocument/2006/relationships/header" Target="header12.xml"/><Relationship Id="rId36" Type="http://schemas.openxmlformats.org/officeDocument/2006/relationships/header" Target="header13.xml"/><Relationship Id="rId37" Type="http://schemas.openxmlformats.org/officeDocument/2006/relationships/footer" Target="footer14.xml"/><Relationship Id="rId38" Type="http://schemas.openxmlformats.org/officeDocument/2006/relationships/footer" Target="footer15.xml"/><Relationship Id="rId39" Type="http://schemas.openxmlformats.org/officeDocument/2006/relationships/header" Target="header14.xml"/><Relationship Id="rId40" Type="http://schemas.openxmlformats.org/officeDocument/2006/relationships/header" Target="header15.xml"/><Relationship Id="rId41" Type="http://schemas.openxmlformats.org/officeDocument/2006/relationships/footer" Target="footer16.xml"/><Relationship Id="rId42" Type="http://schemas.openxmlformats.org/officeDocument/2006/relationships/footer" Target="footer17.xml"/><Relationship Id="rId43" Type="http://schemas.openxmlformats.org/officeDocument/2006/relationships/footnotes" Target="footnotes.xml"/><Relationship Id="rId44" Type="http://schemas.openxmlformats.org/officeDocument/2006/relationships/numbering" Target="numbering.xml"/><Relationship Id="rId45" Type="http://schemas.openxmlformats.org/officeDocument/2006/relationships/fontTable" Target="fontTable.xml"/><Relationship Id="rId46" Type="http://schemas.openxmlformats.org/officeDocument/2006/relationships/settings" Target="settings.xml"/><Relationship Id="rId47" Type="http://schemas.openxmlformats.org/officeDocument/2006/relationships/theme" Target="theme/theme1.xml"/><Relationship Id="rId48"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B2F71-5ACC-4D78-89E5-52045E545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1346</TotalTime>
  <Application>AlterOffice/3.4.0.9$Linux_X86_64 LibreOffice_project/b8daf9e823b1a5463a2f48435ddc2e8696e7d4fc</Application>
  <AppVersion>15.0000</AppVersion>
  <Pages>78</Pages>
  <Words>19100</Words>
  <Characters>132751</Characters>
  <CharactersWithSpaces>150210</CharactersWithSpaces>
  <Paragraphs>1137</Paragraphs>
  <Company>ПАО РусГидро; ИнКонТех</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2023-06-27T10:22:00Z</dcterms:created>
  <dc:creator>Владимир Щербаков</dc:creator>
  <dc:description/>
  <cp:keywords>Типовая форма</cp:keywords>
  <dc:language>ru-RU</dc:language>
  <cp:lastModifiedBy>manahovaen@corp.gidroogk.com</cp:lastModifiedBy>
  <cp:lastPrinted>2025-10-30T06:29:00Z</cp:lastPrinted>
  <dcterms:modified xsi:type="dcterms:W3CDTF">2026-05-28T09:55:36Z</dcterms:modified>
  <cp:revision>208</cp:revision>
  <dc:subject>Альбом типовых форм</dc:subject>
  <dc:title>Документация о закупке</dc:title>
</cp:coreProperties>
</file>

<file path=docProps/custom.xml><?xml version="1.0" encoding="utf-8"?>
<Properties xmlns="http://schemas.openxmlformats.org/officeDocument/2006/custom-properties" xmlns:vt="http://schemas.openxmlformats.org/officeDocument/2006/docPropsVTypes"/>
</file>