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6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spacing w:lineRule="auto" w:line="276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keepNext w:val="true"/>
        <w:keepLines/>
        <w:spacing w:lineRule="auto" w:line="360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keepNext w:val="true"/>
        <w:keepLines/>
        <w:spacing w:lineRule="auto" w:line="276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spacing w:lineRule="auto" w:line="276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numPr>
          <w:ilvl w:val="0"/>
          <w:numId w:val="0"/>
        </w:num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ТЕХНИЧЕСКИЕ ТРЕБОВАНИЯ</w:t>
      </w:r>
    </w:p>
    <w:p>
      <w:pPr>
        <w:pStyle w:val="Normal"/>
        <w:keepNext w:val="true"/>
        <w:keepLine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ОКПД2: 23.91.11 Поставка кругов абразивных </w:t>
      </w:r>
    </w:p>
    <w:p>
      <w:pPr>
        <w:pStyle w:val="Normal"/>
        <w:keepNext w:val="true"/>
        <w:keepLines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для нужд </w:t>
      </w:r>
      <w:r>
        <w:rPr>
          <w:b/>
          <w:bCs/>
          <w:sz w:val="24"/>
          <w:szCs w:val="24"/>
        </w:rPr>
        <w:t xml:space="preserve">Саратовского филиала </w:t>
      </w:r>
    </w:p>
    <w:p>
      <w:pPr>
        <w:pStyle w:val="Normal"/>
        <w:keepNext w:val="true"/>
        <w:keepLines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Лот №______________________</w:t>
      </w:r>
    </w:p>
    <w:p>
      <w:pPr>
        <w:pStyle w:val="Normal"/>
        <w:keepNext w:val="true"/>
        <w:keepLines/>
        <w:jc w:val="center"/>
        <w:rPr>
          <w:rFonts w:eastAsia="Calibri"/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>
      <w:pPr>
        <w:pStyle w:val="Normal"/>
        <w:keepNext w:val="true"/>
        <w:keepLines/>
        <w:jc w:val="center"/>
        <w:rPr>
          <w:rStyle w:val="Style8"/>
          <w:rFonts w:eastAsia="Calibri"/>
          <w:i w:val="false"/>
          <w:i w:val="false"/>
          <w:sz w:val="24"/>
          <w:szCs w:val="24"/>
          <w:shd w:fill="auto" w:val="clear"/>
        </w:rPr>
      </w:pPr>
      <w:r>
        <w:rPr>
          <w:rFonts w:eastAsia="Calibri"/>
          <w:i w:val="false"/>
          <w:sz w:val="24"/>
          <w:szCs w:val="24"/>
          <w:shd w:fill="auto" w:val="clear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Heading1"/>
        <w:numPr>
          <w:ilvl w:val="0"/>
          <w:numId w:val="0"/>
        </w:numPr>
        <w:spacing w:before="0" w:after="60"/>
        <w:ind w:left="4678" w:hanging="411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Heading1"/>
        <w:numPr>
          <w:ilvl w:val="0"/>
          <w:numId w:val="3"/>
        </w:numPr>
        <w:ind w:left="0" w:hanging="0"/>
        <w:jc w:val="center"/>
        <w:rPr>
          <w:lang w:val="ru-RU"/>
        </w:rPr>
      </w:pPr>
      <w:bookmarkStart w:id="0" w:name="_Toc75446568"/>
      <w:bookmarkStart w:id="1" w:name="_Toc46743506"/>
      <w:r>
        <w:rPr>
          <w:lang w:val="ru-RU"/>
        </w:rPr>
        <w:t>Общие сведения</w:t>
      </w:r>
      <w:bookmarkEnd w:id="0"/>
      <w:bookmarkEnd w:id="1"/>
    </w:p>
    <w:p>
      <w:pPr>
        <w:pStyle w:val="Heading4"/>
        <w:numPr>
          <w:ilvl w:val="1"/>
          <w:numId w:val="3"/>
        </w:numPr>
        <w:ind w:left="574" w:hanging="432"/>
        <w:rPr>
          <w:iCs/>
          <w:lang w:val="ru-RU"/>
        </w:rPr>
      </w:pPr>
      <w:r>
        <w:rPr>
          <w:iCs/>
          <w:lang w:val="ru-RU"/>
        </w:rPr>
        <w:t>Наименование закупаемой продукции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ОКПД2: 23.91.11 Поставка кругов абразивных для нужд Саратовского филиала АО «Гидроремонт-ВКК»</w:t>
      </w:r>
      <w:r>
        <w:rPr>
          <w:b/>
          <w:bCs/>
          <w:sz w:val="22"/>
          <w:szCs w:val="22"/>
        </w:rPr>
        <w:t>.</w:t>
      </w:r>
    </w:p>
    <w:p>
      <w:pPr>
        <w:pStyle w:val="Heading4"/>
        <w:numPr>
          <w:ilvl w:val="1"/>
          <w:numId w:val="3"/>
        </w:numPr>
        <w:ind w:left="574" w:hanging="432"/>
        <w:rPr>
          <w:iCs/>
          <w:sz w:val="22"/>
          <w:szCs w:val="22"/>
          <w:lang w:val="ru-RU"/>
        </w:rPr>
      </w:pPr>
      <w:bookmarkStart w:id="2" w:name="_Toc75446569"/>
      <w:bookmarkStart w:id="3" w:name="_Toc46743507"/>
      <w:r>
        <w:rPr>
          <w:iCs/>
          <w:sz w:val="22"/>
          <w:szCs w:val="22"/>
          <w:lang w:val="ru-RU"/>
        </w:rPr>
        <w:t xml:space="preserve">Цель </w:t>
      </w:r>
      <w:bookmarkEnd w:id="3"/>
      <w:r>
        <w:rPr>
          <w:iCs/>
          <w:sz w:val="22"/>
          <w:szCs w:val="22"/>
          <w:lang w:val="ru-RU"/>
        </w:rPr>
        <w:t xml:space="preserve">использования закупаемой продукции </w:t>
      </w:r>
      <w:bookmarkEnd w:id="2"/>
      <w:r>
        <w:rPr>
          <w:iCs/>
          <w:sz w:val="22"/>
          <w:szCs w:val="22"/>
          <w:lang w:val="ru-RU"/>
        </w:rPr>
        <w:t xml:space="preserve"> </w:t>
      </w:r>
    </w:p>
    <w:p>
      <w:pPr>
        <w:pStyle w:val="Normal"/>
        <w:widowControl w:val="false"/>
        <w:shd w:val="clear" w:color="auto" w:fill="FFFFFF" w:themeFill="background1"/>
        <w:tabs>
          <w:tab w:val="clear" w:pos="708"/>
          <w:tab w:val="left" w:pos="426" w:leader="none"/>
        </w:tabs>
        <w:spacing w:before="120" w:after="0"/>
        <w:jc w:val="both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1.2.2. Продукция закупается для исполнения следующих договоров Филиала:</w:t>
      </w:r>
    </w:p>
    <w:p>
      <w:pPr>
        <w:pStyle w:val="Normal"/>
        <w:widowControl w:val="false"/>
        <w:shd w:val="clear" w:color="auto" w:fill="FFFFFF" w:themeFill="background1"/>
        <w:tabs>
          <w:tab w:val="clear" w:pos="708"/>
          <w:tab w:val="left" w:pos="426" w:leader="none"/>
        </w:tabs>
        <w:spacing w:before="120" w:after="0"/>
        <w:jc w:val="both"/>
        <w:rPr>
          <w:sz w:val="22"/>
          <w:szCs w:val="22"/>
          <w:lang w:eastAsia="x-none"/>
        </w:rPr>
      </w:pPr>
      <w:r>
        <w:rPr/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rStyle w:val="Style8"/>
          <w:b w:val="false"/>
          <w:bCs/>
          <w:i w:val="false"/>
          <w:i w:val="false"/>
          <w:color w:val="000000" w:themeColor="text1"/>
          <w:sz w:val="22"/>
          <w:szCs w:val="22"/>
          <w:shd w:fill="FFFFFF" w:val="clear"/>
        </w:rPr>
      </w:pPr>
      <w:r>
        <w:rPr>
          <w:b w:val="false"/>
          <w:bCs/>
          <w:i w:val="false"/>
          <w:color w:val="000000" w:themeColor="text1"/>
          <w:sz w:val="22"/>
          <w:szCs w:val="22"/>
          <w:shd w:fill="FFFFFF" w:val="clear"/>
        </w:rPr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  <w:lang w:val="ru-RU"/>
        </w:rPr>
      </w:pPr>
      <w:bookmarkStart w:id="4" w:name="_Toc75446573"/>
      <w:bookmarkStart w:id="5" w:name="_Toc51339693"/>
      <w:r>
        <w:rPr>
          <w:iCs/>
          <w:lang w:val="ru-RU"/>
        </w:rPr>
        <w:t>Требования к продукции</w:t>
      </w:r>
      <w:bookmarkEnd w:id="4"/>
      <w:bookmarkEnd w:id="5"/>
    </w:p>
    <w:p>
      <w:pPr>
        <w:pStyle w:val="Heading4"/>
        <w:numPr>
          <w:ilvl w:val="1"/>
          <w:numId w:val="3"/>
        </w:numPr>
        <w:rPr>
          <w:lang w:val="ru-RU"/>
        </w:rPr>
      </w:pPr>
      <w:bookmarkStart w:id="6" w:name="_Toc75446574"/>
      <w:r>
        <w:rPr>
          <w:lang w:val="ru-RU"/>
        </w:rPr>
        <w:t>Требования к объемам и срокам поставки</w:t>
      </w:r>
      <w:bookmarkEnd w:id="6"/>
    </w:p>
    <w:p>
      <w:pPr>
        <w:pStyle w:val="Heading3"/>
        <w:numPr>
          <w:ilvl w:val="2"/>
          <w:numId w:val="3"/>
        </w:numPr>
        <w:rPr>
          <w:lang w:val="ru-RU"/>
        </w:rPr>
      </w:pPr>
      <w:bookmarkStart w:id="7" w:name="_Toc75446575"/>
      <w:r>
        <w:rPr>
          <w:lang w:val="ru-RU"/>
        </w:rPr>
        <w:t>Перечень и объем закупаемой продукции</w:t>
      </w:r>
      <w:bookmarkEnd w:id="7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  <w:lang w:val="ru-RU"/>
        </w:rPr>
      </w:pPr>
      <w:bookmarkStart w:id="8" w:name="_Toc75446576"/>
      <w:bookmarkStart w:id="9" w:name="_Toc51339695"/>
      <w:r>
        <w:rPr>
          <w:sz w:val="24"/>
          <w:szCs w:val="24"/>
          <w:lang w:val="ru-RU"/>
        </w:rPr>
        <w:t xml:space="preserve">Таблица 1.1 Перечень </w:t>
      </w:r>
      <w:bookmarkEnd w:id="9"/>
      <w:r>
        <w:rPr>
          <w:sz w:val="24"/>
          <w:szCs w:val="24"/>
          <w:lang w:val="ru-RU"/>
        </w:rPr>
        <w:t>и объем закупаемой продукции</w:t>
      </w:r>
      <w:bookmarkEnd w:id="8"/>
    </w:p>
    <w:tbl>
      <w:tblPr>
        <w:tblW w:w="10229" w:type="dxa"/>
        <w:jc w:val="left"/>
        <w:tblInd w:w="108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000" w:noHBand="0" w:noVBand="0" w:firstColumn="0" w:lastRow="0" w:lastColumn="0" w:firstRow="0"/>
      </w:tblPr>
      <w:tblGrid>
        <w:gridCol w:w="595"/>
        <w:gridCol w:w="4391"/>
        <w:gridCol w:w="1480"/>
        <w:gridCol w:w="1019"/>
        <w:gridCol w:w="2744"/>
      </w:tblGrid>
      <w:tr>
        <w:trPr>
          <w:tblHeader w:val="true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Круг отрезной по металлу 230×3×22мм 14А </w:t>
            </w:r>
          </w:p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Luga - Abrasiv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47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отрезной по металлу 230×2,5×22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Диск отрезной по металлу 180×2,5×22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40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Круг отрезной по металлу 125×1,6×22.23 мм </w:t>
            </w:r>
          </w:p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Luga-Abrasiv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Диск отрезной по металлу 125×1.0×22.23 мм </w:t>
            </w:r>
          </w:p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Kranz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отрезной по металлу 125×1,6×22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388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отрезной по металлу 125×22.2×1.2 мм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40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шлифовальный абразивный по металлу 230×6×22,2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Круг шлифовальный </w:t>
            </w:r>
          </w:p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180×10×22.2 мм </w:t>
            </w:r>
          </w:p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A24 R BF 80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шлифовальный 180×6×22,2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44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шлифовальный 180×6×22 мм</w:t>
            </w:r>
          </w:p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Luga-Abrasiv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шлифовальный абразивный чашечный 150×50×32 мм 6 В 32 2 электрокорунд нормальный 14А 40 O на бакелитовой связке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шлифовальный ПП 150×32×20 мм 14А F60 ВАЗ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зачистной 230×6×22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зачистной 125×6×22,23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228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>
          <w:trHeight w:val="843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зачистной 125×6×22,23</w:t>
            </w:r>
          </w:p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Luga-Abrasiv А BF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Круг лепестковый 150×30×32 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лепестковый радиальный 150×30×32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лепестковый торцевой по металлу 125 мм Р36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Круг алмазный 230×2,4×22,2 мм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227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Диск отрезной алмазный по бетону/кирпичу сегментный 230×2×22.2 мм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0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 w:themeColor="text1"/>
                <w:sz w:val="22"/>
                <w:szCs w:val="22"/>
              </w:rPr>
            </w:pPr>
            <w:r>
              <w:rPr/>
            </w:r>
          </w:p>
        </w:tc>
      </w:tr>
    </w:tbl>
    <w:p>
      <w:pPr>
        <w:pStyle w:val="Heading3"/>
        <w:numPr>
          <w:ilvl w:val="2"/>
          <w:numId w:val="3"/>
        </w:numPr>
        <w:rPr>
          <w:lang w:val="ru-RU"/>
        </w:rPr>
      </w:pPr>
      <w:bookmarkStart w:id="10" w:name="_GoBack"/>
      <w:bookmarkEnd w:id="10"/>
      <w:r>
        <w:rPr>
          <w:lang w:val="ru-RU"/>
        </w:rPr>
        <w:t xml:space="preserve">Требования к срокам поставки продукции </w:t>
      </w:r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  <w:lang w:val="ru-RU"/>
        </w:rPr>
      </w:pPr>
      <w:bookmarkStart w:id="11" w:name="_Toc75446579"/>
      <w:bookmarkStart w:id="12" w:name="_Toc51339697"/>
      <w:bookmarkStart w:id="13" w:name="_Toc50125127"/>
      <w:bookmarkStart w:id="14" w:name="_Toc50125126"/>
      <w:bookmarkEnd w:id="14"/>
      <w:r>
        <w:rPr>
          <w:sz w:val="24"/>
          <w:szCs w:val="24"/>
          <w:lang w:val="ru-RU"/>
        </w:rPr>
        <w:t xml:space="preserve">Таблица 2.1 </w:t>
      </w:r>
      <w:bookmarkStart w:id="15" w:name="_Hlk50465284"/>
      <w:r>
        <w:rPr>
          <w:sz w:val="24"/>
          <w:szCs w:val="24"/>
          <w:lang w:val="ru-RU"/>
        </w:rPr>
        <w:t xml:space="preserve">Требования по срокам </w:t>
      </w:r>
      <w:bookmarkEnd w:id="12"/>
      <w:bookmarkEnd w:id="13"/>
      <w:bookmarkEnd w:id="15"/>
      <w:r>
        <w:rPr>
          <w:sz w:val="24"/>
          <w:szCs w:val="24"/>
          <w:lang w:val="ru-RU"/>
        </w:rPr>
        <w:t>поставки продукции</w:t>
      </w:r>
      <w:bookmarkEnd w:id="11"/>
      <w:r>
        <w:rPr>
          <w:sz w:val="24"/>
          <w:szCs w:val="24"/>
          <w:lang w:val="ru-RU"/>
        </w:rPr>
        <w:t xml:space="preserve"> </w:t>
      </w:r>
    </w:p>
    <w:tbl>
      <w:tblPr>
        <w:tblW w:w="9781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5"/>
        <w:gridCol w:w="3547"/>
        <w:gridCol w:w="2551"/>
        <w:gridCol w:w="2977"/>
      </w:tblGrid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 / партии продукции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началу срока поставки продукции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2"/>
              <w:keepNext w:val="false"/>
              <w:widowControl w:val="false"/>
              <w:spacing w:before="40" w:after="4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2"/>
              <w:keepNext w:val="false"/>
              <w:widowControl w:val="false"/>
              <w:spacing w:before="40" w:after="40"/>
              <w:jc w:val="center"/>
              <w:rPr>
                <w:szCs w:val="22"/>
              </w:rPr>
            </w:pPr>
            <w:bookmarkStart w:id="16" w:name="_Toc46743510"/>
            <w:r>
              <w:rPr>
                <w:b/>
                <w:szCs w:val="22"/>
              </w:rPr>
              <w:t>4</w:t>
            </w:r>
            <w:bookmarkEnd w:id="16"/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</w:rPr>
              <w:t>Круги абразивные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даты подписания договора сторонами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30 календарных дней с даты подписания договора сторонами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default" r:id="rId5"/>
          <w:type w:val="nextPage"/>
          <w:pgSz w:w="11906" w:h="16838"/>
          <w:pgMar w:left="1134" w:right="851" w:gutter="0" w:header="680" w:top="1134" w:footer="1276" w:bottom="1881"/>
          <w:pgNumType w:fmt="decimal"/>
          <w:formProt w:val="false"/>
          <w:titlePg/>
          <w:textDirection w:val="lrTb"/>
          <w:docGrid w:type="default" w:linePitch="360" w:charSpace="0"/>
        </w:sect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keepNext w:val="true"/>
        <w:numPr>
          <w:ilvl w:val="0"/>
          <w:numId w:val="9"/>
        </w:numPr>
        <w:spacing w:before="120" w:after="0"/>
        <w:contextualSpacing w:val="false"/>
        <w:outlineLvl w:val="3"/>
        <w:rPr>
          <w:rFonts w:eastAsia="Times New Roman"/>
          <w:b/>
          <w:bCs/>
          <w:vanish/>
        </w:rPr>
      </w:pPr>
      <w:r>
        <w:rPr>
          <w:rFonts w:eastAsia="Times New Roman"/>
          <w:b/>
          <w:bCs/>
          <w:vanish/>
        </w:rPr>
      </w:r>
    </w:p>
    <w:p>
      <w:pPr>
        <w:pStyle w:val="ListParagraph"/>
        <w:keepNext w:val="true"/>
        <w:numPr>
          <w:ilvl w:val="0"/>
          <w:numId w:val="9"/>
        </w:numPr>
        <w:spacing w:before="120" w:after="0"/>
        <w:contextualSpacing w:val="false"/>
        <w:outlineLvl w:val="3"/>
        <w:rPr>
          <w:rFonts w:eastAsia="Times New Roman"/>
          <w:b/>
          <w:bCs/>
          <w:vanish/>
        </w:rPr>
      </w:pPr>
      <w:r>
        <w:rPr>
          <w:rFonts w:eastAsia="Times New Roman"/>
          <w:b/>
          <w:bCs/>
          <w:vanish/>
        </w:rPr>
      </w:r>
    </w:p>
    <w:p>
      <w:pPr>
        <w:pStyle w:val="ListParagraph"/>
        <w:keepNext w:val="true"/>
        <w:numPr>
          <w:ilvl w:val="1"/>
          <w:numId w:val="9"/>
        </w:numPr>
        <w:spacing w:before="120" w:after="0"/>
        <w:contextualSpacing w:val="false"/>
        <w:outlineLvl w:val="3"/>
        <w:rPr>
          <w:rFonts w:eastAsia="Times New Roman"/>
          <w:b/>
          <w:bCs/>
          <w:vanish/>
        </w:rPr>
      </w:pPr>
      <w:r>
        <w:rPr>
          <w:rFonts w:eastAsia="Times New Roman"/>
          <w:b/>
          <w:bCs/>
          <w:vanish/>
        </w:rPr>
      </w:r>
    </w:p>
    <w:p>
      <w:pPr>
        <w:pStyle w:val="Normal"/>
        <w:keepNext w:val="true"/>
        <w:numPr>
          <w:ilvl w:val="1"/>
          <w:numId w:val="9"/>
        </w:numPr>
        <w:spacing w:before="120" w:after="0"/>
        <w:outlineLvl w:val="3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Требования к качеству продукции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360"/>
        <w:outlineLvl w:val="0"/>
        <w:rPr>
          <w:b/>
          <w:sz w:val="24"/>
          <w:szCs w:val="24"/>
        </w:rPr>
      </w:pPr>
      <w:bookmarkStart w:id="17" w:name="__RefHeading___Toc10408_3983621803"/>
      <w:bookmarkEnd w:id="17"/>
      <w:r>
        <w:rPr>
          <w:b/>
          <w:sz w:val="24"/>
          <w:szCs w:val="24"/>
        </w:rPr>
        <w:t>Таблица 3. Требования к продукции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36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Наименование продукции: (позиция №1-21 Таблицы 1.1. «Перечень и объем закупаемой продукции»): 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36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ОКПД2: 23.91.11 Поставка кругов абразивных для нужд Саратовского филиала АО «Гидроремонт-ВКК»</w:t>
      </w:r>
    </w:p>
    <w:tbl>
      <w:tblPr>
        <w:tblStyle w:val="2e"/>
        <w:tblW w:w="15050" w:type="dxa"/>
        <w:jc w:val="left"/>
        <w:tblInd w:w="113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noHBand="0" w:noVBand="1" w:firstColumn="1" w:lastRow="0" w:lastColumn="0" w:firstRow="1"/>
      </w:tblPr>
      <w:tblGrid>
        <w:gridCol w:w="963"/>
        <w:gridCol w:w="3314"/>
        <w:gridCol w:w="2835"/>
        <w:gridCol w:w="2837"/>
        <w:gridCol w:w="2407"/>
        <w:gridCol w:w="2693"/>
      </w:tblGrid>
      <w:tr>
        <w:trPr>
          <w:trHeight w:val="583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п/п</w:t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 продукции</w:t>
            </w:r>
          </w:p>
        </w:tc>
        <w:tc>
          <w:tcPr>
            <w:tcW w:w="2835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2837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Требование заказчика</w:t>
            </w:r>
          </w:p>
        </w:tc>
        <w:tc>
          <w:tcPr>
            <w:tcW w:w="510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</w:tr>
      <w:tr>
        <w:trPr>
          <w:trHeight w:val="991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835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837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требованием/указание характеристик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</w:tr>
      <w:tr>
        <w:trPr>
          <w:trHeight w:val="31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331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</w:tr>
      <w:tr>
        <w:trPr>
          <w:trHeight w:val="297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отрезной по металлу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230×3×22,23 мм 14А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Luga – Abrasiv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47 шт.</w:t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Отрезной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7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230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37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Тип абразива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14А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31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Марка производителя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Luga - Abrasiv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31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31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31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отрезной по металлу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230×2,5×22,23 мм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5 шт.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Отрезной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230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2,5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Диск отрезной по металлу 180×2,5×22,23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40 шт.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Отрезной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180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2,5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отрезной по металлу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125×1,6×22.23 мм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Luga-Abrasiv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21 шт.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Отрезной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125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Марка производителя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Luga - Abrasiv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1,6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Диск отрезной по металлу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125×1.0×22.23 мм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Kranz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10 шт.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Отрезной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125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Марка производителя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Kranz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1,0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Круг отрезной по металлу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125×1,6×22,23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388 шт.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Отрезной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125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1,6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отрезной по металлу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125×22.2×1.2 мм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40 шт.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Отрезной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125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1,2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Круг шлифовальный абразивный по металлу 230×6×22,2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8 шт.</w:t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шлифовальный абразивный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125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1,2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шлифовальный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180×10×22.2 мм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A24 R BF 80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3 шт.</w:t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шлифовальный абразивный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180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Марка абразивного материала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А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Зернистость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24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Твердость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en-US" w:eastAsia="ru-RU" w:bidi="ar-SA"/>
              </w:rPr>
              <w:t>R</w:t>
            </w: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(твёрдые Т1)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материал связки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en-US" w:eastAsia="ru-RU" w:bidi="ar-SA"/>
              </w:rPr>
              <w:t>BF</w:t>
            </w: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(бакелит усиленный с армированием)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шлифовальный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180×6×22,2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44 шт.</w:t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шлифовальный абразивный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180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шлифовальный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180×6×22,22 мм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Luga - Abrasiv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5 шт.</w:t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Отрезной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180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Марка производителя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Luga-Abrasiv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Круг шлифовальный абразивный чашечный 150×50×32 мм 6 В 2 электрокорунд нормальный 14А 40 O на бакелитовой связке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6 шт.</w:t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шлифовальный абразивный чашечный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50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32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Форма круга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6 (чашечный с двухсторонним коническим профилем)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Марка абразивного материала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14А (нормальный электрокорунд)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Зернистость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40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Твердость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О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Материал связки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en-US" w:eastAsia="ru-RU" w:bidi="ar-SA"/>
              </w:rPr>
              <w:t>B</w:t>
            </w: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 (бакелитовая)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ГОСТ Р 52781-2007;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Круг шлифовальный ПП 150×20×32 мм 14А F60 ВАЗ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10 шт.</w:t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шлифовальный абразивный чашечный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32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Марка производителя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ВАЗ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Профиль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прямой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Марка абразивного материала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14А (нормальный электрокорунд)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Зернистость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60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ГОСТ Р 52781-2007;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зачистной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230×6×22,23</w:t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Зачистной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230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6,0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зачистной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125×6×22,23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228 шт.</w:t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Зачистной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125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6,0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зачистной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125×6×22,23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Luga-Abrasiv А BF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29 шт.</w:t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Зачистной 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125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22,23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6,0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Марка производителя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Luga-Abrasiv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лепестковый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150×30×32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25 шт.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32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Тип диска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КЛТ1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Зернистость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Р40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ГОСТ 22775-77;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Круг лепестковый радиальный 150×30×32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10 шт.</w:t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150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32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Тип диска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КЛР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Зернистость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Р60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ГОСТ 22775-77;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Круг лепестковый торцевой по металлу 125 мм Р36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60 шт.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 металлу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125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Тип диска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КЛТ1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Зернистость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Р36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ГОСТ 22775-77;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 xml:space="preserve">Круг алмазный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230×2,4×22,2 мм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12 шт.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Универсальный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230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2,4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Тип диска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отрезной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Тип реза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Сухая и влажная резка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Материал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Сталь, алмазный сегмент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Диск отрезной алмазный по бетону/кирпичу сегментный 230×2×22.2 мм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  <w:t>28 шт.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Назначение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Универсальный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Диаметр, мм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230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Посадочный диаметр, мм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22,2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Толщина, мм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2,0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Тип диска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отрезной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Тип реза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Сухая и влажная резка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Материал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Сталь, алмазный сегмент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560" w:hRule="atLeast"/>
        </w:trPr>
        <w:tc>
          <w:tcPr>
            <w:tcW w:w="96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Соответствие стандартам</w:t>
            </w:r>
          </w:p>
        </w:tc>
        <w:tc>
          <w:tcPr>
            <w:tcW w:w="28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 ТС 010/2011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- // -</w:t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2.</w:t>
            </w:r>
          </w:p>
        </w:tc>
        <w:tc>
          <w:tcPr>
            <w:tcW w:w="14086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качеству продукции</w:t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2.1.</w:t>
            </w:r>
          </w:p>
        </w:tc>
        <w:tc>
          <w:tcPr>
            <w:tcW w:w="331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новизне поставляемого товара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1C1C1C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Продукция должна быть новой, ранее не использованной.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Согласие с требованием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- // -</w:t>
            </w:r>
          </w:p>
        </w:tc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3.</w:t>
            </w:r>
          </w:p>
        </w:tc>
        <w:tc>
          <w:tcPr>
            <w:tcW w:w="14086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доставке, транспортировке, приемке</w:t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3.1.</w:t>
            </w:r>
          </w:p>
        </w:tc>
        <w:tc>
          <w:tcPr>
            <w:tcW w:w="331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Условия поставки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Поставщик обязан обеспечить поставку оборудования своими силами и средствами, а при необходимости привлекать для исполнения своих обязательств третьих лиц. При привлечении третьих лиц (соисполнителей) Поставщик несет ответственность перед Заказчиком за неисполнение или ненадлежащее исполнение обязательств, привлеченными к исполнению договора третьими лицами.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Согласие с требованием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- // -</w:t>
            </w:r>
          </w:p>
        </w:tc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3.2.</w:t>
            </w:r>
          </w:p>
        </w:tc>
        <w:tc>
          <w:tcPr>
            <w:tcW w:w="331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Место поставки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РФ, 413865, Саратовская область, г. Балаково, ул. Заовражная, д. 48.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Согласие с требованием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- // -</w:t>
            </w:r>
          </w:p>
        </w:tc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3.3.</w:t>
            </w:r>
          </w:p>
        </w:tc>
        <w:tc>
          <w:tcPr>
            <w:tcW w:w="331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Поставка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Поставка производится в рабочие дни пн-чт с 8-00 до 12-00 и с 13-00 до 16-00 (по местному времени), в пятницу с 8-00 до 12-00 и с 13-00 до 15-00 (по местному времени).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Информация о транспорте, на котором осуществляется доставка (только верхняя разгрузка), предоставляется покупателю не позднее, чем за 2 рабочих дня, предшествующих дню поставки.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Согласие с требованием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- // -</w:t>
            </w:r>
          </w:p>
        </w:tc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3.4.</w:t>
            </w:r>
          </w:p>
        </w:tc>
        <w:tc>
          <w:tcPr>
            <w:tcW w:w="331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Приемка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Соответствие продукции и представленных документов договору и техническим требованиям.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Согласие с требованием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- // -</w:t>
            </w:r>
          </w:p>
        </w:tc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4.</w:t>
            </w:r>
          </w:p>
        </w:tc>
        <w:tc>
          <w:tcPr>
            <w:tcW w:w="14086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гарантиям, гарантийному и послегарантийному обслуживанию</w:t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4.1.</w:t>
            </w:r>
          </w:p>
        </w:tc>
        <w:tc>
          <w:tcPr>
            <w:tcW w:w="331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гарантийному сроку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Устанавливаемый гарантийный срок на продукцию - не менее 12 месяцев, исчисляемый с даты подписания Сторонами соответствующей товарной накладной по форме ТОРГ-12 или Универсального передаточного документа (УПД).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Условия выполнения гарантийных обязательств поставщика или производителя не должны включать требование привлечения, специально аккредитованных производителем организаций или специалистов.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Согласие с требованием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- // -</w:t>
            </w:r>
          </w:p>
        </w:tc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5.</w:t>
            </w:r>
          </w:p>
        </w:tc>
        <w:tc>
          <w:tcPr>
            <w:tcW w:w="14086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комплектации и документам, поставляемым вместе с продукцией</w:t>
            </w:r>
          </w:p>
        </w:tc>
      </w:tr>
      <w:tr>
        <w:trPr>
          <w:trHeight w:val="295" w:hRule="atLeast"/>
        </w:trPr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5.1</w:t>
            </w:r>
          </w:p>
        </w:tc>
        <w:tc>
          <w:tcPr>
            <w:tcW w:w="331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документации продукции</w:t>
            </w:r>
          </w:p>
        </w:tc>
        <w:tc>
          <w:tcPr>
            <w:tcW w:w="28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Вся продукция при поставке должна быть укомплектована документами, удостоверяющими качество продукции, паспортом, сертификатом соответствия и гарантийные обязательства производителя, выданными производителем продукции.</w:t>
            </w:r>
          </w:p>
        </w:tc>
        <w:tc>
          <w:tcPr>
            <w:tcW w:w="2837" w:type="dxa"/>
            <w:tcBorders/>
            <w:shd w:color="auto" w:fill="auto" w:val="clear"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Согласие с требованием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Heading2"/>
              <w:widowControl/>
              <w:numPr>
                <w:ilvl w:val="0"/>
              </w:numPr>
              <w:suppressAutoHyphens w:val="true"/>
              <w:spacing w:before="0" w:after="60"/>
              <w:ind w:left="0" w:hanging="0"/>
              <w:jc w:val="center"/>
              <w:rPr>
                <w:b w:val="false"/>
                <w:color w:val="000000"/>
                <w:lang w:eastAsia="ru-RU"/>
              </w:rPr>
            </w:pPr>
            <w:r>
              <w:rPr>
                <w:rFonts w:cs="Times New Roman"/>
                <w:b w:val="false"/>
                <w:color w:val="000000"/>
                <w:kern w:val="0"/>
                <w:lang w:eastAsia="ru-RU" w:bidi="ar-SA"/>
              </w:rPr>
              <w:t>- // -</w:t>
            </w:r>
          </w:p>
        </w:tc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</w:r>
    </w:p>
    <w:p>
      <w:pPr>
        <w:pStyle w:val="Normal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</w:r>
    </w:p>
    <w:p>
      <w:pPr>
        <w:pStyle w:val="Normal"/>
        <w:jc w:val="both"/>
        <w:rPr>
          <w:b/>
          <w:bCs/>
          <w:iCs/>
          <w:sz w:val="24"/>
          <w:szCs w:val="24"/>
        </w:rPr>
      </w:pPr>
      <w:r>
        <w:rPr/>
      </w:r>
    </w:p>
    <w:sectPr>
      <w:headerReference w:type="even" r:id="rId6"/>
      <w:headerReference w:type="default" r:id="rId7"/>
      <w:headerReference w:type="first" r:id="rId8"/>
      <w:footerReference w:type="default" r:id="rId9"/>
      <w:footerReference w:type="first" r:id="rId10"/>
      <w:type w:val="nextPage"/>
      <w:pgSz w:orient="landscape" w:w="16838" w:h="11906"/>
      <w:pgMar w:left="1134" w:right="992" w:gutter="0" w:header="680" w:top="851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TimesNewRomanPSMT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Врез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11</w:t>
    </w:r>
    <w:r>
      <w:rPr/>
      <w:fldChar w:fldCharType="end"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center"/>
      <w:pPr>
        <w:tabs>
          <w:tab w:val="num" w:pos="0"/>
        </w:tabs>
        <w:ind w:left="1428" w:hanging="360"/>
      </w:pPr>
      <w:rPr>
        <w:kern w:val="0"/>
        <w14:cntxtAlts>
          <w14:cntxtAlts/>
        </w14:cntxtAlts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  <w:rPr/>
    </w:lvl>
  </w:abstractNum>
  <w:abstractNum w:abstractNumId="8"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kern w:val="0"/>
        <w14:cntxtAlts>
          <w14:cntxtAlts/>
        </w14:cntxtAlts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zh-TW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 w:qFormat="1"/>
    <w:lsdException w:name="HTML Top of Form" w:semiHidden="1" w:unhideWhenUsed="1"/>
    <w:lsdException w:name="HTML Bottom of Form" w:semiHidden="1" w:unhideWhenUsed="1"/>
    <w:lsdException w:name="Normal (Web)" w:uiPriority="99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qFormat="1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numPr>
        <w:ilvl w:val="0"/>
        <w:numId w:val="0"/>
      </w:numPr>
      <w:tabs>
        <w:tab w:val="clear" w:pos="708"/>
        <w:tab w:val="left" w:pos="0" w:leader="none"/>
      </w:tabs>
      <w:ind w:left="432" w:hanging="432"/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sid w:val="00c64068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rsid w:val="006c2f3f"/>
    <w:rPr>
      <w:color w:val="0000FF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7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5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33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sid w:val="00c64068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Fontstyle01" w:customStyle="1">
    <w:name w:val="fontstyle01"/>
    <w:qFormat/>
    <w:rsid w:val="0016574b"/>
    <w:rPr>
      <w:rFonts w:ascii="TimesNewRomanPSMT" w:hAnsi="TimesNewRomanPSMT"/>
      <w:b w:val="false"/>
      <w:bCs w:val="false"/>
      <w:i w:val="false"/>
      <w:iCs w:val="false"/>
      <w:color w:val="000000"/>
      <w:sz w:val="24"/>
      <w:szCs w:val="24"/>
    </w:rPr>
  </w:style>
  <w:style w:type="character" w:styleId="Typography" w:customStyle="1">
    <w:name w:val="typography"/>
    <w:basedOn w:val="DefaultParagraphFont"/>
    <w:qFormat/>
    <w:rsid w:val="00d012af"/>
    <w:rPr/>
  </w:style>
  <w:style w:type="character" w:styleId="FootnoteCharacters" w:customStyle="1">
    <w:name w:val="Footnote Characters"/>
    <w:qFormat/>
    <w:rsid w:val="00c64068"/>
    <w:rPr>
      <w:vertAlign w:val="superscript"/>
    </w:rPr>
  </w:style>
  <w:style w:type="character" w:styleId="14" w:customStyle="1">
    <w:name w:val="Гиперссылка1"/>
    <w:uiPriority w:val="99"/>
    <w:qFormat/>
    <w:rsid w:val="00c64068"/>
    <w:rPr>
      <w:color w:val="0000FF"/>
      <w:u w:val="single"/>
    </w:rPr>
  </w:style>
  <w:style w:type="character" w:styleId="EndnoteCharacters" w:customStyle="1">
    <w:name w:val="Endnote Characters"/>
    <w:basedOn w:val="DefaultParagraphFont"/>
    <w:qFormat/>
    <w:rsid w:val="00c64068"/>
    <w:rPr>
      <w:vertAlign w:val="superscript"/>
    </w:rPr>
  </w:style>
  <w:style w:type="character" w:styleId="Style14" w:customStyle="1">
    <w:name w:val="Основной текст_"/>
    <w:link w:val="112"/>
    <w:uiPriority w:val="99"/>
    <w:qFormat/>
    <w:locked/>
    <w:rsid w:val="00c64068"/>
    <w:rPr>
      <w:sz w:val="28"/>
      <w:shd w:fill="FFFFFF" w:val="clear"/>
    </w:rPr>
  </w:style>
  <w:style w:type="character" w:styleId="15" w:customStyle="1">
    <w:name w:val="Просмотренная гиперссылка1"/>
    <w:basedOn w:val="DefaultParagraphFont"/>
    <w:uiPriority w:val="99"/>
    <w:semiHidden/>
    <w:unhideWhenUsed/>
    <w:qFormat/>
    <w:rsid w:val="00c64068"/>
    <w:rPr>
      <w:color w:val="954F72"/>
      <w:u w:val="single"/>
    </w:rPr>
  </w:style>
  <w:style w:type="character" w:styleId="Style15" w:customStyle="1">
    <w:name w:val="Ссылка указателя"/>
    <w:qFormat/>
    <w:rsid w:val="00c64068"/>
    <w:rPr/>
  </w:style>
  <w:style w:type="character" w:styleId="Style16" w:customStyle="1">
    <w:name w:val="Символ нумерации"/>
    <w:qFormat/>
    <w:rsid w:val="00c64068"/>
    <w:rPr/>
  </w:style>
  <w:style w:type="character" w:styleId="Style17" w:customStyle="1">
    <w:name w:val="Маркеры"/>
    <w:qFormat/>
    <w:rsid w:val="00c64068"/>
    <w:rPr>
      <w:rFonts w:ascii="OpenSymbol" w:hAnsi="OpenSymbol" w:eastAsia="OpenSymbol" w:cs="OpenSymbol"/>
    </w:rPr>
  </w:style>
  <w:style w:type="character" w:styleId="Style18" w:customStyle="1">
    <w:name w:val="Заголовок Знак"/>
    <w:basedOn w:val="DefaultParagraphFont"/>
    <w:qFormat/>
    <w:rsid w:val="00c64068"/>
    <w:rPr>
      <w:rFonts w:ascii="Liberation Sans" w:hAnsi="Liberation Sans" w:eastAsia="Arial Unicode MS" w:cs="Arial Unicode MS"/>
      <w:sz w:val="28"/>
      <w:szCs w:val="28"/>
    </w:rPr>
  </w:style>
  <w:style w:type="character" w:styleId="P-value" w:customStyle="1">
    <w:name w:val="p-value"/>
    <w:basedOn w:val="DefaultParagraphFont"/>
    <w:qFormat/>
    <w:rsid w:val="0037311a"/>
    <w:rPr/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rsid w:val="00c64068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link w:val="Style18"/>
    <w:qFormat/>
    <w:rsid w:val="00c64068"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Style21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22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3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rsid w:val="00d561d9"/>
    <w:pPr/>
    <w:rPr>
      <w:sz w:val="20"/>
      <w:szCs w:val="20"/>
    </w:rPr>
  </w:style>
  <w:style w:type="paragraph" w:styleId="16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7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4" w:customStyle="1">
    <w:name w:val="Колонтитул"/>
    <w:basedOn w:val="Normal"/>
    <w:qFormat/>
    <w:rsid w:val="00c64068"/>
    <w:pPr/>
    <w:rPr/>
  </w:style>
  <w:style w:type="paragraph" w:styleId="Header">
    <w:name w:val="Header"/>
    <w:basedOn w:val="Normal"/>
    <w:link w:val="Style10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5" w:customStyle="1">
    <w:name w:val="Подпункт"/>
    <w:basedOn w:val="Normal"/>
    <w:link w:val="11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421b6b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left="280" w:hanging="0"/>
    </w:pPr>
    <w:rPr>
      <w:rFonts w:cs="Calibri" w:cstheme="minorHAnsi"/>
      <w:sz w:val="20"/>
      <w:szCs w:val="20"/>
    </w:rPr>
  </w:style>
  <w:style w:type="paragraph" w:styleId="Style26" w:customStyle="1">
    <w:name w:val="Раздел регламента"/>
    <w:basedOn w:val="Normal"/>
    <w:qFormat/>
    <w:rsid w:val="00e228fa"/>
    <w:pPr/>
    <w:rPr/>
  </w:style>
  <w:style w:type="paragraph" w:styleId="Style27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8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8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1" w:customStyle="1">
    <w:name w:val="caption11"/>
    <w:basedOn w:val="Normal"/>
    <w:next w:val="Normal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99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9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9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311" w:customStyle="1">
    <w:name w:val="Список 3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eastAsia="Calibri" w:ascii="Times New Roman" w:hAnsi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cs="Arial" w:eastAsia="Times New Roman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0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9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31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2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3" w:customStyle="1">
    <w:name w:val="Подподпункт"/>
    <w:basedOn w:val="Style25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4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5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10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8"/>
        <w:tab w:val="left" w:pos="567" w:leader="none"/>
      </w:tabs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6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11" w:customStyle="1">
    <w:name w:val="УРОВЕНЬ_1."/>
    <w:basedOn w:val="ListParagraph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37" w:customStyle="1">
    <w:name w:val="Абзац списка3"/>
    <w:basedOn w:val="Normal"/>
    <w:qFormat/>
    <w:rsid w:val="0011460f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Index1">
    <w:name w:val="index 1"/>
    <w:basedOn w:val="Normal"/>
    <w:next w:val="Normal"/>
    <w:autoRedefine/>
    <w:semiHidden/>
    <w:unhideWhenUsed/>
    <w:qFormat/>
    <w:rsid w:val="00c64068"/>
    <w:pPr>
      <w:ind w:left="280" w:hanging="280"/>
    </w:pPr>
    <w:rPr/>
  </w:style>
  <w:style w:type="paragraph" w:styleId="Indexheading11" w:customStyle="1">
    <w:name w:val="index heading11"/>
    <w:basedOn w:val="Title"/>
    <w:qFormat/>
    <w:rsid w:val="00c64068"/>
    <w:pPr/>
    <w:rPr/>
  </w:style>
  <w:style w:type="paragraph" w:styleId="Caption111" w:customStyle="1">
    <w:name w:val="caption111"/>
    <w:basedOn w:val="Normal"/>
    <w:qFormat/>
    <w:rsid w:val="00c64068"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" w:customStyle="1">
    <w:name w:val="index heading111"/>
    <w:basedOn w:val="Title"/>
    <w:qFormat/>
    <w:rsid w:val="00c64068"/>
    <w:pPr/>
    <w:rPr/>
  </w:style>
  <w:style w:type="paragraph" w:styleId="Caption1111" w:customStyle="1">
    <w:name w:val="caption1111"/>
    <w:basedOn w:val="Normal"/>
    <w:qFormat/>
    <w:rsid w:val="00c64068"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1" w:customStyle="1">
    <w:name w:val="index heading1111"/>
    <w:basedOn w:val="Title"/>
    <w:qFormat/>
    <w:rsid w:val="00c64068"/>
    <w:pPr/>
    <w:rPr/>
  </w:style>
  <w:style w:type="paragraph" w:styleId="Caption11111" w:customStyle="1">
    <w:name w:val="caption11111"/>
    <w:basedOn w:val="Normal"/>
    <w:next w:val="Normal"/>
    <w:qFormat/>
    <w:rsid w:val="00c64068"/>
    <w:pPr/>
    <w:rPr>
      <w:rFonts w:eastAsia="Calibri"/>
      <w:b/>
      <w:bCs/>
      <w:color w:val="4F81BD"/>
      <w:sz w:val="18"/>
      <w:szCs w:val="18"/>
    </w:rPr>
  </w:style>
  <w:style w:type="paragraph" w:styleId="Indexheading11111" w:customStyle="1">
    <w:name w:val="index heading11111"/>
    <w:basedOn w:val="Title"/>
    <w:qFormat/>
    <w:rsid w:val="00c64068"/>
    <w:pPr/>
    <w:rPr/>
  </w:style>
  <w:style w:type="paragraph" w:styleId="ListBullet4">
    <w:name w:val="List Bullet 4"/>
    <w:basedOn w:val="Normal"/>
    <w:qFormat/>
    <w:rsid w:val="00c64068"/>
    <w:pPr>
      <w:tabs>
        <w:tab w:val="clear" w:pos="708"/>
        <w:tab w:val="left" w:pos="0" w:leader="none"/>
      </w:tabs>
      <w:spacing w:before="120" w:after="0"/>
      <w:ind w:left="-207" w:hanging="360"/>
      <w:jc w:val="both"/>
    </w:pPr>
    <w:rPr>
      <w:rFonts w:ascii="Garamond" w:hAnsi="Garamond"/>
      <w:sz w:val="24"/>
      <w:szCs w:val="20"/>
    </w:rPr>
  </w:style>
  <w:style w:type="paragraph" w:styleId="112" w:customStyle="1">
    <w:name w:val="Основной текст1"/>
    <w:basedOn w:val="Normal"/>
    <w:link w:val="Style14"/>
    <w:uiPriority w:val="99"/>
    <w:qFormat/>
    <w:rsid w:val="00c64068"/>
    <w:pPr>
      <w:widowControl w:val="false"/>
      <w:shd w:val="clear" w:color="auto" w:fill="FFFFFF"/>
      <w:spacing w:lineRule="exact" w:line="302"/>
    </w:pPr>
    <w:rPr>
      <w:szCs w:val="20"/>
    </w:rPr>
  </w:style>
  <w:style w:type="paragraph" w:styleId="Msonormal" w:customStyle="1">
    <w:name w:val="msonormal"/>
    <w:basedOn w:val="Normal"/>
    <w:qFormat/>
    <w:rsid w:val="00c64068"/>
    <w:pPr>
      <w:spacing w:beforeAutospacing="1" w:afterAutospacing="1"/>
    </w:pPr>
    <w:rPr>
      <w:sz w:val="24"/>
      <w:szCs w:val="24"/>
    </w:rPr>
  </w:style>
  <w:style w:type="paragraph" w:styleId="Font5" w:customStyle="1">
    <w:name w:val="font5"/>
    <w:basedOn w:val="Normal"/>
    <w:qFormat/>
    <w:rsid w:val="00c64068"/>
    <w:pPr>
      <w:spacing w:beforeAutospacing="1" w:afterAutospacing="1"/>
    </w:pPr>
    <w:rPr>
      <w:color w:val="000000"/>
      <w:sz w:val="24"/>
      <w:szCs w:val="24"/>
    </w:rPr>
  </w:style>
  <w:style w:type="paragraph" w:styleId="Font6" w:customStyle="1">
    <w:name w:val="font6"/>
    <w:basedOn w:val="Normal"/>
    <w:qFormat/>
    <w:rsid w:val="00c64068"/>
    <w:pPr>
      <w:spacing w:beforeAutospacing="1" w:afterAutospacing="1"/>
    </w:pPr>
    <w:rPr>
      <w:color w:val="000000"/>
      <w:sz w:val="14"/>
      <w:szCs w:val="14"/>
    </w:rPr>
  </w:style>
  <w:style w:type="paragraph" w:styleId="Font7" w:customStyle="1">
    <w:name w:val="font7"/>
    <w:basedOn w:val="Normal"/>
    <w:qFormat/>
    <w:rsid w:val="00c64068"/>
    <w:pPr>
      <w:spacing w:beforeAutospacing="1" w:afterAutospacing="1"/>
    </w:pPr>
    <w:rPr>
      <w:color w:val="000000"/>
      <w:sz w:val="24"/>
      <w:szCs w:val="24"/>
    </w:rPr>
  </w:style>
  <w:style w:type="paragraph" w:styleId="Font8" w:customStyle="1">
    <w:name w:val="font8"/>
    <w:basedOn w:val="Normal"/>
    <w:qFormat/>
    <w:rsid w:val="00c64068"/>
    <w:pPr>
      <w:spacing w:beforeAutospacing="1" w:afterAutospacing="1"/>
    </w:pPr>
    <w:rPr>
      <w:rFonts w:ascii="Calibri" w:hAnsi="Calibri" w:cs="Calibri"/>
      <w:color w:val="000000"/>
      <w:sz w:val="24"/>
      <w:szCs w:val="24"/>
    </w:rPr>
  </w:style>
  <w:style w:type="paragraph" w:styleId="Xl65" w:customStyle="1">
    <w:name w:val="xl65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66" w:customStyle="1">
    <w:name w:val="xl66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000000"/>
      <w:sz w:val="24"/>
      <w:szCs w:val="24"/>
    </w:rPr>
  </w:style>
  <w:style w:type="paragraph" w:styleId="Xl67" w:customStyle="1">
    <w:name w:val="xl67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24"/>
      <w:szCs w:val="24"/>
    </w:rPr>
  </w:style>
  <w:style w:type="paragraph" w:styleId="Xl68" w:customStyle="1">
    <w:name w:val="xl68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styleId="Xl69" w:customStyle="1">
    <w:name w:val="xl69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styleId="Xl70" w:customStyle="1">
    <w:name w:val="xl70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71" w:customStyle="1">
    <w:name w:val="xl71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72" w:customStyle="1">
    <w:name w:val="xl72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73" w:customStyle="1">
    <w:name w:val="xl73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74" w:customStyle="1">
    <w:name w:val="xl74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styleId="Xl76" w:customStyle="1">
    <w:name w:val="xl76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4"/>
      <w:szCs w:val="24"/>
    </w:rPr>
  </w:style>
  <w:style w:type="paragraph" w:styleId="Xl77" w:customStyle="1">
    <w:name w:val="xl77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 w:val="24"/>
      <w:szCs w:val="24"/>
    </w:rPr>
  </w:style>
  <w:style w:type="paragraph" w:styleId="Xl78" w:customStyle="1">
    <w:name w:val="xl78"/>
    <w:basedOn w:val="Normal"/>
    <w:qFormat/>
    <w:rsid w:val="00c64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b/>
      <w:bCs/>
      <w:sz w:val="24"/>
      <w:szCs w:val="24"/>
    </w:rPr>
  </w:style>
  <w:style w:type="paragraph" w:styleId="Style37" w:customStyle="1">
    <w:name w:val="Содержимое врезки"/>
    <w:basedOn w:val="Normal"/>
    <w:qFormat/>
    <w:rsid w:val="00c64068"/>
    <w:pPr/>
    <w:rPr/>
  </w:style>
  <w:style w:type="paragraph" w:styleId="Style38" w:customStyle="1">
    <w:name w:val="Содержимое таблицы"/>
    <w:basedOn w:val="Normal"/>
    <w:qFormat/>
    <w:rsid w:val="00c64068"/>
    <w:pPr>
      <w:widowControl w:val="false"/>
      <w:suppressLineNumbers/>
    </w:pPr>
    <w:rPr/>
  </w:style>
  <w:style w:type="paragraph" w:styleId="Style39" w:customStyle="1">
    <w:name w:val="Заголовок таблицы"/>
    <w:basedOn w:val="Style38"/>
    <w:qFormat/>
    <w:rsid w:val="00c64068"/>
    <w:pPr>
      <w:jc w:val="center"/>
    </w:pPr>
    <w:rPr>
      <w:b/>
      <w:bCs/>
    </w:rPr>
  </w:style>
  <w:style w:type="paragraph" w:styleId="Caption111111" w:customStyle="1">
    <w:name w:val="caption111111"/>
    <w:basedOn w:val="Normal"/>
    <w:next w:val="Normal"/>
    <w:uiPriority w:val="35"/>
    <w:qFormat/>
    <w:rsid w:val="00c64068"/>
    <w:pPr/>
    <w:rPr>
      <w:rFonts w:eastAsia="Calibri"/>
      <w:b/>
      <w:bCs/>
      <w:color w:val="4F81BD"/>
      <w:sz w:val="18"/>
      <w:szCs w:val="18"/>
    </w:rPr>
  </w:style>
  <w:style w:type="paragraph" w:styleId="Indexheading111111" w:customStyle="1">
    <w:name w:val="index heading111111"/>
    <w:basedOn w:val="Title"/>
    <w:qFormat/>
    <w:rsid w:val="00c64068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13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numbering" w:styleId="114" w:customStyle="1">
    <w:name w:val="Нет списка1"/>
    <w:uiPriority w:val="99"/>
    <w:semiHidden/>
    <w:unhideWhenUsed/>
    <w:qFormat/>
    <w:rsid w:val="00c64068"/>
  </w:style>
  <w:style w:type="numbering" w:styleId="115" w:customStyle="1">
    <w:name w:val="Стиль11"/>
    <w:uiPriority w:val="99"/>
    <w:qFormat/>
    <w:rsid w:val="00c64068"/>
  </w:style>
  <w:style w:type="numbering" w:styleId="211" w:customStyle="1">
    <w:name w:val="Стиль21"/>
    <w:uiPriority w:val="99"/>
    <w:qFormat/>
    <w:rsid w:val="00c64068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b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f1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e">
    <w:name w:val="Сетка таблицы2"/>
    <w:basedOn w:val="a5"/>
    <w:uiPriority w:val="39"/>
    <w:rsid w:val="00c640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0">
    <w:name w:val="Сетка таблицы11"/>
    <w:basedOn w:val="a5"/>
    <w:uiPriority w:val="39"/>
    <w:rsid w:val="00c64068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header" Target="header4.xml"/><Relationship Id="rId7" Type="http://schemas.openxmlformats.org/officeDocument/2006/relationships/header" Target="header5.xml"/><Relationship Id="rId8" Type="http://schemas.openxmlformats.org/officeDocument/2006/relationships/header" Target="header6.xm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BD68C-1B63-40E0-AF9D-A0538150B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Application>AlterOffice/2025.3.0.0$Linux_X86_64 LibreOffice_project/774e6be3fe79fbee37ab4be005d8f260e3857d8a</Application>
  <AppVersion>15.0000</AppVersion>
  <Pages>11</Pages>
  <Words>2202</Words>
  <Characters>11558</Characters>
  <CharactersWithSpaces>12967</CharactersWithSpaces>
  <Paragraphs>825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2025-09-18T09:37:00Z</dcterms:created>
  <dc:creator>Быстров Олег Геннадьевич</dc:creator>
  <dc:description/>
  <dc:language>ru-RU</dc:language>
  <cp:lastModifiedBy>bromirskyri@corp.gidroogk.com</cp:lastModifiedBy>
  <cp:lastPrinted>2025-08-27T07:12:00Z</cp:lastPrinted>
  <dcterms:modified xsi:type="dcterms:W3CDTF">2026-05-28T14:48:57Z</dcterms:modified>
  <cp:revision>10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