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tabs>
          <w:tab w:val="clear" w:pos="709"/>
          <w:tab w:val="left" w:pos="0" w:leader="none"/>
        </w:tabs>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ind w:firstLine="709"/>
        <w:jc w:val="both"/>
        <w:rPr>
          <w:sz w:val="24"/>
          <w:szCs w:val="24"/>
          <w:lang w:eastAsia="en-US"/>
        </w:rPr>
      </w:pPr>
      <w:r>
        <w:rPr>
          <w:b/>
          <w:sz w:val="24"/>
          <w:szCs w:val="24"/>
          <w:lang w:eastAsia="en-US"/>
        </w:rPr>
        <w:t>«Универсальный передаточный документ (УПД)»</w:t>
      </w:r>
      <w:r>
        <w:rPr>
          <w:sz w:val="24"/>
          <w:szCs w:val="24"/>
          <w:lang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sz w:val="24"/>
          <w:szCs w:val="24"/>
          <w:lang w:eastAsia="en-US"/>
        </w:rPr>
        <w:t xml:space="preserve"> материалы на содержание и эксплуатацию оборудования автоматизированной системы диагностического контроля контрольно-измерительной аппаратуры</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rFonts w:eastAsia="Calibri"/>
          <w:sz w:val="24"/>
          <w:szCs w:val="24"/>
        </w:rPr>
        <w:t>филиала ПАО «РусГидро»-«Загорская ГАЭС».</w:t>
      </w:r>
    </w:p>
    <w:p>
      <w:pPr>
        <w:pStyle w:val="Normal"/>
        <w:numPr>
          <w:ilvl w:val="1"/>
          <w:numId w:val="2"/>
        </w:numPr>
        <w:shd w:val="clear" w:color="auto" w:fill="FFFFFF"/>
        <w:tabs>
          <w:tab w:val="clear" w:pos="709"/>
          <w:tab w:val="left" w:pos="0" w:leader="none"/>
          <w:tab w:val="left" w:pos="1134" w:leader="none"/>
          <w:tab w:val="left" w:pos="1855" w:leader="none"/>
        </w:tabs>
        <w:ind w:left="0" w:firstLine="709"/>
        <w:jc w:val="both"/>
        <w:rPr>
          <w:bCs/>
          <w:sz w:val="24"/>
          <w:szCs w:val="24"/>
        </w:rPr>
      </w:pPr>
      <w:r>
        <w:rPr>
          <w:bCs/>
          <w:sz w:val="24"/>
          <w:szCs w:val="24"/>
        </w:rPr>
        <w:t xml:space="preserve">Место поставки Товара: </w:t>
      </w:r>
      <w:r>
        <w:rPr>
          <w:bCs/>
          <w:color w:val="000000"/>
          <w:sz w:val="24"/>
          <w:szCs w:val="24"/>
        </w:rPr>
        <w:t>141342, Московская обл., Сергиево-Посадский г.о., пгт. Богородское, д. 100</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rPr>
        <w:t>тридцатый рабочий день с даты заключения договора</w:t>
      </w:r>
      <w:r>
        <w:rPr>
          <w:bCs/>
          <w:sz w:val="24"/>
          <w:szCs w:val="24"/>
        </w:rPr>
        <w:t>.</w:t>
      </w:r>
    </w:p>
    <w:p>
      <w:pPr>
        <w:pStyle w:val="Normal"/>
        <w:widowControl w:val="false"/>
        <w:numPr>
          <w:ilvl w:val="0"/>
          <w:numId w:val="0"/>
        </w:numPr>
        <w:shd w:val="clear" w:color="auto" w:fill="FFFFFF"/>
        <w:tabs>
          <w:tab w:val="clear" w:pos="709"/>
          <w:tab w:val="left" w:pos="0" w:leader="none"/>
          <w:tab w:val="left" w:pos="1134" w:leader="none"/>
        </w:tabs>
        <w:bidi w:val="0"/>
        <w:spacing w:before="0" w:after="0"/>
        <w:ind w:left="0" w:hanging="0"/>
        <w:jc w:val="both"/>
        <w:rPr/>
      </w:pPr>
      <w:r>
        <w:rPr/>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Авансовый платеж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shd w:val="clear" w:color="auto" w:fill="FFFFFF"/>
        <w:tabs>
          <w:tab w:val="clear" w:pos="709"/>
          <w:tab w:val="left" w:pos="1418" w:leader="none"/>
        </w:tabs>
        <w:ind w:left="0" w:firstLine="709"/>
        <w:jc w:val="both"/>
        <w:rPr>
          <w:sz w:val="24"/>
          <w:szCs w:val="24"/>
        </w:rPr>
      </w:pPr>
      <w:r>
        <w:rPr>
          <w:sz w:val="24"/>
          <w:szCs w:val="24"/>
        </w:rPr>
        <w:t>Окончательный платеж в размере  разницы между стоимостью Товара без учёта НДС, кроме того НДС по ставке, установленной статьёй 164 НК РФ,  выплачивается Поставщику в течение  7 (семи) рабочих дней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142" w:leader="none"/>
          <w:tab w:val="left" w:pos="716" w:leader="none"/>
          <w:tab w:val="left" w:pos="1134" w:leader="none"/>
        </w:tabs>
        <w:ind w:left="0" w:firstLine="709"/>
        <w:jc w:val="both"/>
        <w:rPr>
          <w:sz w:val="24"/>
          <w:szCs w:val="24"/>
        </w:rPr>
      </w:pPr>
      <w:r>
        <w:rPr>
          <w:sz w:val="24"/>
          <w:szCs w:val="24"/>
        </w:rPr>
        <w:t xml:space="preserve">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w:t>
      </w:r>
    </w:p>
    <w:p>
      <w:pPr>
        <w:pStyle w:val="Normal"/>
        <w:shd w:val="clear" w:color="auto" w:fill="FFFFFF"/>
        <w:tabs>
          <w:tab w:val="clear" w:pos="709"/>
          <w:tab w:val="left" w:pos="0" w:leader="none"/>
          <w:tab w:val="left" w:pos="142" w:leader="none"/>
          <w:tab w:val="left" w:pos="716" w:leader="none"/>
          <w:tab w:val="left" w:pos="1134" w:leader="none"/>
          <w:tab w:val="left" w:pos="1851" w:leader="none"/>
        </w:tabs>
        <w:ind w:firstLine="709"/>
        <w:jc w:val="both"/>
        <w:rPr>
          <w:sz w:val="24"/>
          <w:szCs w:val="24"/>
        </w:rPr>
      </w:pPr>
      <w:r>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Normal"/>
        <w:shd w:val="clear" w:color="auto" w:fill="FFFFFF"/>
        <w:tabs>
          <w:tab w:val="clear" w:pos="709"/>
          <w:tab w:val="left" w:pos="0" w:leader="none"/>
          <w:tab w:val="left" w:pos="142" w:leader="none"/>
          <w:tab w:val="left" w:pos="716" w:leader="none"/>
          <w:tab w:val="left" w:pos="1134" w:leader="none"/>
          <w:tab w:val="left" w:pos="1851" w:leader="none"/>
        </w:tabs>
        <w:ind w:firstLine="709"/>
        <w:jc w:val="both"/>
        <w:rPr>
          <w:sz w:val="24"/>
          <w:szCs w:val="24"/>
        </w:rPr>
      </w:pPr>
      <w:r>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 УПД в 2 (двух)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rPr>
        <w:t xml:space="preserve">разгрузка и перемещение Товара (в том числе </w:t>
        <w:br/>
        <w:t>по территории Покупателя)</w:t>
      </w:r>
      <w:r>
        <w:rPr>
          <w:bCs/>
          <w:sz w:val="24"/>
          <w:szCs w:val="24"/>
        </w:rPr>
        <w:t xml:space="preserve"> осуществляется Поставщиком. Стоимость погрузки, доставки, разгрузки </w:t>
      </w:r>
      <w:r>
        <w:rPr>
          <w:sz w:val="24"/>
          <w:szCs w:val="24"/>
        </w:rPr>
        <w:t>и перемещения Товара</w:t>
      </w:r>
      <w:r>
        <w:rPr>
          <w:bCs/>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 / УПД.</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r>
        <w:rPr>
          <w:sz w:val="24"/>
          <w:szCs w:val="24"/>
          <w:lang w:val="en-US"/>
        </w:rPr>
        <w:t xml:space="preserve"> / УПД</w:t>
      </w:r>
      <w:r>
        <w:rPr>
          <w:sz w:val="24"/>
          <w:szCs w:val="24"/>
        </w:rPr>
        <w:t>.</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 /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 поставки Товара;</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w:t>
      </w:r>
      <w:r>
        <w:rPr>
          <w:bCs/>
          <w:sz w:val="24"/>
          <w:szCs w:val="24"/>
        </w:rPr>
        <w:t>.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0" w:leader="none"/>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418" w:leader="none"/>
          <w:tab w:val="left" w:pos="1851"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numPr>
          <w:ilvl w:val="1"/>
          <w:numId w:val="2"/>
        </w:numPr>
        <w:tabs>
          <w:tab w:val="clear" w:pos="709"/>
        </w:tabs>
        <w:ind w:left="0" w:firstLine="709"/>
        <w:jc w:val="both"/>
        <w:rPr>
          <w:i/>
          <w:i/>
          <w:sz w:val="24"/>
          <w:szCs w:val="24"/>
        </w:rPr>
      </w:pPr>
      <w:r>
        <w:rPr>
          <w:sz w:val="24"/>
          <w:szCs w:val="24"/>
        </w:rPr>
        <w:t>Договор заключается в электронной форме с 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shd w:val="clear" w:color="auto" w:fill="FFFFFF"/>
        <w:tabs>
          <w:tab w:val="clear" w:pos="709"/>
          <w:tab w:val="left" w:pos="0" w:leader="none"/>
          <w:tab w:val="left" w:pos="1418" w:leader="none"/>
        </w:tabs>
        <w:ind w:left="0" w:firstLine="709"/>
        <w:jc w:val="both"/>
        <w:rPr>
          <w:bCs/>
          <w:sz w:val="24"/>
          <w:szCs w:val="24"/>
        </w:rPr>
      </w:pPr>
      <w:r>
        <w:rPr>
          <w:bCs/>
          <w:sz w:val="24"/>
          <w:szCs w:val="24"/>
        </w:rPr>
        <w:t>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3"/>
        <w:gridCol w:w="145"/>
        <w:gridCol w:w="4641"/>
        <w:gridCol w:w="321"/>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 Красноярск, ул. Перенсона, зд. 2а, помещ.1</w:t>
            </w:r>
          </w:p>
          <w:p>
            <w:pPr>
              <w:pStyle w:val="Normal"/>
              <w:widowControl w:val="false"/>
              <w:rPr>
                <w:sz w:val="24"/>
                <w:szCs w:val="24"/>
              </w:rPr>
            </w:pPr>
            <w:r>
              <w:rPr>
                <w:sz w:val="24"/>
                <w:szCs w:val="24"/>
              </w:rPr>
              <w:t xml:space="preserve">Грузополучатель, Плательщик: </w:t>
            </w:r>
          </w:p>
          <w:p>
            <w:pPr>
              <w:pStyle w:val="Normal"/>
              <w:widowControl w:val="false"/>
              <w:rPr>
                <w:sz w:val="24"/>
                <w:szCs w:val="24"/>
              </w:rPr>
            </w:pPr>
            <w:r>
              <w:rPr>
                <w:sz w:val="24"/>
                <w:szCs w:val="24"/>
              </w:rPr>
              <w:t xml:space="preserve">Филиал ПАО «РусГидро» - «Загорская ГАЭС» </w:t>
            </w:r>
          </w:p>
          <w:p>
            <w:pPr>
              <w:pStyle w:val="Normal"/>
              <w:widowControl w:val="false"/>
              <w:rPr>
                <w:sz w:val="24"/>
                <w:szCs w:val="24"/>
              </w:rPr>
            </w:pPr>
            <w:r>
              <w:rPr>
                <w:sz w:val="24"/>
                <w:szCs w:val="24"/>
              </w:rPr>
              <w:t>Место нахождения Филиала:</w:t>
            </w:r>
          </w:p>
          <w:p>
            <w:pPr>
              <w:pStyle w:val="Normal"/>
              <w:widowControl w:val="false"/>
              <w:rPr>
                <w:sz w:val="24"/>
                <w:szCs w:val="24"/>
              </w:rPr>
            </w:pPr>
            <w:r>
              <w:rPr>
                <w:sz w:val="24"/>
                <w:szCs w:val="24"/>
              </w:rPr>
              <w:t>Россия, 141342, Московская область, Сергиево-Посадский г.о., пгт. Богородское, д. 100</w:t>
            </w:r>
          </w:p>
          <w:p>
            <w:pPr>
              <w:pStyle w:val="Normal"/>
              <w:widowControl w:val="false"/>
              <w:rPr>
                <w:sz w:val="24"/>
                <w:szCs w:val="24"/>
              </w:rPr>
            </w:pPr>
            <w:r>
              <w:rPr>
                <w:sz w:val="24"/>
                <w:szCs w:val="24"/>
              </w:rPr>
              <w:t>ИНН 2460066195 КПП 504202001</w:t>
            </w:r>
          </w:p>
          <w:p>
            <w:pPr>
              <w:pStyle w:val="Normal"/>
              <w:widowControl w:val="false"/>
              <w:rPr>
                <w:sz w:val="24"/>
                <w:szCs w:val="24"/>
              </w:rPr>
            </w:pPr>
            <w:r>
              <w:rPr>
                <w:sz w:val="24"/>
                <w:szCs w:val="24"/>
              </w:rPr>
              <w:t>Р/с 40702810200190001070</w:t>
            </w:r>
          </w:p>
          <w:p>
            <w:pPr>
              <w:pStyle w:val="Normal"/>
              <w:widowControl w:val="false"/>
              <w:rPr>
                <w:sz w:val="24"/>
                <w:szCs w:val="24"/>
              </w:rPr>
            </w:pPr>
            <w:r>
              <w:rPr>
                <w:sz w:val="24"/>
                <w:szCs w:val="24"/>
              </w:rPr>
              <w:t>Филиал Банка ВТБ (ПАО) в г. Москва</w:t>
            </w:r>
          </w:p>
          <w:p>
            <w:pPr>
              <w:pStyle w:val="Normal"/>
              <w:widowControl w:val="false"/>
              <w:rPr>
                <w:sz w:val="24"/>
                <w:szCs w:val="24"/>
              </w:rPr>
            </w:pPr>
            <w:r>
              <w:rPr>
                <w:sz w:val="24"/>
                <w:szCs w:val="24"/>
              </w:rPr>
              <w:t>К/с 30101810700000000187</w:t>
            </w:r>
          </w:p>
          <w:p>
            <w:pPr>
              <w:pStyle w:val="Normal"/>
              <w:widowControl w:val="false"/>
              <w:rPr>
                <w:sz w:val="24"/>
                <w:szCs w:val="24"/>
              </w:rPr>
            </w:pPr>
            <w:r>
              <w:rPr>
                <w:sz w:val="24"/>
                <w:szCs w:val="24"/>
              </w:rPr>
              <w:t>БИК 044525187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ОКВЭД 35.11.2, ОКПО 04622553</w:t>
            </w:r>
          </w:p>
          <w:p>
            <w:pPr>
              <w:pStyle w:val="Normal"/>
              <w:widowControl w:val="false"/>
              <w:rPr>
                <w:sz w:val="24"/>
                <w:szCs w:val="24"/>
              </w:rPr>
            </w:pPr>
            <w:r>
              <w:rPr>
                <w:sz w:val="24"/>
                <w:szCs w:val="24"/>
              </w:rPr>
              <w:t xml:space="preserve">ОКАТО 46215553000 </w:t>
            </w:r>
          </w:p>
          <w:p>
            <w:pPr>
              <w:pStyle w:val="Normal"/>
              <w:widowControl w:val="false"/>
              <w:rPr>
                <w:sz w:val="24"/>
                <w:szCs w:val="24"/>
              </w:rPr>
            </w:pPr>
            <w:r>
              <w:rPr>
                <w:sz w:val="24"/>
                <w:szCs w:val="24"/>
              </w:rPr>
              <w:t>ОКОПФ 30002 ОКОГУ 4210014</w:t>
            </w:r>
          </w:p>
          <w:p>
            <w:pPr>
              <w:pStyle w:val="Normal"/>
              <w:widowControl w:val="false"/>
              <w:rPr>
                <w:sz w:val="24"/>
                <w:szCs w:val="24"/>
              </w:rPr>
            </w:pPr>
            <w:r>
              <w:rPr>
                <w:sz w:val="24"/>
                <w:szCs w:val="24"/>
              </w:rPr>
              <w:t>Тел. (496) 554-75-00</w:t>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7"/>
        <w:gridCol w:w="388"/>
        <w:gridCol w:w="602"/>
        <w:gridCol w:w="611"/>
        <w:gridCol w:w="612"/>
        <w:gridCol w:w="772"/>
        <w:gridCol w:w="729"/>
        <w:gridCol w:w="619"/>
        <w:gridCol w:w="731"/>
        <w:gridCol w:w="690"/>
        <w:gridCol w:w="513"/>
        <w:gridCol w:w="645"/>
        <w:gridCol w:w="551"/>
        <w:gridCol w:w="514"/>
        <w:gridCol w:w="715"/>
        <w:gridCol w:w="485"/>
      </w:tblGrid>
      <w:tr>
        <w:trPr>
          <w:trHeight w:val="526" w:hRule="atLeast"/>
        </w:trPr>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№1,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№2,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val="false"/>
        <w:suppressAutoHyphens w:val="true"/>
        <w:bidi w:val="0"/>
        <w:spacing w:before="0" w:after="0"/>
        <w:ind w:left="5103" w:hanging="0"/>
        <w:jc w:val="left"/>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 xml:space="preserve"> </w:t>
      </w:r>
      <w:r>
        <w:rPr>
          <w:sz w:val="22"/>
          <w:szCs w:val="22"/>
        </w:rPr>
        <w:t>Приложение № 4</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5"/>
      </w:r>
      <w:r>
        <w:rPr>
          <w:bCs/>
          <w:sz w:val="24"/>
          <w:szCs w:val="24"/>
        </w:rPr>
        <w:t>, а также соответствовать следующим критериям:</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6">
        <w:r>
          <w:rPr>
            <w:rStyle w:val="Hyperlink"/>
            <w:bCs/>
            <w:sz w:val="24"/>
            <w:szCs w:val="24"/>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6"/>
      </w:r>
      <w:r>
        <w:rPr>
          <w:bCs/>
          <w:sz w:val="24"/>
          <w:szCs w:val="24"/>
        </w:rPr>
        <w:t xml:space="preserve">. </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rStyle w:val="Hyperlink"/>
            <w:bCs/>
            <w:sz w:val="24"/>
            <w:szCs w:val="24"/>
          </w:rPr>
          <w:t>http://www.asv.org.ru))»</w:t>
        </w:r>
      </w:hyperlink>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bCs/>
          <w:sz w:val="24"/>
          <w:szCs w:val="24"/>
          <w:vertAlign w:val="superscript"/>
        </w:rPr>
        <w:footnoteReference w:id="7"/>
      </w:r>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ВЭБ.РФ.</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992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82"/>
        <w:gridCol w:w="535"/>
        <w:gridCol w:w="284"/>
        <w:gridCol w:w="282"/>
        <w:gridCol w:w="3541"/>
        <w:gridCol w:w="4966"/>
        <w:gridCol w:w="31"/>
      </w:tblGrid>
      <w:tr>
        <w:trPr>
          <w:trHeight w:val="426"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 xml:space="preserve">Ai </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2"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7"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8"/>
            </w:r>
            <w:r>
              <w:rPr>
                <w:bCs/>
                <w:sz w:val="24"/>
                <w:szCs w:val="24"/>
              </w:rPr>
              <w:t xml:space="preserve">. </w:t>
            </w:r>
          </w:p>
        </w:tc>
        <w:tc>
          <w:tcPr>
            <w:tcW w:w="31" w:type="dxa"/>
            <w:tcBorders/>
          </w:tcPr>
          <w:p>
            <w:pPr>
              <w:pStyle w:val="Normal"/>
              <w:widowControl w:val="false"/>
              <w:rPr/>
            </w:pPr>
            <w:r>
              <w:rPr/>
            </w:r>
          </w:p>
        </w:tc>
      </w:tr>
      <w:tr>
        <w:trPr>
          <w:trHeight w:val="280"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p>
          <w:p>
            <w:pPr>
              <w:pStyle w:val="Normal"/>
              <w:widowControl w:val="false"/>
              <w:shd w:val="clear" w:color="auto" w:fill="FFFFFF"/>
              <w:tabs>
                <w:tab w:val="clear" w:pos="709"/>
                <w:tab w:val="left" w:pos="1418" w:leader="none"/>
              </w:tabs>
              <w:spacing w:before="0" w:after="0"/>
              <w:contextualSpacing/>
              <w:rPr>
                <w:bCs/>
                <w:sz w:val="24"/>
                <w:szCs w:val="24"/>
              </w:rPr>
            </w:pPr>
            <w:r>
              <w:rPr>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2"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7"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rStyle w:val="Hyperlink"/>
                  <w:bCs/>
                  <w:sz w:val="24"/>
                  <w:szCs w:val="24"/>
                </w:rPr>
                <w:t>www.cbr.ru</w:t>
              </w:r>
            </w:hyperlink>
            <w:r>
              <w:rPr>
                <w:bCs/>
                <w:sz w:val="24"/>
                <w:szCs w:val="24"/>
              </w:rPr>
              <w:t>) по строке 000 «Расчет собственных средств (капитала) («Базель III»)», код формы 0409123;</w:t>
            </w:r>
          </w:p>
        </w:tc>
        <w:tc>
          <w:tcPr>
            <w:tcW w:w="31" w:type="dxa"/>
            <w:tcBorders/>
          </w:tcPr>
          <w:p>
            <w:pPr>
              <w:pStyle w:val="Normal"/>
              <w:widowControl w:val="false"/>
              <w:rPr/>
            </w:pPr>
            <w:r>
              <w:rPr/>
            </w:r>
          </w:p>
        </w:tc>
      </w:tr>
      <w:tr>
        <w:trPr>
          <w:trHeight w:val="993"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i</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2"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w:t>
            </w:r>
          </w:p>
        </w:tc>
        <w:tc>
          <w:tcPr>
            <w:tcW w:w="8507"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рейтинговый коэффициент</w:t>
            </w:r>
            <w:r>
              <w:rPr>
                <w:bCs/>
                <w:sz w:val="24"/>
                <w:szCs w:val="24"/>
                <w:vertAlign w:val="superscript"/>
              </w:rPr>
              <w:t>2</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Pr>
                <w:bCs/>
                <w:sz w:val="24"/>
                <w:szCs w:val="24"/>
                <w:lang w:val="en-US"/>
              </w:rPr>
              <w:t>ru</w:t>
            </w:r>
            <w:r>
              <w:rPr>
                <w:bCs/>
                <w:sz w:val="24"/>
                <w:szCs w:val="24"/>
              </w:rPr>
              <w:t>А</w:t>
            </w:r>
            <w:r>
              <w:rPr>
                <w:bCs/>
                <w:sz w:val="24"/>
                <w:szCs w:val="24"/>
                <w:lang w:val="en-US"/>
              </w:rPr>
              <w:t>A</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0,02 -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0,01 - если i-ая кредитная организация имеет национальный рейтинг кредитоспособности не ниже уровня «</w:t>
            </w:r>
            <w:r>
              <w:rPr>
                <w:bCs/>
                <w:sz w:val="24"/>
                <w:szCs w:val="24"/>
                <w:lang w:val="en-US"/>
              </w:rPr>
              <w:t>BB</w:t>
            </w:r>
            <w:r>
              <w:rPr>
                <w:bCs/>
                <w:sz w:val="24"/>
                <w:szCs w:val="24"/>
              </w:rPr>
              <w:t>+» по классификации рейтингового агентства АКРА или не ниже уровня «</w:t>
            </w:r>
            <w:r>
              <w:rPr>
                <w:bCs/>
                <w:sz w:val="24"/>
                <w:szCs w:val="24"/>
                <w:lang w:val="en-US"/>
              </w:rPr>
              <w:t>ruBB</w:t>
            </w:r>
            <w:r>
              <w:rPr>
                <w:bCs/>
                <w:sz w:val="24"/>
                <w:szCs w:val="24"/>
              </w:rPr>
              <w:t>+» по классификации рейтингового агентства Эксперт РА, а также находится в процессе финансового оздоровления (санации).</w:t>
            </w:r>
          </w:p>
        </w:tc>
        <w:tc>
          <w:tcPr>
            <w:tcW w:w="31" w:type="dxa"/>
            <w:tcBorders/>
          </w:tcPr>
          <w:p>
            <w:pPr>
              <w:pStyle w:val="Normal"/>
              <w:widowControl w:val="false"/>
              <w:rPr/>
            </w:pPr>
            <w:r>
              <w:rPr/>
            </w:r>
          </w:p>
        </w:tc>
      </w:tr>
      <w:tr>
        <w:trPr>
          <w:trHeight w:val="1380" w:hRule="atLeast"/>
        </w:trPr>
        <w:tc>
          <w:tcPr>
            <w:tcW w:w="282"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642" w:type="dxa"/>
            <w:gridSpan w:val="4"/>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Покупатель:</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997" w:type="dxa"/>
            <w:gridSpan w:val="2"/>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Поставщик:</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r>
    </w:tbl>
    <w:p>
      <w:pPr>
        <w:pStyle w:val="Normal"/>
        <w:suppressAutoHyphens w:val="true"/>
        <w:ind w:right="96" w:firstLine="5103"/>
        <w:rPr>
          <w:sz w:val="22"/>
          <w:szCs w:val="22"/>
        </w:rPr>
      </w:pPr>
      <w:r>
        <w:rPr>
          <w:sz w:val="22"/>
          <w:szCs w:val="22"/>
        </w:rPr>
        <w:t>Приложение № 5</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widowControl w:val="false"/>
        <w:bidi w:val="0"/>
        <w:spacing w:before="0" w:after="0"/>
        <w:ind w:hanging="0"/>
        <w:jc w:val="left"/>
        <w:rPr/>
      </w:pPr>
      <w:r>
        <w:rPr/>
      </w:r>
    </w:p>
    <w:sectPr>
      <w:headerReference w:type="default" r:id="rId19"/>
      <w:footerReference w:type="default" r:id="rId20"/>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5">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6">
    <w:p>
      <w:pPr>
        <w:pStyle w:val="FootnoteText"/>
        <w:jc w:val="both"/>
        <w:rPr/>
      </w:pPr>
      <w:r>
        <w:rPr>
          <w:rStyle w:val="Style14"/>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7">
    <w:p>
      <w:pPr>
        <w:pStyle w:val="FootnoteText"/>
        <w:jc w:val="both"/>
        <w:rPr/>
      </w:pPr>
      <w:r>
        <w:rPr>
          <w:rStyle w:val="Style14"/>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8">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val="false"/>
        <w:bCs w:val="false"/>
      </w:rPr>
    </w:pPr>
    <w:r>
      <w:rPr>
        <w:b w:val="false"/>
        <w:bCs w:val="false"/>
      </w:rPr>
      <w:t>ТФД № 2.2.3.</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i w:val="false"/>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Style18">
    <w:name w:val="Символ концевой сноски"/>
    <w:qFormat/>
    <w:rPr/>
  </w:style>
  <w:style w:type="character" w:styleId="EndnoteReference">
    <w:name w:val="Endnote Reference"/>
    <w:rPr>
      <w:vertAlign w:val="superscript"/>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yperlink" Target="http://www.cbr.ru/" TargetMode="Externa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BABE-0A9B-48D2-BF3A-C70ADC7EB2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3.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117D75-0858-48DE-94D4-18CB6313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AlterOffice/3.4.0.9$Linux_X86_64 LibreOffice_project/b8daf9e823b1a5463a2f48435ddc2e8696e7d4fc</Application>
  <AppVersion>15.0000</AppVersion>
  <Pages>25</Pages>
  <Words>8958</Words>
  <Characters>63757</Characters>
  <CharactersWithSpaces>72359</CharactersWithSpaces>
  <Paragraphs>429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2026-05-20T13:25:00Z</dcterms:created>
  <dc:creator>tsypilev_ag</dc:creator>
  <dc:description/>
  <dc:language>ru-RU</dc:language>
  <cp:lastModifiedBy>medvedevala@corp.gidroogk.com</cp:lastModifiedBy>
  <cp:lastPrinted>2018-05-22T09:46:00Z</cp:lastPrinted>
  <dcterms:modified xsi:type="dcterms:W3CDTF">2026-05-25T13:56:23Z</dcterms:modified>
  <cp:revision>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