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ind w:firstLine="709"/>
        <w:jc w:val="center"/>
        <w:rPr>
          <w:b/>
          <w:sz w:val="24"/>
          <w:szCs w:val="24"/>
        </w:rPr>
      </w:pPr>
      <w:r>
        <w:rPr>
          <w:bCs/>
          <w:sz w:val="22"/>
          <w:szCs w:val="22"/>
        </w:rPr>
        <w:t xml:space="preserve"> </w:t>
      </w:r>
      <w:r>
        <w:rPr>
          <w:b/>
          <w:bCs/>
          <w:sz w:val="24"/>
          <w:szCs w:val="24"/>
        </w:rPr>
        <w:t>Договор поставки</w:t>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ind w:firstLine="709"/>
        <w:jc w:val="right"/>
        <w:rPr>
          <w:bCs/>
          <w:sz w:val="24"/>
          <w:szCs w:val="24"/>
        </w:rPr>
      </w:pPr>
      <w:r>
        <w:rPr>
          <w:bCs/>
          <w:sz w:val="24"/>
          <w:szCs w:val="24"/>
        </w:rPr>
      </w:r>
    </w:p>
    <w:p>
      <w:pPr>
        <w:pStyle w:val="Normal"/>
        <w:ind w:firstLine="709"/>
        <w:jc w:val="both"/>
        <w:rPr>
          <w:sz w:val="24"/>
          <w:szCs w:val="24"/>
        </w:rPr>
      </w:pPr>
      <w:r>
        <w:rPr>
          <w:spacing w:val="4"/>
          <w:sz w:val="24"/>
          <w:szCs w:val="24"/>
        </w:rPr>
        <w:t>Публичное акционерное общество «Федеральная гидрогенерирующая компания – РусГидро» (ПАО «РусГидро»), (далее – «Покупатель»), в лице Директора филиала ПАО «РусГидро» – «Зейская ГЭС», действующего на основании ________, с одной стороны, и</w:t>
      </w:r>
      <w:r>
        <w:rPr>
          <w:spacing w:val="10"/>
          <w:sz w:val="24"/>
          <w:szCs w:val="24"/>
        </w:rPr>
        <w:t xml:space="preserve"> </w:t>
      </w:r>
      <w:r>
        <w:rPr>
          <w:b/>
          <w:spacing w:val="10"/>
          <w:sz w:val="24"/>
          <w:szCs w:val="24"/>
        </w:rPr>
        <w:t>____________________</w:t>
      </w:r>
      <w:r>
        <w:rPr>
          <w:bCs/>
          <w:sz w:val="24"/>
          <w:szCs w:val="24"/>
        </w:rPr>
        <w:t xml:space="preserve"> </w:t>
      </w:r>
      <w:r>
        <w:rPr>
          <w:sz w:val="24"/>
          <w:szCs w:val="24"/>
        </w:rPr>
        <w:t>(далее – «Поставщик»), в лице _________________________, действующего на основании ___________________, с другой стороны, совместно в дальнейшем именуемые «Стороны», а по отдельности – «Сторона», заключили настоящий договор поставки (далее – «Договор») о нижеследующем:</w:t>
      </w:r>
    </w:p>
    <w:p>
      <w:pPr>
        <w:pStyle w:val="Normal"/>
        <w:shd w:val="clear" w:color="auto" w:fill="FFFFFF"/>
        <w:ind w:firstLine="709"/>
        <w:rPr>
          <w:bCs/>
          <w:sz w:val="24"/>
          <w:szCs w:val="24"/>
          <w:lang w:val="x-none"/>
        </w:rPr>
      </w:pPr>
      <w:r>
        <w:rPr>
          <w:bCs/>
          <w:sz w:val="24"/>
          <w:szCs w:val="24"/>
          <w:lang w:val="x-none"/>
        </w:rPr>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sz w:val="24"/>
          <w:szCs w:val="24"/>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ListParagraph"/>
        <w:shd w:val="clear" w:color="auto" w:fill="FFFFFF"/>
        <w:tabs>
          <w:tab w:val="clear" w:pos="709"/>
          <w:tab w:val="left" w:pos="0" w:leader="none"/>
        </w:tabs>
        <w:overflowPunct w:val="false"/>
        <w:ind w:left="0" w:firstLine="709"/>
        <w:jc w:val="both"/>
        <w:textAlignment w:val="baseline"/>
        <w:rPr/>
      </w:pPr>
      <w:r>
        <w:rPr>
          <w:b/>
          <w:bCs/>
          <w:color w:val="auto"/>
          <w:sz w:val="24"/>
          <w:szCs w:val="24"/>
          <w:lang w:eastAsia="en-US"/>
        </w:rPr>
        <w:t>«Партия Товара»</w:t>
      </w:r>
      <w:r>
        <w:rPr>
          <w:color w:val="auto"/>
          <w:sz w:val="24"/>
          <w:szCs w:val="24"/>
          <w:lang w:eastAsia="en-US"/>
        </w:rPr>
        <w:t xml:space="preserve"> </w:t>
      </w:r>
      <w:r>
        <w:rPr>
          <w:b w:val="false"/>
          <w:color w:val="auto"/>
          <w:sz w:val="24"/>
          <w:szCs w:val="24"/>
          <w:lang w:eastAsia="en-US"/>
        </w:rPr>
        <w:t xml:space="preserve">– часть Товара, единовременно поставляемая Покупателю Поставщиком, </w:t>
      </w:r>
      <w:r>
        <w:rPr>
          <w:b w:val="false"/>
          <w:color w:val="auto"/>
          <w:sz w:val="24"/>
          <w:szCs w:val="24"/>
          <w:lang w:val="ru-RU" w:eastAsia="en-US"/>
        </w:rPr>
        <w:t>характеристики</w:t>
      </w:r>
      <w:r>
        <w:rPr>
          <w:b w:val="false"/>
          <w:color w:val="auto"/>
          <w:sz w:val="24"/>
          <w:szCs w:val="24"/>
          <w:lang w:eastAsia="en-US"/>
        </w:rPr>
        <w:t xml:space="preserve"> которой определя</w:t>
      </w:r>
      <w:r>
        <w:rPr>
          <w:b w:val="false"/>
          <w:color w:val="auto"/>
          <w:sz w:val="24"/>
          <w:szCs w:val="24"/>
          <w:lang w:val="ru-RU" w:eastAsia="en-US"/>
        </w:rPr>
        <w:t>ю</w:t>
      </w:r>
      <w:r>
        <w:rPr>
          <w:b w:val="false"/>
          <w:color w:val="auto"/>
          <w:sz w:val="24"/>
          <w:szCs w:val="24"/>
          <w:lang w:eastAsia="en-US"/>
        </w:rPr>
        <w:t xml:space="preserve">тся </w:t>
      </w:r>
      <w:r>
        <w:rPr>
          <w:b w:val="false"/>
          <w:color w:val="auto"/>
          <w:sz w:val="24"/>
          <w:szCs w:val="24"/>
          <w:lang w:val="ru-RU" w:eastAsia="en-US"/>
        </w:rPr>
        <w:t xml:space="preserve">Заявкой Покупателя в соответствии со </w:t>
      </w:r>
      <w:r>
        <w:rPr>
          <w:b w:val="false"/>
          <w:color w:val="auto"/>
          <w:sz w:val="24"/>
          <w:szCs w:val="24"/>
          <w:lang w:eastAsia="en-US"/>
        </w:rPr>
        <w:t>Спецификацией, являющейся приложением к Договору.</w:t>
      </w:r>
      <w:r>
        <w:rPr>
          <w:color w:val="auto"/>
          <w:sz w:val="24"/>
          <w:szCs w:val="24"/>
          <w:lang w:val="ru-RU" w:eastAsia="en-US"/>
        </w:rPr>
        <w:t>«Применимое право»</w:t>
      </w:r>
      <w:r>
        <w:rPr>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sz w:val="24"/>
          <w:szCs w:val="24"/>
          <w:lang w:eastAsia="en-US"/>
        </w:rPr>
        <w:t>средства бытовой химии</w:t>
      </w:r>
      <w:r>
        <w:rPr>
          <w:rFonts w:eastAsia="Calibri"/>
          <w:bCs/>
          <w:sz w:val="24"/>
          <w:szCs w:val="24"/>
          <w:lang w:eastAsia="en-US"/>
        </w:rPr>
        <w:t xml:space="preserve"> </w:t>
      </w:r>
      <w:r>
        <w:rPr>
          <w:bCs/>
          <w:sz w:val="24"/>
          <w:szCs w:val="24"/>
        </w:rPr>
        <w:t xml:space="preserve">(далее – «Товар») в соответствии со Спецификацией (Приложение № </w:t>
      </w:r>
      <w:r>
        <w:rPr>
          <w:bCs/>
          <w:sz w:val="24"/>
          <w:szCs w:val="24"/>
        </w:rPr>
        <w:t>1</w:t>
      </w:r>
      <w:r>
        <w:rPr>
          <w:bCs/>
          <w:sz w:val="24"/>
          <w:szCs w:val="24"/>
        </w:rPr>
        <w:t xml:space="preserve"> к Договору), а Покупатель обязуется принять Товар и уплатить Цену Договора.</w:t>
      </w:r>
    </w:p>
    <w:p>
      <w:pPr>
        <w:pStyle w:val="Normal"/>
        <w:numPr>
          <w:ilvl w:val="1"/>
          <w:numId w:val="2"/>
        </w:numPr>
        <w:tabs>
          <w:tab w:val="clear" w:pos="709"/>
          <w:tab w:val="left" w:pos="0" w:leader="none"/>
          <w:tab w:val="left" w:pos="1134" w:leader="none"/>
        </w:tabs>
        <w:ind w:left="0" w:firstLine="709"/>
        <w:jc w:val="both"/>
        <w:rPr>
          <w:highlight w:val="none"/>
          <w:shd w:fill="auto" w:val="clear"/>
        </w:rPr>
      </w:pPr>
      <w:r>
        <w:rPr>
          <w:bCs/>
          <w:sz w:val="24"/>
          <w:szCs w:val="24"/>
          <w:shd w:fill="auto" w:val="clear"/>
        </w:rPr>
        <w:t xml:space="preserve">Поставка Товара по Договору осуществляется для нужд </w:t>
      </w:r>
      <w:r>
        <w:rPr>
          <w:bCs/>
          <w:sz w:val="26"/>
          <w:szCs w:val="26"/>
          <w:shd w:fill="auto" w:val="clear"/>
        </w:rPr>
        <w:t>филиала ПАО «РусГидро» - «Зейская ГЭС».</w:t>
      </w:r>
    </w:p>
    <w:p>
      <w:pPr>
        <w:pStyle w:val="Normal"/>
        <w:numPr>
          <w:ilvl w:val="1"/>
          <w:numId w:val="2"/>
        </w:numPr>
        <w:tabs>
          <w:tab w:val="clear" w:pos="709"/>
          <w:tab w:val="left" w:pos="0" w:leader="none"/>
          <w:tab w:val="left" w:pos="1134" w:leader="none"/>
        </w:tabs>
        <w:ind w:left="0" w:firstLine="709"/>
        <w:jc w:val="both"/>
        <w:rPr>
          <w:highlight w:val="none"/>
          <w:shd w:fill="auto" w:val="clear"/>
        </w:rPr>
      </w:pPr>
      <w:r>
        <w:rPr>
          <w:bCs/>
          <w:sz w:val="26"/>
          <w:szCs w:val="26"/>
          <w:shd w:fill="auto" w:val="clear"/>
        </w:rPr>
        <w:t>Место поставки товара: 676244, Амурская область, г. Зея, склад № 2 Филиала ПАО «РусГидро» - «Зейская ГЭС»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Начало – с даты заключения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Окончание – не позднее </w:t>
      </w:r>
      <w:r>
        <w:rPr>
          <w:b/>
          <w:bCs/>
          <w:sz w:val="24"/>
          <w:szCs w:val="24"/>
        </w:rPr>
        <w:t>01.07.2026г.</w:t>
      </w:r>
    </w:p>
    <w:p>
      <w:pPr>
        <w:pStyle w:val="Normal"/>
        <w:numPr>
          <w:ilvl w:val="0"/>
          <w:numId w:val="0"/>
        </w:numPr>
        <w:shd w:val="clear" w:color="auto" w:fill="FFFFFF"/>
        <w:tabs>
          <w:tab w:val="clear" w:pos="709"/>
          <w:tab w:val="left" w:pos="0" w:leader="none"/>
          <w:tab w:val="left" w:pos="1134" w:leader="none"/>
          <w:tab w:val="left" w:pos="1418" w:leader="none"/>
        </w:tabs>
        <w:ind w:left="0" w:hanging="0"/>
        <w:jc w:val="both"/>
        <w:rPr>
          <w:bCs/>
          <w:sz w:val="24"/>
          <w:szCs w:val="24"/>
        </w:rPr>
      </w:pPr>
      <w:r>
        <w:rPr>
          <w:bCs/>
          <w:sz w:val="24"/>
          <w:szCs w:val="24"/>
        </w:rPr>
      </w:r>
    </w:p>
    <w:p>
      <w:pPr>
        <w:pStyle w:val="Normal"/>
        <w:shd w:val="clear" w:color="auto" w:fill="FFFFFF"/>
        <w:tabs>
          <w:tab w:val="clear" w:pos="709"/>
          <w:tab w:val="left" w:pos="540" w:leader="none"/>
        </w:tabs>
        <w:ind w:firstLine="709"/>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Цена Договора </w:t>
      </w:r>
      <w:r>
        <w:rPr>
          <w:bCs/>
          <w:sz w:val="24"/>
          <w:szCs w:val="24"/>
        </w:rPr>
        <w:t xml:space="preserve">является предельной и составляет </w:t>
      </w:r>
      <w:r>
        <w:rPr>
          <w:sz w:val="24"/>
          <w:szCs w:val="24"/>
          <w:shd w:fill="auto" w:val="clear"/>
        </w:rPr>
        <w:t>_______</w:t>
      </w:r>
      <w:r>
        <w:rPr>
          <w:bCs/>
          <w:sz w:val="24"/>
          <w:szCs w:val="24"/>
          <w:shd w:fill="auto" w:val="clear"/>
        </w:rPr>
        <w:t xml:space="preserve"> (</w:t>
      </w:r>
      <w:r>
        <w:rPr>
          <w:sz w:val="24"/>
          <w:szCs w:val="24"/>
          <w:shd w:fill="auto" w:val="clear"/>
        </w:rPr>
        <w:t>__________________</w:t>
      </w:r>
      <w:r>
        <w:rPr>
          <w:bCs/>
          <w:sz w:val="24"/>
          <w:szCs w:val="24"/>
          <w:shd w:fill="auto" w:val="clear"/>
        </w:rPr>
        <w:t xml:space="preserve">) рублей </w:t>
      </w:r>
      <w:r>
        <w:rPr>
          <w:sz w:val="24"/>
          <w:szCs w:val="24"/>
          <w:shd w:fill="auto" w:val="clear"/>
        </w:rPr>
        <w:t>___</w:t>
      </w:r>
      <w:r>
        <w:rPr>
          <w:bCs/>
          <w:sz w:val="24"/>
          <w:szCs w:val="24"/>
          <w:shd w:fill="auto" w:val="clear"/>
        </w:rPr>
        <w:t xml:space="preserve"> копеек без учета НДС, при этом НДС исчисляется дополнительно по ставке, установленной ст. 164 Налогового Кодекса РФ. </w:t>
      </w:r>
    </w:p>
    <w:p>
      <w:pPr>
        <w:pStyle w:val="Normal"/>
        <w:numPr>
          <w:ilvl w:val="1"/>
          <w:numId w:val="2"/>
        </w:numPr>
        <w:shd w:val="clear" w:color="auto" w:fill="FFFFFF"/>
        <w:tabs>
          <w:tab w:val="clear" w:pos="709"/>
          <w:tab w:val="left" w:pos="0" w:leader="none"/>
          <w:tab w:val="left" w:pos="1134" w:leader="none"/>
        </w:tabs>
        <w:ind w:left="0" w:firstLine="709"/>
        <w:jc w:val="both"/>
        <w:rPr>
          <w:highlight w:val="none"/>
          <w:shd w:fill="auto" w:val="clear"/>
        </w:rPr>
      </w:pPr>
      <w:r>
        <w:rPr>
          <w:bCs/>
          <w:sz w:val="24"/>
          <w:szCs w:val="24"/>
          <w:shd w:fill="auto" w:val="clear"/>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shd w:fill="auto" w:val="clear"/>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numPr>
          <w:ilvl w:val="1"/>
          <w:numId w:val="2"/>
        </w:numPr>
        <w:shd w:val="clear" w:color="auto" w:fill="FFFFFF"/>
        <w:tabs>
          <w:tab w:val="clear" w:pos="709"/>
          <w:tab w:val="left" w:pos="1134" w:leader="none"/>
        </w:tabs>
        <w:ind w:left="0" w:firstLine="709"/>
        <w:jc w:val="both"/>
        <w:rPr>
          <w:highlight w:val="none"/>
          <w:shd w:fill="auto" w:val="clear"/>
        </w:rPr>
      </w:pPr>
      <w:r>
        <w:rPr>
          <w:bCs/>
          <w:sz w:val="24"/>
          <w:szCs w:val="24"/>
          <w:shd w:fill="auto" w:val="clear"/>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highlight w:val="none"/>
          <w:shd w:fill="auto" w:val="clear"/>
        </w:rPr>
      </w:pPr>
      <w:r>
        <w:rPr>
          <w:bCs/>
          <w:sz w:val="24"/>
          <w:szCs w:val="24"/>
          <w:shd w:fill="auto" w:val="clear"/>
        </w:rPr>
        <w:t>Производство и / или приобретение Товара;</w:t>
      </w:r>
    </w:p>
    <w:p>
      <w:pPr>
        <w:pStyle w:val="ListParagraph"/>
        <w:numPr>
          <w:ilvl w:val="2"/>
          <w:numId w:val="9"/>
        </w:numPr>
        <w:shd w:val="clear" w:color="auto" w:fill="FFFFFF"/>
        <w:tabs>
          <w:tab w:val="clear" w:pos="709"/>
          <w:tab w:val="left" w:pos="1418" w:leader="none"/>
        </w:tabs>
        <w:ind w:left="0" w:firstLine="709"/>
        <w:jc w:val="both"/>
        <w:rPr>
          <w:highlight w:val="none"/>
          <w:shd w:fill="auto" w:val="clear"/>
        </w:rPr>
      </w:pPr>
      <w:r>
        <w:rPr>
          <w:bCs/>
          <w:sz w:val="24"/>
          <w:szCs w:val="24"/>
          <w:shd w:fill="auto" w:val="clear"/>
        </w:rPr>
        <w:t xml:space="preserve">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highlight w:val="none"/>
          <w:shd w:fill="auto" w:val="clear"/>
        </w:rPr>
      </w:pPr>
      <w:r>
        <w:rPr>
          <w:bCs/>
          <w:sz w:val="24"/>
          <w:szCs w:val="24"/>
          <w:shd w:fill="auto" w:val="clear"/>
        </w:rPr>
        <w:t>Подлежащие уплате налоги, сборы и пошлины (в том числе по таможенному оформлению Товара, если применимо)</w:t>
      </w:r>
      <w:r>
        <w:rPr>
          <w:bCs/>
          <w:sz w:val="24"/>
          <w:szCs w:val="24"/>
          <w:shd w:fill="auto" w:val="clear"/>
          <w:lang w:val="en-US"/>
        </w:rPr>
        <w:t>;</w:t>
      </w:r>
    </w:p>
    <w:p>
      <w:pPr>
        <w:pStyle w:val="Normal"/>
        <w:numPr>
          <w:ilvl w:val="2"/>
          <w:numId w:val="2"/>
        </w:numPr>
        <w:shd w:val="clear" w:color="auto" w:fill="FFFFFF"/>
        <w:tabs>
          <w:tab w:val="clear" w:pos="709"/>
          <w:tab w:val="left" w:pos="1418" w:leader="none"/>
        </w:tabs>
        <w:ind w:left="0" w:firstLine="709"/>
        <w:jc w:val="both"/>
        <w:rPr>
          <w:highlight w:val="none"/>
          <w:shd w:fill="auto" w:val="clear"/>
        </w:rPr>
      </w:pPr>
      <w:r>
        <w:rPr>
          <w:bCs/>
          <w:sz w:val="24"/>
          <w:szCs w:val="24"/>
          <w:shd w:fill="auto" w:val="clear"/>
        </w:rPr>
        <w:t xml:space="preserve">Заработную плату, накладные и командировочные расходы, перемещение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highlight w:val="none"/>
          <w:shd w:fill="auto" w:val="clear"/>
        </w:rPr>
      </w:pPr>
      <w:r>
        <w:rPr>
          <w:bCs/>
          <w:sz w:val="24"/>
          <w:szCs w:val="24"/>
          <w:shd w:fill="auto" w:val="clear"/>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highlight w:val="none"/>
          <w:shd w:fill="auto" w:val="clear"/>
        </w:rPr>
      </w:pPr>
      <w:r>
        <w:rPr>
          <w:sz w:val="24"/>
          <w:szCs w:val="24"/>
          <w:shd w:fill="auto" w:val="clear"/>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shd w:val="clear" w:color="auto" w:fill="FFFFFF"/>
        <w:tabs>
          <w:tab w:val="clear" w:pos="709"/>
          <w:tab w:val="left" w:pos="1189" w:leader="none"/>
        </w:tabs>
        <w:ind w:left="0" w:firstLine="709"/>
        <w:jc w:val="both"/>
        <w:rPr>
          <w:bCs/>
          <w:sz w:val="24"/>
        </w:rPr>
      </w:pPr>
      <w:r>
        <w:rPr>
          <w:bCs/>
          <w:sz w:val="24"/>
          <w:shd w:fill="auto" w:val="clear"/>
        </w:rPr>
        <w:t xml:space="preserve">Оплата по Договору осуществляется Покупателем в течение </w:t>
      </w:r>
      <w:r>
        <w:rPr>
          <w:sz w:val="24"/>
          <w:szCs w:val="24"/>
          <w:shd w:fill="auto" w:val="clear"/>
        </w:rPr>
        <w:t>20 (двадцати) календарных дней/ 7 (семи) рабочих дней</w:t>
      </w:r>
      <w:r>
        <w:rPr>
          <w:rStyle w:val="FootnoteReference"/>
          <w:sz w:val="24"/>
          <w:szCs w:val="24"/>
          <w:shd w:fill="auto" w:val="clear"/>
        </w:rPr>
        <w:footnoteReference w:id="2"/>
      </w:r>
      <w:r>
        <w:rPr>
          <w:sz w:val="24"/>
          <w:szCs w:val="24"/>
          <w:shd w:fill="auto" w:val="clear"/>
          <w:vertAlign w:val="superscript"/>
        </w:rPr>
        <w:t xml:space="preserve"> </w:t>
      </w:r>
      <w:r>
        <w:rPr>
          <w:bCs/>
          <w:sz w:val="24"/>
          <w:shd w:fill="auto" w:val="clear"/>
        </w:rPr>
        <w:t>с даты подписания Сторонами Накладной ТОРГ-</w:t>
      </w:r>
      <w:r>
        <w:rPr>
          <w:bCs/>
          <w:sz w:val="24"/>
        </w:rPr>
        <w:t>12 на основании счета, выставленного Поставщиком, и с учетом пункта 2.6 Договора.</w:t>
      </w:r>
    </w:p>
    <w:p>
      <w:pPr>
        <w:pStyle w:val="ListParagraph"/>
        <w:widowControl/>
        <w:numPr>
          <w:ilvl w:val="1"/>
          <w:numId w:val="2"/>
        </w:numPr>
        <w:shd w:val="clear" w:color="auto" w:fill="FFFFFF"/>
        <w:tabs>
          <w:tab w:val="clear" w:pos="709"/>
          <w:tab w:val="left" w:pos="0" w:leader="none"/>
          <w:tab w:val="left" w:pos="1134" w:leader="none"/>
          <w:tab w:val="left" w:pos="1276"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highlight w:val="none"/>
          <w:shd w:fill="auto" w:val="clear"/>
        </w:rPr>
      </w:pPr>
      <w:r>
        <w:rPr>
          <w:sz w:val="24"/>
          <w:szCs w:val="24"/>
          <w:shd w:fill="auto" w:val="clear"/>
        </w:rPr>
        <w:t>Поставщик обязан представить Покупателю счета</w:t>
      </w:r>
      <w:r>
        <w:rPr>
          <w:bCs/>
          <w:sz w:val="24"/>
          <w:szCs w:val="24"/>
          <w:shd w:fill="auto" w:val="clear"/>
        </w:rPr>
        <w:t>-</w:t>
      </w:r>
      <w:r>
        <w:rPr>
          <w:sz w:val="24"/>
          <w:szCs w:val="24"/>
          <w:shd w:fill="auto" w:val="clear"/>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shd w:fill="auto" w:val="clear"/>
        </w:rPr>
        <w:t>-</w:t>
      </w:r>
      <w:r>
        <w:rPr>
          <w:sz w:val="24"/>
          <w:szCs w:val="24"/>
          <w:shd w:fill="auto" w:val="clear"/>
        </w:rPr>
        <w:t>фактуры в течение 3 (трех) рабочих дней с даты получения соответствующего письменного требования Покупателя.</w:t>
      </w:r>
      <w:r>
        <w:rPr>
          <w:rStyle w:val="FootnoteReference"/>
          <w:sz w:val="24"/>
          <w:szCs w:val="24"/>
          <w:shd w:fill="auto" w:val="clear"/>
        </w:rPr>
        <w:footnoteReference w:id="3"/>
      </w:r>
    </w:p>
    <w:p>
      <w:pPr>
        <w:pStyle w:val="Normal"/>
        <w:numPr>
          <w:ilvl w:val="1"/>
          <w:numId w:val="2"/>
        </w:numPr>
        <w:shd w:val="clear" w:color="auto" w:fill="FFFFFF"/>
        <w:tabs>
          <w:tab w:val="clear" w:pos="709"/>
          <w:tab w:val="left" w:pos="1134" w:leader="none"/>
          <w:tab w:val="left" w:pos="1189"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shd w:val="clear" w:color="auto" w:fill="FFFFFF"/>
        <w:tabs>
          <w:tab w:val="clear" w:pos="709"/>
          <w:tab w:val="left" w:pos="1189" w:leader="none"/>
        </w:tabs>
        <w:ind w:left="0" w:firstLine="709"/>
        <w:jc w:val="both"/>
        <w:rPr>
          <w:sz w:val="24"/>
          <w:szCs w:val="24"/>
        </w:rPr>
      </w:pPr>
      <w:bookmarkStart w:id="0" w:name="_GoBack"/>
      <w:bookmarkEnd w:id="0"/>
      <w:r>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ListParagraph"/>
        <w:shd w:val="clear" w:color="auto" w:fill="FFFFFF"/>
        <w:tabs>
          <w:tab w:val="clear" w:pos="709"/>
          <w:tab w:val="left" w:pos="1134" w:leader="none"/>
        </w:tabs>
        <w:ind w:left="0"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ListParagraph"/>
        <w:shd w:val="clear" w:color="auto" w:fill="FFFFFF"/>
        <w:ind w:left="709" w:hanging="0"/>
        <w:jc w:val="both"/>
        <w:rPr>
          <w:sz w:val="24"/>
          <w:szCs w:val="24"/>
          <w:highlight w:val="lightGray"/>
        </w:rPr>
      </w:pPr>
      <w:r>
        <w:rPr>
          <w:sz w:val="24"/>
          <w:szCs w:val="24"/>
          <w:highlight w:val="lightGray"/>
        </w:rPr>
      </w:r>
    </w:p>
    <w:p>
      <w:pPr>
        <w:pStyle w:val="Normal"/>
        <w:numPr>
          <w:ilvl w:val="0"/>
          <w:numId w:val="2"/>
        </w:numPr>
        <w:shd w:val="clear" w:color="auto" w:fill="FFFFFF"/>
        <w:tabs>
          <w:tab w:val="clear" w:pos="709"/>
          <w:tab w:val="left" w:pos="284" w:leader="none"/>
        </w:tabs>
        <w:ind w:left="0" w:hanging="0"/>
        <w:jc w:val="center"/>
        <w:rPr>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Поставка товара осуществляется в Место поставки товара, указанное в п. 1.3. Договора.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Качество  </w:t>
      </w:r>
      <w:r>
        <w:rPr>
          <w:sz w:val="26"/>
          <w:szCs w:val="26"/>
        </w:rPr>
        <w:t>комплектность, количество и ассортимент поставляемого по Договору Товара должны соответствовать требованиям Договора и Покупателя, а также Применимого права.</w:t>
      </w:r>
    </w:p>
    <w:p>
      <w:pPr>
        <w:pStyle w:val="Normal"/>
        <w:widowControl/>
        <w:shd w:val="clear" w:color="auto" w:fill="FFFFFF"/>
        <w:tabs>
          <w:tab w:val="clear" w:pos="709"/>
          <w:tab w:val="left" w:pos="1134" w:leader="none"/>
        </w:tabs>
        <w:ind w:firstLine="709"/>
        <w:jc w:val="both"/>
        <w:rPr>
          <w:highlight w:val="none"/>
          <w:shd w:fill="auto" w:val="clear"/>
        </w:rPr>
      </w:pPr>
      <w:r>
        <w:rPr>
          <w:bCs/>
          <w:sz w:val="24"/>
          <w:szCs w:val="24"/>
          <w:shd w:fill="auto" w:val="clear"/>
        </w:rPr>
        <w:t xml:space="preserve">Поставщик не вправе производить </w:t>
      </w:r>
      <w:r>
        <w:rPr>
          <w:sz w:val="24"/>
          <w:szCs w:val="24"/>
          <w:shd w:fill="auto" w:val="clear"/>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товарно</w:t>
      </w:r>
      <w:r>
        <w:rPr>
          <w:color w:val="000000"/>
          <w:sz w:val="24"/>
          <w:szCs w:val="24"/>
        </w:rPr>
        <w:t>-транспортную накладную формы №1-Т (для учета товарно-материальных ценностей и расчетов за их перевозки) или железнодорожная накладная (форма № ГУ-27) в 1 (один) экз.;</w:t>
      </w:r>
    </w:p>
    <w:p>
      <w:pPr>
        <w:pStyle w:val="Normal"/>
        <w:numPr>
          <w:ilvl w:val="0"/>
          <w:numId w:val="3"/>
        </w:numPr>
        <w:tabs>
          <w:tab w:val="clear" w:pos="709"/>
          <w:tab w:val="left" w:pos="1418" w:leader="none"/>
        </w:tabs>
        <w:ind w:left="0" w:firstLine="709"/>
        <w:jc w:val="both"/>
        <w:rPr>
          <w:highlight w:val="none"/>
          <w:shd w:fill="auto" w:val="clear"/>
        </w:rPr>
      </w:pPr>
      <w:r>
        <w:rPr>
          <w:sz w:val="24"/>
          <w:szCs w:val="24"/>
          <w:shd w:fill="auto" w:val="clear"/>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highlight w:val="none"/>
          <w:shd w:fill="auto" w:val="clear"/>
        </w:rPr>
      </w:pPr>
      <w:r>
        <w:rPr>
          <w:sz w:val="24"/>
          <w:szCs w:val="24"/>
          <w:shd w:fill="auto" w:val="clear"/>
        </w:rPr>
        <w:t>накладная ТОРГ-12 в 2 (двух)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акт приема передачи товара в 2 (двух)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счета на оплату окончательных платежей в 1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widowControl/>
        <w:shd w:val="clear" w:color="auto" w:fill="FFFFFF"/>
        <w:tabs>
          <w:tab w:val="clear" w:pos="709"/>
          <w:tab w:val="left" w:pos="1134" w:leader="none"/>
          <w:tab w:val="left" w:pos="1418" w:leader="none"/>
        </w:tabs>
        <w:ind w:left="709" w:hanging="0"/>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Цену Договора.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2" w:name="_Ref361396594"/>
      <w:r>
        <w:rPr>
          <w:sz w:val="24"/>
          <w:szCs w:val="24"/>
        </w:rPr>
        <w:t>Датой поставки Товара является дата подписания Сторонами Накладной</w:t>
        <w:br/>
        <w:t>ТОРГ-12.</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ListParagraph"/>
        <w:numPr>
          <w:ilvl w:val="1"/>
          <w:numId w:val="2"/>
        </w:numPr>
        <w:tabs>
          <w:tab w:val="clear" w:pos="709"/>
          <w:tab w:val="left" w:pos="1418" w:leader="none"/>
        </w:tabs>
        <w:ind w:left="0" w:firstLine="709"/>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p>
    <w:p>
      <w:pPr>
        <w:pStyle w:val="ListParagraph"/>
        <w:numPr>
          <w:ilvl w:val="1"/>
          <w:numId w:val="2"/>
        </w:numPr>
        <w:tabs>
          <w:tab w:val="clear" w:pos="709"/>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bookmarkStart w:id="3"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3"/>
    </w:p>
    <w:p>
      <w:pPr>
        <w:pStyle w:val="ListParagraph"/>
        <w:numPr>
          <w:ilvl w:val="1"/>
          <w:numId w:val="2"/>
        </w:numPr>
        <w:shd w:val="clear" w:color="auto" w:fill="FFFFFF"/>
        <w:tabs>
          <w:tab w:val="clear" w:pos="709"/>
          <w:tab w:val="left" w:pos="1418" w:leader="none"/>
          <w:tab w:val="left" w:pos="1851"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widowControl/>
        <w:shd w:val="clear" w:color="auto" w:fill="FFFFFF"/>
        <w:tabs>
          <w:tab w:val="clear" w:pos="709"/>
          <w:tab w:val="left" w:pos="1134" w:leader="none"/>
          <w:tab w:val="left" w:pos="1418" w:leader="none"/>
        </w:tabs>
        <w:ind w:firstLine="709"/>
        <w:jc w:val="both"/>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Pr>
          <w:sz w:val="24"/>
          <w:szCs w:val="24"/>
        </w:rPr>
        <w:t>начиная с 31 (тридцать первого) календарного дня просрочки (неустойка с 1 по 30 день просрочки не начисляется)</w:t>
      </w:r>
      <w:r>
        <w:rPr>
          <w:bCs/>
          <w:sz w:val="24"/>
          <w:szCs w:val="24"/>
        </w:rPr>
        <w:t xml:space="preserve">.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shd w:val="clear" w:color="auto" w:fill="FFFFFF"/>
        <w:tabs>
          <w:tab w:val="clear" w:pos="709"/>
          <w:tab w:val="left" w:pos="1276" w:leader="none"/>
        </w:tabs>
        <w:ind w:left="0" w:firstLine="709"/>
        <w:jc w:val="both"/>
        <w:rPr>
          <w:highlight w:val="none"/>
          <w:shd w:fill="auto" w:val="clear"/>
        </w:rPr>
      </w:pPr>
      <w:r>
        <w:rPr>
          <w:bCs/>
          <w:sz w:val="24"/>
          <w:szCs w:val="24"/>
          <w:shd w:fill="auto" w:val="clear"/>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shd w:fill="auto" w:val="clear"/>
        </w:rPr>
        <w:t xml:space="preserve">В случае нарушения Поставщиком сроков предоставления счетов-фактур, установленных пунктом </w:t>
      </w:r>
      <w:r>
        <w:rPr>
          <w:bCs/>
          <w:sz w:val="24"/>
          <w:szCs w:val="24"/>
        </w:rPr>
        <w:t>2.9 Договора, Покупатель вправе требовать уплаты Поставщиком штрафа в размере 50 000 (Пятидесяти тысяч) рублей за каждый случай нарушения</w:t>
      </w:r>
      <w:r>
        <w:rPr>
          <w:rStyle w:val="FootnoteReference"/>
          <w:bCs/>
          <w:sz w:val="24"/>
          <w:szCs w:val="24"/>
        </w:rPr>
        <w:footnoteReference w:id="4"/>
      </w:r>
      <w:r>
        <w:rPr>
          <w:bCs/>
          <w:sz w:val="24"/>
          <w:szCs w:val="24"/>
        </w:rPr>
        <w:t>.</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4"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4"/>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5"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5"/>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6"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6"/>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w:t>
      </w:r>
      <w:r>
        <w:rPr>
          <w:bCs/>
          <w:sz w:val="24"/>
          <w:szCs w:val="24"/>
          <w:shd w:fill="auto" w:val="clear"/>
        </w:rPr>
        <w:t xml:space="preserve"> Амурской области в соответствии с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highlight w:val="none"/>
          <w:shd w:fill="auto" w:val="clear"/>
        </w:rPr>
      </w:pPr>
      <w:r>
        <w:rPr>
          <w:bCs/>
          <w:sz w:val="24"/>
          <w:szCs w:val="24"/>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12.8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8.7.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7" w:name="_Ref361337900"/>
      <w:r>
        <w:rPr>
          <w:bCs/>
        </w:rPr>
        <w:t xml:space="preserve">. </w:t>
      </w:r>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w:t>
        <w:br/>
        <w:t xml:space="preserve">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r>
        <w:rPr>
          <w:bCs/>
          <w:sz w:val="24"/>
          <w:szCs w:val="24"/>
        </w:rPr>
        <w:t xml:space="preserve">соответствующие </w:t>
      </w:r>
      <w:hyperlink r:id="rId4">
        <w:r>
          <w:rPr>
            <w:bCs/>
            <w:sz w:val="24"/>
            <w:szCs w:val="24"/>
          </w:rPr>
          <w:t>Критери</w:t>
        </w:r>
      </w:hyperlink>
      <w:r>
        <w:rPr>
          <w:bCs/>
          <w:sz w:val="24"/>
          <w:szCs w:val="24"/>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7"/>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8" w:name="_Ref361337921"/>
      <w:r>
        <w:rPr>
          <w:bCs/>
          <w:sz w:val="24"/>
          <w:szCs w:val="24"/>
        </w:rPr>
        <w:t xml:space="preserve"> </w:t>
      </w: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8"/>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9" w:name="_Ref361337948"/>
      <w:r>
        <w:rPr>
          <w:bCs/>
          <w:sz w:val="24"/>
          <w:szCs w:val="24"/>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9"/>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0" w:name="_Ref361337980"/>
      <w:r>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0"/>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1" w:name="_Ref373243071"/>
      <w:r>
        <w:rPr>
          <w:bCs/>
          <w:sz w:val="24"/>
          <w:szCs w:val="24"/>
        </w:rPr>
        <w:t xml:space="preserve">. Штраф, предусмотренный пунктом 10.4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10.3 Договора.</w:t>
      </w:r>
      <w:bookmarkEnd w:id="11"/>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2" w:name="_Ref361337992"/>
      <w:r>
        <w:rPr>
          <w:bCs/>
          <w:sz w:val="24"/>
          <w:szCs w:val="24"/>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br/>
        <w:t>При этом Покупатель не будет считаться просрочившим и / или нарушившим свои обязательства по Договору.</w:t>
      </w:r>
      <w:bookmarkEnd w:id="12"/>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r>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tabs>
          <w:tab w:val="clear" w:pos="709"/>
          <w:tab w:val="left" w:pos="1134" w:leader="none"/>
        </w:tabs>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shd w:fill="auto" w:val="clear"/>
        </w:rPr>
        <w:t xml:space="preserve">12.8 </w:t>
      </w:r>
      <w:r>
        <w:rPr>
          <w:sz w:val="24"/>
          <w:szCs w:val="24"/>
        </w:rPr>
        <w:t>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left" w:pos="709" w:leader="none"/>
          <w:tab w:val="left" w:pos="1418" w:leader="none"/>
        </w:tabs>
        <w:ind w:left="0" w:firstLine="709"/>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shd w:val="clear" w:color="auto" w:fill="FFFFFF"/>
        <w:tabs>
          <w:tab w:val="clear" w:pos="709"/>
          <w:tab w:val="left" w:pos="1134" w:leader="none"/>
          <w:tab w:val="left" w:pos="1418" w:leader="none"/>
        </w:tabs>
        <w:ind w:left="0" w:firstLine="709"/>
        <w:jc w:val="both"/>
        <w:rPr/>
      </w:pPr>
      <w:r>
        <w:rPr>
          <w:sz w:val="24"/>
          <w:szCs w:val="24"/>
        </w:rPr>
        <w:t xml:space="preserve">Стороны установили, что существенным нарушением Договора Поставщиком является: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pPr>
        <w:pStyle w:val="ListParagraph"/>
        <w:widowControl/>
        <w:numPr>
          <w:ilvl w:val="1"/>
          <w:numId w:val="10"/>
        </w:numPr>
        <w:shd w:val="clear" w:color="auto" w:fill="FFFFFF"/>
        <w:tabs>
          <w:tab w:val="clear" w:pos="709"/>
          <w:tab w:val="left" w:pos="1418" w:leader="none"/>
        </w:tabs>
        <w:ind w:left="0" w:firstLine="709"/>
        <w:jc w:val="both"/>
        <w:rPr>
          <w:sz w:val="24"/>
          <w:szCs w:val="24"/>
        </w:rPr>
      </w:pPr>
      <w:r>
        <w:rPr>
          <w:sz w:val="24"/>
          <w:szCs w:val="24"/>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10"/>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numPr>
          <w:ilvl w:val="1"/>
          <w:numId w:val="10"/>
        </w:numPr>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highlight w:val="none"/>
          <w:shd w:fill="auto" w:val="clear"/>
        </w:rPr>
      </w:pPr>
      <w:r>
        <w:rPr>
          <w:sz w:val="24"/>
          <w:szCs w:val="24"/>
          <w:shd w:fill="auto" w:val="clear"/>
        </w:rPr>
        <w:t>Договор заключается в электронной форме с</w:t>
      </w:r>
      <w:r>
        <w:rPr>
          <w:i/>
          <w:sz w:val="24"/>
          <w:szCs w:val="24"/>
          <w:shd w:fill="auto" w:val="clear"/>
        </w:rPr>
        <w:t xml:space="preserve"> </w:t>
      </w:r>
      <w:r>
        <w:rPr>
          <w:sz w:val="24"/>
          <w:szCs w:val="24"/>
          <w:shd w:fill="auto" w:val="clear"/>
        </w:rPr>
        <w:t>использованием программно-аппаратных средств</w:t>
      </w:r>
      <w:r>
        <w:rPr>
          <w:i/>
          <w:sz w:val="24"/>
          <w:szCs w:val="24"/>
          <w:shd w:fill="auto" w:val="clear"/>
        </w:rPr>
        <w:t xml:space="preserve"> информационной системы электронного документооборота общего пользования</w:t>
      </w:r>
      <w:r>
        <w:rPr>
          <w:sz w:val="24"/>
          <w:szCs w:val="24"/>
          <w:shd w:fill="auto" w:val="clear"/>
        </w:rPr>
        <w:t xml:space="preserve"> путем его подписания усиленными квалифицированными электронными подписями (далее – УКЭП) уполномоченных представителей Сторон.</w:t>
      </w:r>
    </w:p>
    <w:p>
      <w:pPr>
        <w:pStyle w:val="Normal"/>
        <w:ind w:firstLine="709"/>
        <w:jc w:val="both"/>
        <w:rPr>
          <w:highlight w:val="none"/>
          <w:shd w:fill="auto" w:val="clear"/>
        </w:rPr>
      </w:pPr>
      <w:r>
        <w:rPr>
          <w:sz w:val="24"/>
          <w:szCs w:val="24"/>
          <w:shd w:fill="auto" w:val="clear"/>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shd w:fill="auto" w:val="clear"/>
        </w:rPr>
        <w:t xml:space="preserve">12.7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highlight w:val="none"/>
          <w:shd w:fill="auto" w:val="clear"/>
        </w:rPr>
      </w:pPr>
      <w:r>
        <w:rPr>
          <w:sz w:val="24"/>
          <w:szCs w:val="24"/>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highlight w:val="none"/>
          <w:shd w:fill="auto" w:val="clear"/>
        </w:rPr>
      </w:pPr>
      <w:r>
        <w:rPr>
          <w:sz w:val="24"/>
          <w:szCs w:val="24"/>
          <w:shd w:fill="auto" w:val="clear"/>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highlight w:val="none"/>
          <w:shd w:fill="auto" w:val="clear"/>
        </w:rPr>
      </w:pPr>
      <w:r>
        <w:rPr>
          <w:sz w:val="24"/>
          <w:szCs w:val="24"/>
          <w:shd w:fill="auto" w:val="clear"/>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12.8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highlight w:val="none"/>
          <w:shd w:fill="auto" w:val="clear"/>
        </w:rPr>
      </w:pPr>
      <w:bookmarkStart w:id="13" w:name="_Ref361338004"/>
      <w:r>
        <w:rPr>
          <w:sz w:val="24"/>
          <w:szCs w:val="24"/>
          <w:shd w:fill="auto" w:val="clear"/>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12.8 Договора.</w:t>
      </w:r>
      <w:bookmarkEnd w:id="13"/>
      <w:r>
        <w:rPr>
          <w:sz w:val="24"/>
          <w:szCs w:val="24"/>
          <w:shd w:fill="auto" w:val="clear"/>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highlight w:val="none"/>
          <w:shd w:fill="auto" w:val="clear"/>
        </w:rPr>
      </w:pPr>
      <w:r>
        <w:rPr>
          <w:sz w:val="24"/>
          <w:szCs w:val="24"/>
          <w:shd w:fill="auto" w:val="clear"/>
        </w:rPr>
        <w:t>Письма, уведомления и / или сообщения направляются Стороне</w:t>
      </w:r>
      <w:r>
        <w:rPr>
          <w:bCs/>
          <w:sz w:val="24"/>
          <w:szCs w:val="24"/>
          <w:shd w:fill="auto" w:val="clear"/>
        </w:rPr>
        <w:t>-</w:t>
      </w:r>
      <w:r>
        <w:rPr>
          <w:sz w:val="24"/>
          <w:szCs w:val="24"/>
          <w:shd w:fill="auto" w:val="clear"/>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shd w:fill="auto" w:val="clear"/>
        </w:rPr>
        <w:t xml:space="preserve"> будет считаться полученным</w:t>
      </w:r>
      <w:r>
        <w:rPr>
          <w:sz w:val="24"/>
          <w:szCs w:val="24"/>
          <w:shd w:fill="auto" w:val="clear"/>
        </w:rPr>
        <w:t xml:space="preserve">: </w:t>
      </w:r>
    </w:p>
    <w:p>
      <w:pPr>
        <w:pStyle w:val="ListParagraph"/>
        <w:numPr>
          <w:ilvl w:val="2"/>
          <w:numId w:val="2"/>
        </w:numPr>
        <w:tabs>
          <w:tab w:val="clear" w:pos="709"/>
          <w:tab w:val="left" w:pos="1532" w:leader="none"/>
        </w:tabs>
        <w:ind w:left="0" w:firstLine="709"/>
        <w:jc w:val="both"/>
        <w:rPr>
          <w:highlight w:val="none"/>
          <w:shd w:fill="auto" w:val="clear"/>
        </w:rPr>
      </w:pPr>
      <w:r>
        <w:rPr>
          <w:bCs/>
          <w:sz w:val="24"/>
          <w:szCs w:val="24"/>
          <w:shd w:fill="auto" w:val="clear"/>
        </w:rPr>
        <w:t xml:space="preserve">Заказным почтовым отправлением с уведомлением о вручении – </w:t>
      </w:r>
      <w:r>
        <w:rPr>
          <w:sz w:val="24"/>
          <w:szCs w:val="24"/>
          <w:shd w:fill="auto" w:val="clea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tabs>
          <w:tab w:val="clear" w:pos="709"/>
          <w:tab w:val="left" w:pos="1532" w:leader="none"/>
        </w:tabs>
        <w:ind w:left="0" w:firstLine="709"/>
        <w:jc w:val="both"/>
        <w:rPr>
          <w:highlight w:val="none"/>
          <w:shd w:fill="auto" w:val="clear"/>
        </w:rPr>
      </w:pPr>
      <w:r>
        <w:rPr>
          <w:bCs/>
          <w:sz w:val="24"/>
          <w:szCs w:val="24"/>
          <w:shd w:fill="auto" w:val="clear"/>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shd w:fill="auto" w:val="clear"/>
        </w:rPr>
        <w:t xml:space="preserve">; </w:t>
      </w:r>
    </w:p>
    <w:p>
      <w:pPr>
        <w:pStyle w:val="ListParagraph"/>
        <w:numPr>
          <w:ilvl w:val="2"/>
          <w:numId w:val="2"/>
        </w:numPr>
        <w:tabs>
          <w:tab w:val="clear" w:pos="709"/>
          <w:tab w:val="left" w:pos="1532" w:leader="none"/>
        </w:tabs>
        <w:ind w:left="0" w:firstLine="709"/>
        <w:jc w:val="both"/>
        <w:rPr>
          <w:highlight w:val="none"/>
          <w:shd w:fill="auto" w:val="clear"/>
        </w:rPr>
      </w:pPr>
      <w:r>
        <w:rPr>
          <w:bCs/>
          <w:sz w:val="24"/>
          <w:szCs w:val="24"/>
          <w:shd w:fill="auto" w:val="clear"/>
        </w:rPr>
        <w:t>Посредством электронной почты (</w:t>
      </w:r>
      <w:r>
        <w:rPr>
          <w:bCs/>
          <w:sz w:val="24"/>
          <w:szCs w:val="24"/>
          <w:shd w:fill="auto" w:val="clear"/>
          <w:lang w:val="en-US"/>
        </w:rPr>
        <w:t>e</w:t>
      </w:r>
      <w:r>
        <w:rPr>
          <w:bCs/>
          <w:sz w:val="24"/>
          <w:szCs w:val="24"/>
          <w:shd w:fill="auto" w:val="clear"/>
        </w:rPr>
        <w:t>-</w:t>
      </w:r>
      <w:r>
        <w:rPr>
          <w:bCs/>
          <w:sz w:val="24"/>
          <w:szCs w:val="24"/>
          <w:shd w:fill="auto" w:val="clear"/>
          <w:lang w:val="en-US"/>
        </w:rPr>
        <w:t>mail</w:t>
      </w:r>
      <w:r>
        <w:rPr>
          <w:bCs/>
          <w:sz w:val="24"/>
          <w:szCs w:val="24"/>
          <w:shd w:fill="auto" w:val="clear"/>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s>
        <w:ind w:left="0" w:firstLine="709"/>
        <w:jc w:val="both"/>
        <w:rPr>
          <w:highlight w:val="none"/>
          <w:shd w:fill="auto" w:val="clear"/>
        </w:rPr>
      </w:pPr>
      <w:r>
        <w:rPr>
          <w:bCs/>
          <w:sz w:val="24"/>
          <w:szCs w:val="24"/>
          <w:shd w:fill="auto" w:val="clear"/>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12.8.1 – 12.8.2 Договора. </w:t>
      </w:r>
    </w:p>
    <w:p>
      <w:pPr>
        <w:pStyle w:val="ListParagraph"/>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0"/>
          <w:numId w:val="0"/>
        </w:numPr>
        <w:shd w:val="clear" w:color="auto" w:fill="FFFFFF"/>
        <w:tabs>
          <w:tab w:val="clear" w:pos="709"/>
          <w:tab w:val="left" w:pos="0" w:leader="none"/>
          <w:tab w:val="left" w:pos="1418" w:leader="none"/>
        </w:tabs>
        <w:ind w:left="0" w:hanging="0"/>
        <w:jc w:val="both"/>
        <w:rPr>
          <w:sz w:val="24"/>
          <w:szCs w:val="24"/>
          <w:highlight w:val="lightGray"/>
        </w:rPr>
      </w:pPr>
      <w:r>
        <w:rPr>
          <w:sz w:val="24"/>
          <w:szCs w:val="24"/>
          <w:highlight w:val="lightGray"/>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numPr>
          <w:ilvl w:val="0"/>
          <w:numId w:val="0"/>
        </w:numPr>
        <w:shd w:val="clear" w:color="auto" w:fill="FFFFFF"/>
        <w:spacing w:before="0" w:after="0"/>
        <w:ind w:left="0" w:hanging="0"/>
        <w:contextualSpacing/>
        <w:jc w:val="center"/>
        <w:rPr>
          <w:b/>
          <w:bCs/>
          <w:sz w:val="24"/>
          <w:szCs w:val="24"/>
        </w:rPr>
      </w:pPr>
      <w:r>
        <w:rPr/>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lang w:eastAsia="x-none"/>
        </w:rPr>
      </w:pPr>
      <w:r>
        <w:rPr>
          <w:sz w:val="24"/>
          <w:szCs w:val="24"/>
          <w:lang w:eastAsia="x-none"/>
        </w:rPr>
        <w:t xml:space="preserve">Приложение № </w:t>
      </w:r>
      <w:r>
        <w:rPr>
          <w:sz w:val="24"/>
          <w:szCs w:val="24"/>
          <w:lang w:eastAsia="x-none"/>
        </w:rPr>
        <w:t>1</w:t>
      </w:r>
      <w:r>
        <w:rPr>
          <w:sz w:val="24"/>
          <w:szCs w:val="24"/>
          <w:lang w:eastAsia="x-none"/>
        </w:rPr>
        <w:t xml:space="preserve"> –</w:t>
      </w:r>
      <w:r>
        <w:rPr>
          <w:rFonts w:eastAsia="Calibri"/>
          <w:sz w:val="24"/>
          <w:szCs w:val="24"/>
          <w:lang w:eastAsia="en-US"/>
        </w:rPr>
        <w:t xml:space="preserve"> Спецификация.</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4" w:name="sub_1"/>
      <w:bookmarkEnd w:id="14"/>
      <w:r>
        <w:rPr>
          <w:rFonts w:eastAsia="Calibri"/>
          <w:sz w:val="24"/>
          <w:szCs w:val="24"/>
          <w:lang w:eastAsia="en-US"/>
        </w:rPr>
        <w:t xml:space="preserve">Приложение № </w:t>
      </w:r>
      <w:r>
        <w:rPr>
          <w:rFonts w:eastAsia="Calibri"/>
          <w:sz w:val="24"/>
          <w:szCs w:val="24"/>
          <w:lang w:eastAsia="en-US"/>
        </w:rPr>
        <w:t>2</w:t>
      </w:r>
      <w:r>
        <w:rPr>
          <w:rFonts w:eastAsia="Calibri"/>
          <w:sz w:val="24"/>
          <w:szCs w:val="24"/>
          <w:lang w:eastAsia="en-US"/>
        </w:rPr>
        <w:t xml:space="preserve"> – </w:t>
      </w:r>
      <w:r>
        <w:rPr>
          <w:rFonts w:eastAsia="Calibri"/>
          <w:bCs/>
          <w:sz w:val="24"/>
          <w:szCs w:val="24"/>
          <w:lang w:eastAsia="en-US"/>
        </w:rPr>
        <w:t>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Pr>
          <w:rFonts w:eastAsia="Calibri"/>
          <w:sz w:val="24"/>
          <w:szCs w:val="24"/>
          <w:lang w:eastAsia="en-US"/>
        </w:rPr>
        <w:t>;</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lang w:eastAsia="x-none"/>
        </w:rPr>
      </w:pPr>
      <w:r>
        <w:rPr>
          <w:bCs/>
          <w:sz w:val="24"/>
          <w:szCs w:val="24"/>
        </w:rPr>
      </w:r>
      <w:bookmarkStart w:id="15" w:name="sub_1"/>
      <w:bookmarkStart w:id="16" w:name="sub_1"/>
      <w:bookmarkEnd w:id="16"/>
    </w:p>
    <w:p>
      <w:pPr>
        <w:pStyle w:val="ListParagraph"/>
        <w:widowControl/>
        <w:numPr>
          <w:ilvl w:val="0"/>
          <w:numId w:val="2"/>
        </w:numPr>
        <w:shd w:val="clear" w:color="auto" w:fill="FFFFFF"/>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firstLine="709"/>
        <w:rPr>
          <w:b/>
          <w:bCs/>
          <w:sz w:val="24"/>
          <w:szCs w:val="24"/>
        </w:rPr>
      </w:pPr>
      <w:r>
        <w:rPr>
          <w:b/>
          <w:bCs/>
          <w:sz w:val="24"/>
          <w:szCs w:val="24"/>
        </w:rPr>
      </w:r>
    </w:p>
    <w:tbl>
      <w:tblPr>
        <w:tblW w:w="978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1"/>
        <w:gridCol w:w="143"/>
        <w:gridCol w:w="4643"/>
        <w:gridCol w:w="214"/>
      </w:tblGrid>
      <w:tr>
        <w:trPr/>
        <w:tc>
          <w:tcPr>
            <w:tcW w:w="4924" w:type="dxa"/>
            <w:gridSpan w:val="2"/>
            <w:tcBorders/>
          </w:tcPr>
          <w:p>
            <w:pPr>
              <w:pStyle w:val="Normal"/>
              <w:widowControl w:val="false"/>
              <w:rPr>
                <w:b/>
                <w:sz w:val="24"/>
                <w:szCs w:val="24"/>
              </w:rPr>
            </w:pPr>
            <w:r>
              <w:rPr>
                <w:b/>
                <w:sz w:val="24"/>
                <w:szCs w:val="24"/>
              </w:rPr>
              <w:t>Покупатель:</w:t>
            </w:r>
          </w:p>
        </w:tc>
        <w:tc>
          <w:tcPr>
            <w:tcW w:w="4857" w:type="dxa"/>
            <w:gridSpan w:val="2"/>
            <w:tcBorders/>
          </w:tcPr>
          <w:p>
            <w:pPr>
              <w:pStyle w:val="Normal"/>
              <w:widowControl w:val="false"/>
              <w:rPr>
                <w:b/>
                <w:sz w:val="24"/>
                <w:szCs w:val="24"/>
              </w:rPr>
            </w:pPr>
            <w:r>
              <w:rPr>
                <w:b/>
                <w:sz w:val="24"/>
                <w:szCs w:val="24"/>
              </w:rPr>
              <w:t>Поставщик:</w:t>
            </w:r>
          </w:p>
        </w:tc>
      </w:tr>
      <w:tr>
        <w:trPr/>
        <w:tc>
          <w:tcPr>
            <w:tcW w:w="4924" w:type="dxa"/>
            <w:gridSpan w:val="2"/>
            <w:tcBorders/>
            <w:shd w:color="auto" w:fill="BFBFBF" w:val="clear"/>
          </w:tcPr>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660017, Красноярский край, </w:t>
            </w:r>
          </w:p>
          <w:p>
            <w:pPr>
              <w:pStyle w:val="Normal"/>
              <w:widowControl w:val="false"/>
              <w:rPr>
                <w:sz w:val="24"/>
                <w:szCs w:val="24"/>
              </w:rPr>
            </w:pPr>
            <w:r>
              <w:rPr>
                <w:sz w:val="24"/>
                <w:szCs w:val="24"/>
              </w:rPr>
              <w:t xml:space="preserve">г. Красноярск, ул. Дубровинского, </w:t>
            </w:r>
          </w:p>
          <w:p>
            <w:pPr>
              <w:pStyle w:val="Normal"/>
              <w:widowControl w:val="false"/>
              <w:rPr>
                <w:sz w:val="24"/>
                <w:szCs w:val="24"/>
              </w:rPr>
            </w:pPr>
            <w:r>
              <w:rPr>
                <w:sz w:val="24"/>
                <w:szCs w:val="24"/>
              </w:rPr>
              <w:t>д. 43, стр. 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 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tc>
        <w:tc>
          <w:tcPr>
            <w:tcW w:w="4857" w:type="dxa"/>
            <w:gridSpan w:val="2"/>
            <w:tcBorders/>
            <w:shd w:color="auto" w:fill="BFBFBF" w:val="clear"/>
          </w:tcPr>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81"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214"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8192"/>
        </w:sectPr>
      </w:pPr>
    </w:p>
    <w:p>
      <w:pPr>
        <w:pStyle w:val="Normal"/>
        <w:suppressAutoHyphens w:val="true"/>
        <w:ind w:firstLine="4820"/>
        <w:rPr>
          <w:sz w:val="22"/>
          <w:szCs w:val="22"/>
        </w:rPr>
      </w:pPr>
      <w:r>
        <w:rPr/>
      </w:r>
    </w:p>
    <w:p>
      <w:pPr>
        <w:pStyle w:val="Normal"/>
        <w:tabs>
          <w:tab w:val="clear" w:pos="709"/>
          <w:tab w:val="left" w:pos="6521" w:leader="none"/>
        </w:tabs>
        <w:ind w:right="96" w:hanging="567"/>
        <w:jc w:val="left"/>
        <w:rPr/>
      </w:pPr>
      <w:r>
        <w:rPr>
          <w:sz w:val="24"/>
          <w:szCs w:val="28"/>
        </w:rPr>
        <w:tab/>
        <w:tab/>
        <w:tab/>
        <w:t>П</w:t>
      </w:r>
      <w:r>
        <w:rPr>
          <w:sz w:val="24"/>
          <w:szCs w:val="28"/>
        </w:rPr>
        <w:t>риложение №1</w:t>
      </w:r>
    </w:p>
    <w:p>
      <w:pPr>
        <w:pStyle w:val="Normal"/>
        <w:jc w:val="left"/>
        <w:rPr/>
      </w:pPr>
      <w:r>
        <w:rPr>
          <w:sz w:val="24"/>
          <w:szCs w:val="28"/>
        </w:rPr>
        <w:tab/>
        <w:tab/>
        <w:tab/>
        <w:tab/>
        <w:tab/>
        <w:tab/>
        <w:tab/>
        <w:tab/>
        <w:tab/>
        <w:tab/>
        <w:t>к</w:t>
      </w:r>
      <w:r>
        <w:rPr>
          <w:sz w:val="24"/>
          <w:szCs w:val="28"/>
        </w:rPr>
        <w:t xml:space="preserve"> </w:t>
      </w:r>
      <w:r>
        <w:rPr>
          <w:sz w:val="24"/>
          <w:szCs w:val="28"/>
        </w:rPr>
        <w:t>Д</w:t>
      </w:r>
      <w:r>
        <w:rPr>
          <w:sz w:val="24"/>
          <w:szCs w:val="28"/>
        </w:rPr>
        <w:t xml:space="preserve">оговору поставки </w:t>
      </w:r>
    </w:p>
    <w:p>
      <w:pPr>
        <w:pStyle w:val="Normal"/>
        <w:ind w:left="4956" w:firstLine="708"/>
        <w:jc w:val="left"/>
        <w:rPr/>
      </w:pPr>
      <w:r>
        <w:rPr>
          <w:sz w:val="24"/>
          <w:szCs w:val="28"/>
        </w:rPr>
        <w:tab/>
        <w:tab/>
        <w:tab/>
        <w:tab/>
      </w:r>
      <w:r>
        <w:rPr>
          <w:sz w:val="24"/>
          <w:szCs w:val="28"/>
        </w:rPr>
        <w:t>о</w:t>
      </w:r>
      <w:r>
        <w:rPr>
          <w:sz w:val="24"/>
          <w:szCs w:val="28"/>
        </w:rPr>
        <w:t>т «___»__________2026</w:t>
      </w:r>
      <w:r>
        <w:rPr>
          <w:sz w:val="24"/>
          <w:szCs w:val="28"/>
          <w:lang w:val="en-US"/>
        </w:rPr>
        <w:t xml:space="preserve"> </w:t>
      </w:r>
      <w:r>
        <w:rPr>
          <w:sz w:val="24"/>
          <w:szCs w:val="28"/>
        </w:rPr>
        <w:t>г.</w:t>
      </w:r>
    </w:p>
    <w:p>
      <w:pPr>
        <w:pStyle w:val="Normal"/>
        <w:tabs>
          <w:tab w:val="clear" w:pos="709"/>
          <w:tab w:val="left" w:pos="6521" w:leader="none"/>
        </w:tabs>
        <w:ind w:hanging="567"/>
        <w:jc w:val="right"/>
        <w:rPr>
          <w:sz w:val="24"/>
          <w:szCs w:val="28"/>
        </w:rPr>
      </w:pPr>
      <w:r>
        <w:rPr>
          <w:sz w:val="24"/>
          <w:szCs w:val="28"/>
        </w:rPr>
      </w:r>
    </w:p>
    <w:p>
      <w:pPr>
        <w:pStyle w:val="Normal"/>
        <w:tabs>
          <w:tab w:val="clear" w:pos="709"/>
          <w:tab w:val="left" w:pos="6521" w:leader="none"/>
        </w:tabs>
        <w:ind w:hanging="567"/>
        <w:jc w:val="center"/>
        <w:rPr>
          <w:sz w:val="24"/>
          <w:szCs w:val="28"/>
        </w:rPr>
      </w:pPr>
      <w:r>
        <w:rPr>
          <w:sz w:val="24"/>
          <w:szCs w:val="28"/>
        </w:rPr>
        <w:t>СПЕЦИФИКАЦИЯ</w:t>
      </w:r>
    </w:p>
    <w:p>
      <w:pPr>
        <w:pStyle w:val="Normal"/>
        <w:tabs>
          <w:tab w:val="clear" w:pos="709"/>
          <w:tab w:val="left" w:pos="6521" w:leader="none"/>
        </w:tabs>
        <w:ind w:hanging="567"/>
        <w:jc w:val="right"/>
        <w:rPr>
          <w:sz w:val="24"/>
          <w:szCs w:val="28"/>
        </w:rPr>
      </w:pPr>
      <w:r>
        <w:rPr>
          <w:sz w:val="24"/>
          <w:szCs w:val="28"/>
        </w:rPr>
      </w:r>
    </w:p>
    <w:p>
      <w:pPr>
        <w:pStyle w:val="Normal"/>
        <w:tabs>
          <w:tab w:val="clear" w:pos="709"/>
          <w:tab w:val="left" w:pos="6521" w:leader="none"/>
        </w:tabs>
        <w:ind w:hanging="567"/>
        <w:jc w:val="right"/>
        <w:rPr>
          <w:sz w:val="24"/>
          <w:szCs w:val="28"/>
        </w:rPr>
      </w:pPr>
      <w:r>
        <w:rPr>
          <w:sz w:val="24"/>
          <w:szCs w:val="28"/>
        </w:rPr>
      </w:r>
    </w:p>
    <w:tbl>
      <w:tblPr>
        <w:tblW w:w="1020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556"/>
        <w:gridCol w:w="1250"/>
        <w:gridCol w:w="1419"/>
        <w:gridCol w:w="855"/>
        <w:gridCol w:w="1365"/>
        <w:gridCol w:w="1125"/>
        <w:gridCol w:w="1305"/>
        <w:gridCol w:w="1260"/>
        <w:gridCol w:w="1065"/>
      </w:tblGrid>
      <w:tr>
        <w:trPr>
          <w:trHeight w:val="630" w:hRule="atLeast"/>
        </w:trPr>
        <w:tc>
          <w:tcPr>
            <w:tcW w:w="55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color w:val="000000"/>
                <w:sz w:val="16"/>
                <w:szCs w:val="16"/>
              </w:rPr>
              <w:t>№</w:t>
            </w:r>
          </w:p>
        </w:tc>
        <w:tc>
          <w:tcPr>
            <w:tcW w:w="12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color w:val="000000"/>
                <w:sz w:val="16"/>
                <w:szCs w:val="16"/>
              </w:rPr>
              <w:t>Наименование</w:t>
            </w:r>
          </w:p>
        </w:tc>
        <w:tc>
          <w:tcPr>
            <w:tcW w:w="141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color w:val="000000"/>
                <w:sz w:val="16"/>
                <w:szCs w:val="16"/>
              </w:rPr>
              <w:t>Технические характеристики</w:t>
            </w:r>
          </w:p>
        </w:tc>
        <w:tc>
          <w:tcPr>
            <w:tcW w:w="855"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sz w:val="16"/>
                <w:szCs w:val="16"/>
              </w:rPr>
            </w:pPr>
            <w:r>
              <w:rPr>
                <w:color w:val="000000"/>
                <w:sz w:val="16"/>
                <w:szCs w:val="16"/>
              </w:rPr>
              <w:t>Кол-во, шт.</w:t>
            </w:r>
          </w:p>
        </w:tc>
        <w:tc>
          <w:tcPr>
            <w:tcW w:w="136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color w:val="000000"/>
                <w:sz w:val="16"/>
                <w:szCs w:val="16"/>
              </w:rPr>
              <w:t>Страна происхождения</w:t>
            </w:r>
          </w:p>
        </w:tc>
        <w:tc>
          <w:tcPr>
            <w:tcW w:w="112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color w:val="000000"/>
                <w:sz w:val="16"/>
                <w:szCs w:val="16"/>
              </w:rPr>
              <w:t>Цена, руб./шт.</w:t>
            </w:r>
          </w:p>
        </w:tc>
        <w:tc>
          <w:tcPr>
            <w:tcW w:w="130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before="0" w:after="0"/>
              <w:ind w:left="227" w:right="0" w:hanging="0"/>
              <w:jc w:val="center"/>
              <w:rPr>
                <w:sz w:val="16"/>
                <w:szCs w:val="16"/>
              </w:rPr>
            </w:pPr>
            <w:r>
              <w:rPr>
                <w:color w:val="000000"/>
                <w:sz w:val="16"/>
                <w:szCs w:val="16"/>
              </w:rPr>
              <w:t>Стоимость, руб. без НДС</w:t>
            </w:r>
          </w:p>
        </w:tc>
        <w:tc>
          <w:tcPr>
            <w:tcW w:w="126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color w:val="000000"/>
                <w:sz w:val="16"/>
                <w:szCs w:val="16"/>
              </w:rPr>
              <w:t>НДС</w:t>
            </w:r>
          </w:p>
        </w:tc>
        <w:tc>
          <w:tcPr>
            <w:tcW w:w="106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t>Итого с НДС</w:t>
            </w:r>
          </w:p>
        </w:tc>
      </w:tr>
      <w:tr>
        <w:trPr>
          <w:trHeight w:val="315" w:hRule="atLeast"/>
        </w:trPr>
        <w:tc>
          <w:tcPr>
            <w:tcW w:w="5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16"/>
                <w:szCs w:val="16"/>
              </w:rPr>
            </w:pPr>
            <w:r>
              <w:rPr>
                <w:color w:val="000000"/>
                <w:sz w:val="16"/>
                <w:szCs w:val="16"/>
              </w:rPr>
            </w:r>
          </w:p>
        </w:tc>
        <w:tc>
          <w:tcPr>
            <w:tcW w:w="12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16"/>
                <w:szCs w:val="16"/>
              </w:rPr>
            </w:pPr>
            <w:r>
              <w:rPr>
                <w:color w:val="000000"/>
                <w:sz w:val="16"/>
                <w:szCs w:val="16"/>
              </w:rPr>
            </w:r>
          </w:p>
        </w:tc>
        <w:tc>
          <w:tcPr>
            <w:tcW w:w="14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16"/>
                <w:szCs w:val="16"/>
              </w:rPr>
            </w:pPr>
            <w:r>
              <w:rPr>
                <w:color w:val="000000"/>
                <w:sz w:val="16"/>
                <w:szCs w:val="16"/>
              </w:rPr>
            </w:r>
          </w:p>
        </w:tc>
        <w:tc>
          <w:tcPr>
            <w:tcW w:w="855" w:type="dxa"/>
            <w:vMerge w:val="continue"/>
            <w:tcBorders>
              <w:top w:val="single" w:sz="4" w:space="0" w:color="000000"/>
              <w:left w:val="single" w:sz="4" w:space="0" w:color="000000"/>
              <w:bottom w:val="single" w:sz="4" w:space="0" w:color="000000"/>
            </w:tcBorders>
            <w:vAlign w:val="center"/>
          </w:tcPr>
          <w:p>
            <w:pPr>
              <w:pStyle w:val="Normal"/>
              <w:widowControl w:val="false"/>
              <w:rPr>
                <w:color w:val="000000"/>
                <w:sz w:val="16"/>
                <w:szCs w:val="16"/>
              </w:rPr>
            </w:pPr>
            <w:r>
              <w:rPr>
                <w:color w:val="000000"/>
                <w:sz w:val="16"/>
                <w:szCs w:val="16"/>
              </w:rPr>
            </w:r>
          </w:p>
        </w:tc>
        <w:tc>
          <w:tcPr>
            <w:tcW w:w="136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16"/>
                <w:szCs w:val="16"/>
              </w:rPr>
            </w:pPr>
            <w:r>
              <w:rPr>
                <w:color w:val="000000"/>
                <w:sz w:val="16"/>
                <w:szCs w:val="16"/>
              </w:rPr>
            </w:r>
          </w:p>
        </w:tc>
        <w:tc>
          <w:tcPr>
            <w:tcW w:w="1125" w:type="dxa"/>
            <w:tcBorders>
              <w:bottom w:val="single" w:sz="4" w:space="0" w:color="000000"/>
              <w:right w:val="single" w:sz="4" w:space="0" w:color="000000"/>
            </w:tcBorders>
            <w:shd w:color="auto" w:fill="auto" w:val="clear"/>
            <w:vAlign w:val="center"/>
          </w:tcPr>
          <w:p>
            <w:pPr>
              <w:pStyle w:val="Normal"/>
              <w:widowControl w:val="false"/>
              <w:jc w:val="center"/>
              <w:rPr>
                <w:sz w:val="16"/>
                <w:szCs w:val="16"/>
              </w:rPr>
            </w:pPr>
            <w:r>
              <w:rPr>
                <w:color w:val="000000"/>
                <w:sz w:val="16"/>
                <w:szCs w:val="16"/>
              </w:rPr>
              <w:t>без НДС</w:t>
            </w:r>
          </w:p>
        </w:tc>
        <w:tc>
          <w:tcPr>
            <w:tcW w:w="13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16"/>
                <w:szCs w:val="16"/>
              </w:rPr>
            </w:pPr>
            <w:r>
              <w:rPr>
                <w:color w:val="000000"/>
                <w:sz w:val="16"/>
                <w:szCs w:val="16"/>
              </w:rPr>
            </w:r>
          </w:p>
        </w:tc>
        <w:tc>
          <w:tcPr>
            <w:tcW w:w="12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16"/>
                <w:szCs w:val="16"/>
              </w:rPr>
            </w:pPr>
            <w:r>
              <w:rPr>
                <w:color w:val="000000"/>
                <w:sz w:val="16"/>
                <w:szCs w:val="16"/>
              </w:rPr>
            </w:r>
          </w:p>
        </w:tc>
        <w:tc>
          <w:tcPr>
            <w:tcW w:w="10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4"/>
                <w:szCs w:val="24"/>
              </w:rPr>
            </w:pPr>
            <w:r>
              <w:rPr>
                <w:color w:val="000000"/>
                <w:sz w:val="24"/>
                <w:szCs w:val="24"/>
              </w:rPr>
            </w:r>
          </w:p>
        </w:tc>
      </w:tr>
      <w:tr>
        <w:trPr>
          <w:trHeight w:val="630" w:hRule="atLeast"/>
        </w:trPr>
        <w:tc>
          <w:tcPr>
            <w:tcW w:w="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color w:val="000000"/>
                <w:sz w:val="16"/>
                <w:szCs w:val="16"/>
              </w:rPr>
              <w:t>1</w:t>
            </w:r>
          </w:p>
        </w:tc>
        <w:tc>
          <w:tcPr>
            <w:tcW w:w="1250" w:type="dxa"/>
            <w:tcBorders>
              <w:bottom w:val="single" w:sz="4" w:space="0" w:color="000000"/>
              <w:right w:val="single" w:sz="4" w:space="0" w:color="000000"/>
            </w:tcBorders>
            <w:shd w:color="auto" w:fill="auto" w:val="clear"/>
            <w:vAlign w:val="center"/>
          </w:tcPr>
          <w:p>
            <w:pPr>
              <w:pStyle w:val="Normal"/>
              <w:widowControl w:val="false"/>
              <w:rPr>
                <w:color w:val="000000"/>
                <w:sz w:val="16"/>
                <w:szCs w:val="16"/>
              </w:rPr>
            </w:pPr>
            <w:r>
              <w:rPr>
                <w:color w:val="000000"/>
                <w:sz w:val="16"/>
                <w:szCs w:val="16"/>
              </w:rPr>
            </w:r>
          </w:p>
        </w:tc>
        <w:tc>
          <w:tcPr>
            <w:tcW w:w="1419" w:type="dxa"/>
            <w:tcBorders>
              <w:bottom w:val="single" w:sz="4" w:space="0" w:color="000000"/>
              <w:right w:val="single" w:sz="4" w:space="0" w:color="000000"/>
            </w:tcBorders>
            <w:shd w:color="auto" w:fill="auto" w:val="clear"/>
            <w:vAlign w:val="bottom"/>
          </w:tcPr>
          <w:p>
            <w:pPr>
              <w:pStyle w:val="Normal"/>
              <w:widowControl w:val="false"/>
              <w:rPr>
                <w:color w:val="000000"/>
                <w:sz w:val="16"/>
                <w:szCs w:val="16"/>
              </w:rPr>
            </w:pPr>
            <w:r>
              <w:rPr>
                <w:color w:val="000000"/>
                <w:sz w:val="16"/>
                <w:szCs w:val="16"/>
              </w:rPr>
            </w:r>
          </w:p>
        </w:tc>
        <w:tc>
          <w:tcPr>
            <w:tcW w:w="855"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365"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125"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305"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260" w:type="dxa"/>
            <w:tcBorders>
              <w:bottom w:val="single" w:sz="4" w:space="0" w:color="000000"/>
              <w:right w:val="single" w:sz="4" w:space="0" w:color="000000"/>
            </w:tcBorders>
            <w:shd w:color="auto" w:fill="auto" w:val="clear"/>
            <w:vAlign w:val="center"/>
          </w:tcPr>
          <w:p>
            <w:pPr>
              <w:pStyle w:val="Normal"/>
              <w:widowControl w:val="false"/>
              <w:tabs>
                <w:tab w:val="clear" w:pos="709"/>
                <w:tab w:val="left" w:pos="735" w:leader="none"/>
              </w:tabs>
              <w:jc w:val="center"/>
              <w:rPr>
                <w:color w:val="000000"/>
                <w:sz w:val="16"/>
                <w:szCs w:val="16"/>
                <w:lang w:val="en-US"/>
              </w:rPr>
            </w:pPr>
            <w:r>
              <w:rPr>
                <w:color w:val="000000"/>
                <w:sz w:val="16"/>
                <w:szCs w:val="16"/>
                <w:lang w:val="en-US"/>
              </w:rPr>
            </w:r>
          </w:p>
        </w:tc>
        <w:tc>
          <w:tcPr>
            <w:tcW w:w="1065"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4"/>
                <w:szCs w:val="24"/>
                <w:lang w:val="en-US"/>
              </w:rPr>
            </w:pPr>
            <w:r>
              <w:rPr>
                <w:color w:val="000000"/>
                <w:sz w:val="24"/>
                <w:szCs w:val="24"/>
                <w:lang w:val="en-US"/>
              </w:rPr>
            </w:r>
          </w:p>
        </w:tc>
      </w:tr>
      <w:tr>
        <w:trPr>
          <w:trHeight w:val="570" w:hRule="atLeast"/>
        </w:trPr>
        <w:tc>
          <w:tcPr>
            <w:tcW w:w="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color w:val="000000"/>
                <w:sz w:val="16"/>
                <w:szCs w:val="16"/>
              </w:rPr>
              <w:t>2</w:t>
            </w:r>
          </w:p>
        </w:tc>
        <w:tc>
          <w:tcPr>
            <w:tcW w:w="1250" w:type="dxa"/>
            <w:tcBorders>
              <w:bottom w:val="single" w:sz="4" w:space="0" w:color="000000"/>
              <w:right w:val="single" w:sz="4" w:space="0" w:color="000000"/>
            </w:tcBorders>
            <w:shd w:color="auto" w:fill="auto" w:val="clear"/>
            <w:vAlign w:val="center"/>
          </w:tcPr>
          <w:p>
            <w:pPr>
              <w:pStyle w:val="Normal"/>
              <w:widowControl w:val="false"/>
              <w:rPr>
                <w:color w:val="000000"/>
                <w:sz w:val="16"/>
                <w:szCs w:val="16"/>
              </w:rPr>
            </w:pPr>
            <w:r>
              <w:rPr>
                <w:color w:val="000000"/>
                <w:sz w:val="16"/>
                <w:szCs w:val="16"/>
              </w:rPr>
            </w:r>
          </w:p>
        </w:tc>
        <w:tc>
          <w:tcPr>
            <w:tcW w:w="1419" w:type="dxa"/>
            <w:tcBorders>
              <w:bottom w:val="single" w:sz="4" w:space="0" w:color="000000"/>
              <w:right w:val="single" w:sz="4" w:space="0" w:color="000000"/>
            </w:tcBorders>
            <w:shd w:color="auto" w:fill="auto" w:val="clear"/>
            <w:vAlign w:val="center"/>
          </w:tcPr>
          <w:p>
            <w:pPr>
              <w:pStyle w:val="Normal"/>
              <w:widowControl w:val="false"/>
              <w:rPr>
                <w:color w:val="000000"/>
                <w:sz w:val="16"/>
                <w:szCs w:val="16"/>
              </w:rPr>
            </w:pPr>
            <w:r>
              <w:rPr>
                <w:color w:val="000000"/>
                <w:sz w:val="16"/>
                <w:szCs w:val="16"/>
              </w:rPr>
            </w:r>
          </w:p>
        </w:tc>
        <w:tc>
          <w:tcPr>
            <w:tcW w:w="855"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365"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125"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305"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260"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rPr>
            </w:pPr>
            <w:r>
              <w:rPr>
                <w:color w:val="000000"/>
                <w:sz w:val="16"/>
                <w:szCs w:val="16"/>
              </w:rPr>
            </w:r>
          </w:p>
        </w:tc>
        <w:tc>
          <w:tcPr>
            <w:tcW w:w="1065"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4"/>
                <w:szCs w:val="24"/>
                <w:lang w:val="en-US"/>
              </w:rPr>
            </w:pPr>
            <w:r>
              <w:rPr>
                <w:color w:val="000000"/>
                <w:sz w:val="24"/>
                <w:szCs w:val="24"/>
                <w:lang w:val="en-US"/>
              </w:rPr>
            </w:r>
          </w:p>
        </w:tc>
      </w:tr>
      <w:tr>
        <w:trPr>
          <w:trHeight w:val="570" w:hRule="atLeast"/>
        </w:trPr>
        <w:tc>
          <w:tcPr>
            <w:tcW w:w="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color w:val="000000"/>
                <w:sz w:val="16"/>
                <w:szCs w:val="16"/>
              </w:rPr>
              <w:t>3</w:t>
            </w:r>
          </w:p>
        </w:tc>
        <w:tc>
          <w:tcPr>
            <w:tcW w:w="1250" w:type="dxa"/>
            <w:tcBorders>
              <w:bottom w:val="single" w:sz="4" w:space="0" w:color="000000"/>
              <w:right w:val="single" w:sz="4" w:space="0" w:color="000000"/>
            </w:tcBorders>
            <w:shd w:color="auto" w:fill="auto" w:val="clear"/>
            <w:vAlign w:val="center"/>
          </w:tcPr>
          <w:p>
            <w:pPr>
              <w:pStyle w:val="Normal"/>
              <w:widowControl w:val="false"/>
              <w:rPr>
                <w:color w:val="000000"/>
                <w:sz w:val="16"/>
                <w:szCs w:val="16"/>
              </w:rPr>
            </w:pPr>
            <w:r>
              <w:rPr>
                <w:color w:val="000000"/>
                <w:sz w:val="16"/>
                <w:szCs w:val="16"/>
              </w:rPr>
            </w:r>
          </w:p>
        </w:tc>
        <w:tc>
          <w:tcPr>
            <w:tcW w:w="1419" w:type="dxa"/>
            <w:tcBorders>
              <w:bottom w:val="single" w:sz="4" w:space="0" w:color="000000"/>
              <w:right w:val="single" w:sz="4" w:space="0" w:color="000000"/>
            </w:tcBorders>
            <w:shd w:color="auto" w:fill="auto" w:val="clear"/>
            <w:vAlign w:val="bottom"/>
          </w:tcPr>
          <w:p>
            <w:pPr>
              <w:pStyle w:val="Normal"/>
              <w:widowControl w:val="false"/>
              <w:rPr>
                <w:color w:val="000000"/>
                <w:sz w:val="16"/>
                <w:szCs w:val="16"/>
                <w:lang w:val="en-US"/>
              </w:rPr>
            </w:pPr>
            <w:r>
              <w:rPr>
                <w:color w:val="000000"/>
                <w:sz w:val="16"/>
                <w:szCs w:val="16"/>
                <w:lang w:val="en-US"/>
              </w:rPr>
            </w:r>
          </w:p>
        </w:tc>
        <w:tc>
          <w:tcPr>
            <w:tcW w:w="855"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365"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125"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305"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rPr>
            </w:pPr>
            <w:r>
              <w:rPr>
                <w:color w:val="000000"/>
                <w:sz w:val="16"/>
                <w:szCs w:val="16"/>
              </w:rPr>
            </w:r>
          </w:p>
        </w:tc>
        <w:tc>
          <w:tcPr>
            <w:tcW w:w="1260"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rPr>
            </w:pPr>
            <w:r>
              <w:rPr>
                <w:color w:val="000000"/>
                <w:sz w:val="16"/>
                <w:szCs w:val="16"/>
              </w:rPr>
            </w:r>
          </w:p>
        </w:tc>
        <w:tc>
          <w:tcPr>
            <w:tcW w:w="1065"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r>
          </w:p>
        </w:tc>
      </w:tr>
      <w:tr>
        <w:trPr>
          <w:trHeight w:val="555" w:hRule="atLeast"/>
        </w:trPr>
        <w:tc>
          <w:tcPr>
            <w:tcW w:w="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color w:val="000000"/>
                <w:sz w:val="16"/>
                <w:szCs w:val="16"/>
              </w:rPr>
              <w:t>4</w:t>
            </w:r>
          </w:p>
        </w:tc>
        <w:tc>
          <w:tcPr>
            <w:tcW w:w="1250" w:type="dxa"/>
            <w:tcBorders>
              <w:bottom w:val="single" w:sz="4" w:space="0" w:color="000000"/>
              <w:right w:val="single" w:sz="4" w:space="0" w:color="000000"/>
            </w:tcBorders>
            <w:shd w:color="auto" w:fill="auto" w:val="clear"/>
            <w:vAlign w:val="center"/>
          </w:tcPr>
          <w:p>
            <w:pPr>
              <w:pStyle w:val="Normal"/>
              <w:widowControl w:val="false"/>
              <w:rPr>
                <w:color w:val="000000"/>
                <w:sz w:val="16"/>
                <w:szCs w:val="16"/>
              </w:rPr>
            </w:pPr>
            <w:r>
              <w:rPr>
                <w:color w:val="000000"/>
                <w:sz w:val="16"/>
                <w:szCs w:val="16"/>
              </w:rPr>
            </w:r>
          </w:p>
        </w:tc>
        <w:tc>
          <w:tcPr>
            <w:tcW w:w="1419" w:type="dxa"/>
            <w:tcBorders>
              <w:bottom w:val="single" w:sz="4" w:space="0" w:color="000000"/>
              <w:right w:val="single" w:sz="4" w:space="0" w:color="000000"/>
            </w:tcBorders>
            <w:shd w:color="auto" w:fill="auto" w:val="clear"/>
            <w:vAlign w:val="bottom"/>
          </w:tcPr>
          <w:p>
            <w:pPr>
              <w:pStyle w:val="Normal"/>
              <w:widowControl w:val="false"/>
              <w:rPr>
                <w:color w:val="000000"/>
                <w:sz w:val="16"/>
                <w:szCs w:val="16"/>
              </w:rPr>
            </w:pPr>
            <w:r>
              <w:rPr>
                <w:color w:val="000000"/>
                <w:sz w:val="16"/>
                <w:szCs w:val="16"/>
              </w:rPr>
            </w:r>
          </w:p>
        </w:tc>
        <w:tc>
          <w:tcPr>
            <w:tcW w:w="855"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365"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125"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305"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rPr>
            </w:pPr>
            <w:r>
              <w:rPr>
                <w:color w:val="000000"/>
                <w:sz w:val="16"/>
                <w:szCs w:val="16"/>
              </w:rPr>
            </w:r>
          </w:p>
        </w:tc>
        <w:tc>
          <w:tcPr>
            <w:tcW w:w="1260"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rPr>
            </w:pPr>
            <w:r>
              <w:rPr>
                <w:color w:val="000000"/>
                <w:sz w:val="16"/>
                <w:szCs w:val="16"/>
              </w:rPr>
            </w:r>
          </w:p>
        </w:tc>
        <w:tc>
          <w:tcPr>
            <w:tcW w:w="1065"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r>
          </w:p>
        </w:tc>
      </w:tr>
      <w:tr>
        <w:trPr>
          <w:trHeight w:val="570" w:hRule="atLeast"/>
        </w:trPr>
        <w:tc>
          <w:tcPr>
            <w:tcW w:w="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color w:val="000000"/>
                <w:sz w:val="16"/>
                <w:szCs w:val="16"/>
              </w:rPr>
              <w:t>5</w:t>
            </w:r>
          </w:p>
        </w:tc>
        <w:tc>
          <w:tcPr>
            <w:tcW w:w="1250" w:type="dxa"/>
            <w:tcBorders>
              <w:bottom w:val="single" w:sz="4" w:space="0" w:color="000000"/>
              <w:right w:val="single" w:sz="4" w:space="0" w:color="000000"/>
            </w:tcBorders>
            <w:shd w:color="auto" w:fill="auto" w:val="clear"/>
            <w:vAlign w:val="center"/>
          </w:tcPr>
          <w:p>
            <w:pPr>
              <w:pStyle w:val="Normal"/>
              <w:widowControl w:val="false"/>
              <w:rPr>
                <w:color w:val="000000"/>
                <w:sz w:val="16"/>
                <w:szCs w:val="16"/>
              </w:rPr>
            </w:pPr>
            <w:r>
              <w:rPr>
                <w:color w:val="000000"/>
                <w:sz w:val="16"/>
                <w:szCs w:val="16"/>
              </w:rPr>
            </w:r>
          </w:p>
        </w:tc>
        <w:tc>
          <w:tcPr>
            <w:tcW w:w="1419" w:type="dxa"/>
            <w:tcBorders>
              <w:bottom w:val="single" w:sz="4" w:space="0" w:color="000000"/>
              <w:right w:val="single" w:sz="4" w:space="0" w:color="000000"/>
            </w:tcBorders>
            <w:shd w:color="auto" w:fill="auto" w:val="clear"/>
            <w:vAlign w:val="center"/>
          </w:tcPr>
          <w:p>
            <w:pPr>
              <w:pStyle w:val="Normal"/>
              <w:widowControl w:val="false"/>
              <w:rPr>
                <w:color w:val="000000"/>
                <w:sz w:val="16"/>
                <w:szCs w:val="16"/>
                <w:lang w:val="en-US"/>
              </w:rPr>
            </w:pPr>
            <w:r>
              <w:rPr>
                <w:color w:val="000000"/>
                <w:sz w:val="16"/>
                <w:szCs w:val="16"/>
                <w:lang w:val="en-US"/>
              </w:rPr>
            </w:r>
          </w:p>
        </w:tc>
        <w:tc>
          <w:tcPr>
            <w:tcW w:w="855"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365"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125"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305"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rPr>
            </w:pPr>
            <w:r>
              <w:rPr>
                <w:color w:val="000000"/>
                <w:sz w:val="16"/>
                <w:szCs w:val="16"/>
              </w:rPr>
            </w:r>
          </w:p>
        </w:tc>
        <w:tc>
          <w:tcPr>
            <w:tcW w:w="1260"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rPr>
            </w:pPr>
            <w:r>
              <w:rPr>
                <w:color w:val="000000"/>
                <w:sz w:val="16"/>
                <w:szCs w:val="16"/>
              </w:rPr>
            </w:r>
          </w:p>
        </w:tc>
        <w:tc>
          <w:tcPr>
            <w:tcW w:w="1065"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r>
          </w:p>
        </w:tc>
      </w:tr>
    </w:tbl>
    <w:p>
      <w:pPr>
        <w:pStyle w:val="Normal"/>
        <w:rPr>
          <w:bCs/>
          <w:color w:val="000000"/>
          <w:sz w:val="24"/>
          <w:szCs w:val="24"/>
        </w:rPr>
      </w:pPr>
      <w:r>
        <w:rPr>
          <w:bCs/>
          <w:color w:val="000000"/>
          <w:sz w:val="24"/>
          <w:szCs w:val="24"/>
        </w:rPr>
      </w:r>
    </w:p>
    <w:p>
      <w:pPr>
        <w:pStyle w:val="Normal"/>
        <w:rPr>
          <w:bCs/>
          <w:color w:val="000000"/>
          <w:sz w:val="24"/>
          <w:szCs w:val="24"/>
        </w:rPr>
      </w:pPr>
      <w:r>
        <w:rPr>
          <w:bCs/>
          <w:color w:val="000000"/>
          <w:sz w:val="24"/>
          <w:szCs w:val="24"/>
        </w:rPr>
      </w:r>
    </w:p>
    <w:p>
      <w:pPr>
        <w:pStyle w:val="Normal"/>
        <w:rPr>
          <w:bCs/>
          <w:color w:val="000000"/>
          <w:sz w:val="24"/>
          <w:szCs w:val="24"/>
        </w:rPr>
      </w:pPr>
      <w:r>
        <w:rPr>
          <w:bCs/>
          <w:color w:val="000000"/>
          <w:sz w:val="24"/>
          <w:szCs w:val="24"/>
        </w:rPr>
        <w:t>1. Общая сумма Спецификации составляет:  (   ) рублей 00 копеек.</w:t>
      </w:r>
    </w:p>
    <w:p>
      <w:pPr>
        <w:pStyle w:val="Normal"/>
        <w:rPr>
          <w:sz w:val="24"/>
          <w:szCs w:val="24"/>
        </w:rPr>
      </w:pPr>
      <w:r>
        <w:rPr>
          <w:sz w:val="24"/>
          <w:szCs w:val="24"/>
        </w:rPr>
        <w:t>2. Подписи сторон:</w:t>
      </w:r>
    </w:p>
    <w:p>
      <w:pPr>
        <w:pStyle w:val="Normal"/>
        <w:rPr>
          <w:sz w:val="24"/>
          <w:szCs w:val="24"/>
        </w:rPr>
      </w:pPr>
      <w:r>
        <w:rPr>
          <w:sz w:val="24"/>
          <w:szCs w:val="24"/>
        </w:rPr>
      </w:r>
    </w:p>
    <w:tbl>
      <w:tblPr>
        <w:tblW w:w="7830" w:type="dxa"/>
        <w:jc w:val="left"/>
        <w:tblInd w:w="850" w:type="dxa"/>
        <w:tblLayout w:type="fixed"/>
        <w:tblCellMar>
          <w:top w:w="0" w:type="dxa"/>
          <w:left w:w="108" w:type="dxa"/>
          <w:bottom w:w="0" w:type="dxa"/>
          <w:right w:w="108" w:type="dxa"/>
        </w:tblCellMar>
        <w:tblLook w:val="04a0" w:noHBand="0" w:noVBand="1" w:firstColumn="1" w:lastRow="0" w:lastColumn="0" w:firstRow="1"/>
      </w:tblPr>
      <w:tblGrid>
        <w:gridCol w:w="4020"/>
        <w:gridCol w:w="3810"/>
      </w:tblGrid>
      <w:tr>
        <w:trPr/>
        <w:tc>
          <w:tcPr>
            <w:tcW w:w="4020" w:type="dxa"/>
            <w:tcBorders/>
          </w:tcPr>
          <w:p>
            <w:pPr>
              <w:pStyle w:val="Normal"/>
              <w:widowControl w:val="false"/>
              <w:tabs>
                <w:tab w:val="clear" w:pos="709"/>
                <w:tab w:val="left" w:pos="4155" w:leader="none"/>
              </w:tabs>
              <w:rPr>
                <w:sz w:val="24"/>
                <w:szCs w:val="24"/>
              </w:rPr>
            </w:pPr>
            <w:r>
              <w:rPr>
                <w:sz w:val="24"/>
                <w:szCs w:val="24"/>
              </w:rPr>
            </w:r>
          </w:p>
        </w:tc>
        <w:tc>
          <w:tcPr>
            <w:tcW w:w="3810" w:type="dxa"/>
            <w:tcBorders/>
          </w:tcPr>
          <w:p>
            <w:pPr>
              <w:pStyle w:val="Normal"/>
              <w:widowControl w:val="false"/>
              <w:rPr>
                <w:sz w:val="24"/>
                <w:szCs w:val="24"/>
              </w:rPr>
            </w:pPr>
            <w:r>
              <w:rPr>
                <w:sz w:val="24"/>
                <w:szCs w:val="24"/>
              </w:rPr>
            </w:r>
          </w:p>
          <w:p>
            <w:pPr>
              <w:pStyle w:val="Normal"/>
              <w:widowControl w:val="false"/>
              <w:tabs>
                <w:tab w:val="clear" w:pos="709"/>
                <w:tab w:val="left" w:pos="4530" w:leader="none"/>
              </w:tabs>
              <w:ind w:right="849" w:hanging="0"/>
              <w:jc w:val="right"/>
              <w:rPr/>
            </w:pPr>
            <w:r>
              <w:rPr>
                <w:sz w:val="24"/>
                <w:szCs w:val="24"/>
              </w:rPr>
              <w:t>Директор филиала</w:t>
            </w:r>
          </w:p>
          <w:p>
            <w:pPr>
              <w:pStyle w:val="Normal"/>
              <w:widowControl w:val="false"/>
              <w:tabs>
                <w:tab w:val="clear" w:pos="709"/>
                <w:tab w:val="left" w:pos="4530" w:leader="none"/>
              </w:tabs>
              <w:ind w:right="849" w:hanging="0"/>
              <w:jc w:val="right"/>
              <w:rPr/>
            </w:pPr>
            <w:r>
              <w:rPr>
                <w:sz w:val="24"/>
                <w:szCs w:val="24"/>
              </w:rPr>
              <w:t>ПАО «РусГидро» - «Зейская ГЭС</w:t>
            </w:r>
          </w:p>
          <w:p>
            <w:pPr>
              <w:pStyle w:val="Normal"/>
              <w:widowControl w:val="false"/>
              <w:tabs>
                <w:tab w:val="clear" w:pos="709"/>
                <w:tab w:val="left" w:pos="4530" w:leader="none"/>
              </w:tabs>
              <w:ind w:right="849" w:hanging="0"/>
              <w:jc w:val="right"/>
              <w:rPr/>
            </w:pPr>
            <w:r>
              <w:rPr>
                <w:sz w:val="24"/>
                <w:szCs w:val="24"/>
              </w:rPr>
              <w:t>_____________М.</w:t>
            </w:r>
            <w:r>
              <w:rPr>
                <w:sz w:val="24"/>
                <w:szCs w:val="24"/>
                <w:lang w:val="en-US"/>
              </w:rPr>
              <w:t>А. Сухомесов</w:t>
            </w:r>
          </w:p>
        </w:tc>
      </w:tr>
    </w:tbl>
    <w:p>
      <w:pPr>
        <w:pStyle w:val="Normal"/>
        <w:tabs>
          <w:tab w:val="clear" w:pos="709"/>
          <w:tab w:val="left" w:pos="6521" w:leader="none"/>
        </w:tabs>
        <w:rPr>
          <w:szCs w:val="28"/>
        </w:rPr>
      </w:pPr>
      <w:r>
        <w:rPr/>
      </w:r>
    </w:p>
    <w:p>
      <w:pPr>
        <w:pStyle w:val="Normal"/>
        <w:suppressAutoHyphens w:val="true"/>
        <w:ind w:firstLine="4820"/>
        <w:rPr>
          <w:sz w:val="22"/>
          <w:szCs w:val="22"/>
        </w:rPr>
      </w:pPr>
      <w:r>
        <w:rPr/>
      </w:r>
    </w:p>
    <w:p>
      <w:pPr>
        <w:pStyle w:val="Normal"/>
        <w:suppressAutoHyphens w:val="true"/>
        <w:ind w:firstLine="4820"/>
        <w:rPr>
          <w:sz w:val="22"/>
          <w:szCs w:val="22"/>
        </w:rPr>
      </w:pPr>
      <w:r>
        <w:rPr/>
      </w:r>
    </w:p>
    <w:p>
      <w:pPr>
        <w:pStyle w:val="Normal"/>
        <w:suppressAutoHyphens w:val="true"/>
        <w:ind w:firstLine="4820"/>
        <w:rPr>
          <w:sz w:val="22"/>
          <w:szCs w:val="22"/>
        </w:rPr>
      </w:pPr>
      <w:r>
        <w:rPr/>
      </w:r>
    </w:p>
    <w:p>
      <w:pPr>
        <w:pStyle w:val="Normal"/>
        <w:suppressAutoHyphens w:val="true"/>
        <w:ind w:firstLine="4820"/>
        <w:rPr>
          <w:sz w:val="22"/>
          <w:szCs w:val="22"/>
        </w:rPr>
      </w:pPr>
      <w:r>
        <w:rPr/>
      </w:r>
    </w:p>
    <w:p>
      <w:pPr>
        <w:pStyle w:val="Normal"/>
        <w:suppressAutoHyphens w:val="true"/>
        <w:ind w:firstLine="4820"/>
        <w:rPr>
          <w:sz w:val="22"/>
          <w:szCs w:val="22"/>
        </w:rPr>
      </w:pPr>
      <w:r>
        <w:rPr/>
      </w:r>
    </w:p>
    <w:p>
      <w:pPr>
        <w:pStyle w:val="Normal"/>
        <w:suppressAutoHyphens w:val="true"/>
        <w:ind w:firstLine="4820"/>
        <w:rPr>
          <w:sz w:val="22"/>
          <w:szCs w:val="22"/>
        </w:rPr>
      </w:pPr>
      <w:r>
        <w:rPr/>
      </w:r>
    </w:p>
    <w:p>
      <w:pPr>
        <w:pStyle w:val="Normal"/>
        <w:suppressAutoHyphens w:val="true"/>
        <w:ind w:firstLine="4820"/>
        <w:rPr>
          <w:sz w:val="22"/>
          <w:szCs w:val="22"/>
        </w:rPr>
      </w:pPr>
      <w:r>
        <w:rPr/>
      </w:r>
    </w:p>
    <w:p>
      <w:pPr>
        <w:pStyle w:val="Normal"/>
        <w:suppressAutoHyphens w:val="true"/>
        <w:ind w:firstLine="4820"/>
        <w:rPr>
          <w:sz w:val="22"/>
          <w:szCs w:val="22"/>
        </w:rPr>
      </w:pPr>
      <w:r>
        <w:rPr/>
      </w:r>
    </w:p>
    <w:p>
      <w:pPr>
        <w:pStyle w:val="Normal"/>
        <w:suppressAutoHyphens w:val="true"/>
        <w:ind w:firstLine="4820"/>
        <w:rPr>
          <w:sz w:val="22"/>
          <w:szCs w:val="22"/>
        </w:rPr>
      </w:pPr>
      <w:r>
        <w:rPr/>
      </w:r>
    </w:p>
    <w:p>
      <w:pPr>
        <w:pStyle w:val="Normal"/>
        <w:suppressAutoHyphens w:val="true"/>
        <w:ind w:firstLine="4820"/>
        <w:rPr>
          <w:sz w:val="22"/>
          <w:szCs w:val="22"/>
        </w:rPr>
      </w:pPr>
      <w:r>
        <w:rPr/>
      </w:r>
    </w:p>
    <w:p>
      <w:pPr>
        <w:pStyle w:val="Normal"/>
        <w:suppressAutoHyphens w:val="true"/>
        <w:ind w:firstLine="4820"/>
        <w:rPr>
          <w:sz w:val="22"/>
          <w:szCs w:val="22"/>
        </w:rPr>
      </w:pPr>
      <w:r>
        <w:rPr/>
      </w:r>
    </w:p>
    <w:p>
      <w:pPr>
        <w:pStyle w:val="Normal"/>
        <w:suppressAutoHyphens w:val="true"/>
        <w:ind w:firstLine="4820"/>
        <w:rPr>
          <w:sz w:val="22"/>
          <w:szCs w:val="22"/>
        </w:rPr>
      </w:pPr>
      <w:r>
        <w:rPr/>
      </w:r>
    </w:p>
    <w:p>
      <w:pPr>
        <w:pStyle w:val="Normal"/>
        <w:suppressAutoHyphens w:val="true"/>
        <w:ind w:firstLine="4820"/>
        <w:rPr>
          <w:sz w:val="22"/>
          <w:szCs w:val="22"/>
        </w:rPr>
      </w:pPr>
      <w:r>
        <w:rPr/>
      </w:r>
    </w:p>
    <w:p>
      <w:pPr>
        <w:pStyle w:val="Normal"/>
        <w:suppressAutoHyphens w:val="true"/>
        <w:ind w:firstLine="4820"/>
        <w:rPr>
          <w:sz w:val="22"/>
          <w:szCs w:val="22"/>
        </w:rPr>
      </w:pPr>
      <w:r>
        <w:rPr/>
      </w:r>
    </w:p>
    <w:p>
      <w:pPr>
        <w:pStyle w:val="Normal"/>
        <w:suppressAutoHyphens w:val="true"/>
        <w:ind w:firstLine="4820"/>
        <w:rPr>
          <w:sz w:val="22"/>
          <w:szCs w:val="22"/>
        </w:rPr>
      </w:pPr>
      <w:r>
        <w:rPr/>
      </w:r>
    </w:p>
    <w:p>
      <w:pPr>
        <w:pStyle w:val="Normal"/>
        <w:suppressAutoHyphens w:val="true"/>
        <w:ind w:firstLine="4820"/>
        <w:rPr>
          <w:sz w:val="22"/>
          <w:szCs w:val="22"/>
        </w:rPr>
      </w:pPr>
      <w:r>
        <w:rPr/>
      </w:r>
    </w:p>
    <w:p>
      <w:pPr>
        <w:pStyle w:val="Normal"/>
        <w:suppressAutoHyphens w:val="true"/>
        <w:ind w:firstLine="4820"/>
        <w:rPr>
          <w:sz w:val="22"/>
          <w:szCs w:val="22"/>
        </w:rPr>
      </w:pPr>
      <w:r>
        <w:rPr/>
      </w:r>
    </w:p>
    <w:p>
      <w:pPr>
        <w:pStyle w:val="Normal"/>
        <w:suppressAutoHyphens w:val="true"/>
        <w:ind w:firstLine="4820"/>
        <w:rPr>
          <w:sz w:val="22"/>
          <w:szCs w:val="22"/>
        </w:rPr>
      </w:pPr>
      <w:r>
        <w:rPr/>
      </w:r>
    </w:p>
    <w:p>
      <w:pPr>
        <w:pStyle w:val="Normal"/>
        <w:suppressAutoHyphens w:val="true"/>
        <w:ind w:firstLine="4820"/>
        <w:rPr>
          <w:sz w:val="22"/>
          <w:szCs w:val="22"/>
        </w:rPr>
      </w:pPr>
      <w:r>
        <w:rPr/>
      </w:r>
    </w:p>
    <w:p>
      <w:pPr>
        <w:pStyle w:val="Normal"/>
        <w:suppressAutoHyphens w:val="true"/>
        <w:ind w:firstLine="4820"/>
        <w:rPr>
          <w:sz w:val="22"/>
          <w:szCs w:val="22"/>
        </w:rPr>
      </w:pPr>
      <w:r>
        <w:rPr/>
      </w:r>
    </w:p>
    <w:p>
      <w:pPr>
        <w:pStyle w:val="Normal"/>
        <w:suppressAutoHyphens w:val="true"/>
        <w:ind w:firstLine="4820"/>
        <w:rPr>
          <w:sz w:val="22"/>
          <w:szCs w:val="22"/>
        </w:rPr>
      </w:pPr>
      <w:r>
        <w:rPr/>
      </w:r>
    </w:p>
    <w:p>
      <w:pPr>
        <w:pStyle w:val="Normal"/>
        <w:suppressAutoHyphens w:val="true"/>
        <w:ind w:firstLine="4820"/>
        <w:rPr>
          <w:sz w:val="22"/>
          <w:szCs w:val="22"/>
        </w:rPr>
      </w:pPr>
      <w:r>
        <w:rPr>
          <w:sz w:val="22"/>
          <w:szCs w:val="22"/>
        </w:rPr>
        <w:t xml:space="preserve">Приложение № </w:t>
      </w:r>
      <w:r>
        <w:rPr>
          <w:sz w:val="22"/>
          <w:szCs w:val="22"/>
        </w:rPr>
        <w:t>2</w:t>
      </w:r>
    </w:p>
    <w:p>
      <w:pPr>
        <w:pStyle w:val="Normal"/>
        <w:suppressAutoHyphens w:val="true"/>
        <w:ind w:firstLine="4820"/>
        <w:rPr>
          <w:sz w:val="22"/>
          <w:szCs w:val="22"/>
        </w:rPr>
      </w:pPr>
      <w:r>
        <w:rPr>
          <w:sz w:val="22"/>
          <w:szCs w:val="22"/>
        </w:rPr>
        <w:t>к Договору поставки</w:t>
      </w:r>
    </w:p>
    <w:p>
      <w:pPr>
        <w:pStyle w:val="Normal"/>
        <w:suppressAutoHyphens w:val="true"/>
        <w:ind w:firstLine="4820"/>
        <w:rPr>
          <w:sz w:val="22"/>
          <w:szCs w:val="22"/>
        </w:rPr>
      </w:pPr>
      <w:r>
        <w:rPr>
          <w:sz w:val="22"/>
          <w:szCs w:val="22"/>
        </w:rPr>
        <w:t>от «____» _____20 _ г. № _____</w:t>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828"/>
        <w:gridCol w:w="5808"/>
      </w:tblGrid>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6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20"/>
        <w:gridCol w:w="4831"/>
      </w:tblGrid>
      <w:tr>
        <w:trPr/>
        <w:tc>
          <w:tcPr>
            <w:tcW w:w="4820"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31"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w:t>
            </w:r>
          </w:p>
          <w:p>
            <w:pPr>
              <w:pStyle w:val="Normal"/>
              <w:widowControl w:val="false"/>
              <w:ind w:firstLine="709"/>
              <w:rPr>
                <w:b/>
                <w:sz w:val="24"/>
                <w:szCs w:val="24"/>
              </w:rPr>
            </w:pPr>
            <w:r>
              <w:rPr>
                <w:b/>
                <w:sz w:val="24"/>
                <w:szCs w:val="24"/>
              </w:rPr>
            </w:r>
          </w:p>
        </w:tc>
      </w:tr>
    </w:tbl>
    <w:p>
      <w:pPr>
        <w:pStyle w:val="Normal"/>
        <w:ind w:firstLine="709"/>
        <w:rPr>
          <w:b/>
          <w:bCs/>
          <w:sz w:val="24"/>
          <w:szCs w:val="24"/>
        </w:rPr>
      </w:pPr>
      <w:r>
        <w:rPr/>
      </w:r>
    </w:p>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709" w:top="1134" w:footer="709" w:bottom="1134"/>
      <w:pgNumType w:fmt="decimal"/>
      <w:formProt w:val="false"/>
      <w:textDirection w:val="lrTb"/>
      <w:docGrid w:type="default" w:linePitch="299"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14</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16</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pPr>
        <w:pStyle w:val="FootnoteText"/>
        <w:jc w:val="both"/>
        <w:rPr/>
      </w:pPr>
      <w:r>
        <w:rPr>
          <w:rStyle w:val="Style14"/>
        </w:rPr>
        <w:footnoteRef/>
      </w:r>
      <w:r>
        <w:rPr/>
        <w:t xml:space="preserve"> </w:t>
      </w:r>
      <w:r>
        <w:rPr/>
        <w:t>Исключается из Договора в случае, если Поставщиком применяется упрощенная система налогообложения</w:t>
      </w:r>
    </w:p>
  </w:footnote>
  <w:footnote w:id="4">
    <w:p>
      <w:pPr>
        <w:pStyle w:val="FootnoteText"/>
        <w:rPr/>
      </w:pPr>
      <w:r>
        <w:rPr>
          <w:rStyle w:val="Style14"/>
        </w:rPr>
        <w:footnoteRef/>
      </w:r>
      <w:r>
        <w:rPr/>
        <w:t xml:space="preserve"> </w:t>
      </w:r>
      <w:r>
        <w:rPr/>
        <w:t>Исключается из Договора в случае, если контрагентом применяется упрощенная система налогообложения</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708"/>
        </w:tabs>
        <w:ind w:left="1708"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0">
    <w:lvl w:ilvl="0">
      <w:start w:val="12"/>
      <w:numFmt w:val="decimal"/>
      <w:lvlText w:val="%1."/>
      <w:lvlJc w:val="left"/>
      <w:pPr>
        <w:tabs>
          <w:tab w:val="num" w:pos="0"/>
        </w:tabs>
        <w:ind w:left="405" w:hanging="405"/>
      </w:pPr>
      <w:rPr/>
    </w:lvl>
    <w:lvl w:ilvl="1">
      <w:start w:val="4"/>
      <w:numFmt w:val="decimal"/>
      <w:lvlText w:val="%1.%2."/>
      <w:lvlJc w:val="left"/>
      <w:pPr>
        <w:tabs>
          <w:tab w:val="num" w:pos="0"/>
        </w:tabs>
        <w:ind w:left="1114" w:hanging="405"/>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8736" w:hanging="108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1648"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0"/>
      <w:numFmt w:val="decimal"/>
      <w:lvlText w:val="%1"/>
      <w:lvlJc w:val="left"/>
      <w:pPr>
        <w:tabs>
          <w:tab w:val="num" w:pos="0"/>
        </w:tabs>
        <w:ind w:left="360" w:hanging="360"/>
      </w:pPr>
      <w:rPr/>
    </w:lvl>
    <w:lvl w:ilvl="1">
      <w:start w:val="1"/>
      <w:numFmt w:val="decimal"/>
      <w:lvlText w:val="%1.%2"/>
      <w:lvlJc w:val="left"/>
      <w:pPr>
        <w:tabs>
          <w:tab w:val="num" w:pos="0"/>
        </w:tabs>
        <w:ind w:left="502" w:hanging="360"/>
      </w:pPr>
      <w:rPr/>
    </w:lvl>
    <w:lvl w:ilvl="2">
      <w:start w:val="1"/>
      <w:numFmt w:val="decimal"/>
      <w:lvlText w:val="%1.%2.%3"/>
      <w:lvlJc w:val="left"/>
      <w:pPr>
        <w:tabs>
          <w:tab w:val="num" w:pos="0"/>
        </w:tabs>
        <w:ind w:left="1004" w:hanging="720"/>
      </w:pPr>
      <w:rPr/>
    </w:lvl>
    <w:lvl w:ilvl="3">
      <w:start w:val="1"/>
      <w:numFmt w:val="decimal"/>
      <w:lvlText w:val="%1.%2.%3.%4"/>
      <w:lvlJc w:val="left"/>
      <w:pPr>
        <w:tabs>
          <w:tab w:val="num" w:pos="0"/>
        </w:tabs>
        <w:ind w:left="1146" w:hanging="720"/>
      </w:pPr>
      <w:rPr/>
    </w:lvl>
    <w:lvl w:ilvl="4">
      <w:start w:val="1"/>
      <w:numFmt w:val="decimal"/>
      <w:lvlText w:val="%1.%2.%3.%4.%5"/>
      <w:lvlJc w:val="left"/>
      <w:pPr>
        <w:tabs>
          <w:tab w:val="num" w:pos="0"/>
        </w:tabs>
        <w:ind w:left="1288" w:hanging="720"/>
      </w:pPr>
      <w:rPr/>
    </w:lvl>
    <w:lvl w:ilvl="5">
      <w:start w:val="1"/>
      <w:numFmt w:val="decimal"/>
      <w:lvlText w:val="%1.%2.%3.%4.%5.%6"/>
      <w:lvlJc w:val="left"/>
      <w:pPr>
        <w:tabs>
          <w:tab w:val="num" w:pos="0"/>
        </w:tabs>
        <w:ind w:left="1790" w:hanging="1080"/>
      </w:pPr>
      <w:rPr/>
    </w:lvl>
    <w:lvl w:ilvl="6">
      <w:start w:val="1"/>
      <w:numFmt w:val="decimal"/>
      <w:lvlText w:val="%1.%2.%3.%4.%5.%6.%7"/>
      <w:lvlJc w:val="left"/>
      <w:pPr>
        <w:tabs>
          <w:tab w:val="num" w:pos="0"/>
        </w:tabs>
        <w:ind w:left="1932" w:hanging="1080"/>
      </w:pPr>
      <w:rPr/>
    </w:lvl>
    <w:lvl w:ilvl="7">
      <w:start w:val="1"/>
      <w:numFmt w:val="decimal"/>
      <w:lvlText w:val="%1.%2.%3.%4.%5.%6.%7.%8"/>
      <w:lvlJc w:val="left"/>
      <w:pPr>
        <w:tabs>
          <w:tab w:val="num" w:pos="0"/>
        </w:tabs>
        <w:ind w:left="2434" w:hanging="1440"/>
      </w:pPr>
      <w:rPr/>
    </w:lvl>
    <w:lvl w:ilvl="8">
      <w:start w:val="1"/>
      <w:numFmt w:val="decimal"/>
      <w:lvlText w:val="%1.%2.%3.%4.%5.%6.%7.%8.%9"/>
      <w:lvlJc w:val="left"/>
      <w:pPr>
        <w:tabs>
          <w:tab w:val="num" w:pos="0"/>
        </w:tabs>
        <w:ind w:left="2576"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Название Знак"/>
    <w:qFormat/>
    <w:rsid w:val="0095682b"/>
    <w:rPr>
      <w:b/>
      <w:bCs/>
      <w:sz w:val="24"/>
      <w:szCs w:val="24"/>
    </w:rPr>
  </w:style>
  <w:style w:type="character" w:styleId="Style18" w:customStyle="1">
    <w:name w:val="Абзац списка Знак"/>
    <w:link w:val="ListParagraph"/>
    <w:uiPriority w:val="34"/>
    <w:qFormat/>
    <w:locked/>
    <w:rsid w:val="00725d08"/>
    <w:rPr/>
  </w:style>
  <w:style w:type="character" w:styleId="Style19">
    <w:name w:val="Символ концевой сноски"/>
    <w:qFormat/>
    <w:rPr>
      <w:vertAlign w:val="superscript"/>
    </w:rPr>
  </w:style>
  <w:style w:type="character" w:styleId="EndnoteReference">
    <w:name w:val="Endnote Reference"/>
    <w:rPr>
      <w:vertAlign w:val="superscript"/>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Title">
    <w:name w:val="Title"/>
    <w:basedOn w:val="Normal"/>
    <w:link w:val="Style7"/>
    <w:qFormat/>
    <w:rsid w:val="00a264b0"/>
    <w:pPr>
      <w:jc w:val="center"/>
    </w:pPr>
    <w:rPr>
      <w:b/>
      <w:bCs/>
      <w:sz w:val="24"/>
      <w:szCs w:val="24"/>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8"/>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paragraph" w:styleId="Style28">
    <w:name w:val="Содержимое таблицы"/>
    <w:basedOn w:val="Normal"/>
    <w:qFormat/>
    <w:pPr>
      <w:widowControl w:val="false"/>
      <w:suppressLineNumbers/>
    </w:pPr>
    <w:rPr/>
  </w:style>
  <w:style w:type="paragraph" w:styleId="Style29">
    <w:name w:val="Заголовок таблицы"/>
    <w:basedOn w:val="Style28"/>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0841FB4-7165-49D3-9C55-3D5AE95B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Application>AlterOffice/3.4.0.9$Linux_X86_64 LibreOffice_project/b8daf9e823b1a5463a2f48435ddc2e8696e7d4fc</Application>
  <AppVersion>15.0000</AppVersion>
  <Pages>16</Pages>
  <Words>5969</Words>
  <Characters>42641</Characters>
  <CharactersWithSpaces>48397</CharactersWithSpaces>
  <Paragraphs>296</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2023-03-22T14:33:00Z</dcterms:created>
  <dc:creator>tsypilev_ag</dc:creator>
  <dc:description/>
  <dc:language>ru-RU</dc:language>
  <cp:lastModifiedBy>klepikovasv@corp.gidroogk.com</cp:lastModifiedBy>
  <cp:lastPrinted>2018-05-22T09:46:00Z</cp:lastPrinted>
  <dcterms:modified xsi:type="dcterms:W3CDTF">2026-05-20T14:48:03Z</dcterms:modified>
  <cp:revision>20</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