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bookmarkStart w:id="0" w:name="_GoBack"/>
      <w:bookmarkEnd w:id="0"/>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Балаково</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sz w:val="24"/>
          <w:szCs w:val="24"/>
        </w:rPr>
        <w:t xml:space="preserve">Публичное акционерное общество «Федеральная гидрогенерирующая </w:t>
        <w:br/>
        <w:t>компания – РусГидро» (ПАО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____________________</w:t>
      </w:r>
      <w:r>
        <w:rPr>
          <w:sz w:val="24"/>
          <w:szCs w:val="24"/>
        </w:rPr>
        <w:t xml:space="preserve"> (далее – «Поставщик»), в лице _________________________, действующего на основании ___________________, с другой стороны, </w:t>
      </w:r>
    </w:p>
    <w:p>
      <w:pPr>
        <w:pStyle w:val="Normal"/>
        <w:ind w:firstLine="709"/>
        <w:jc w:val="both"/>
        <w:rPr/>
      </w:pPr>
      <w:r>
        <w:rPr>
          <w:sz w:val="24"/>
          <w:szCs w:val="24"/>
        </w:rPr>
        <w:t xml:space="preserve">совместно в дальнейшем именуемые «Стороны», а по отдельности – «Сторона», </w:t>
        <w:br/>
      </w:r>
      <w:r>
        <w:rPr>
          <w:sz w:val="24"/>
          <w:szCs w:val="24"/>
          <w:lang w:eastAsia="en-US"/>
        </w:rPr>
        <w:t xml:space="preserve">по результатам проведенной Покупателем закупочной процедуры по лоту № ____________ и на основании протокола __________ от «___» _________ г. №_______, </w:t>
      </w: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widowControl w:val="false"/>
        <w:shd w:val="clear" w:color="auto" w:fill="FFFFFF"/>
        <w:tabs>
          <w:tab w:val="clear" w:pos="709"/>
          <w:tab w:val="left" w:pos="0" w:leader="none"/>
        </w:tabs>
        <w:suppressAutoHyphens w:val="true"/>
        <w:overflowPunct w:val="true"/>
        <w:bidi w:val="0"/>
        <w:spacing w:before="0" w:after="0"/>
        <w:ind w:left="0" w:right="0" w:firstLine="850"/>
        <w:contextualSpacing/>
        <w:jc w:val="both"/>
        <w:textAlignment w:val="baseline"/>
        <w:rPr/>
      </w:pPr>
      <w:r>
        <w:rPr>
          <w:b/>
          <w:bCs/>
          <w:sz w:val="24"/>
          <w:szCs w:val="24"/>
          <w:lang w:eastAsia="en-US"/>
        </w:rPr>
        <w:t xml:space="preserve">«Универсальный передаточный документ (УПД) </w:t>
      </w:r>
      <w:r>
        <w:rPr>
          <w:sz w:val="24"/>
          <w:szCs w:val="24"/>
          <w:lang w:eastAsia="en-US"/>
        </w:rPr>
        <w:t>– 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lang w:eastAsia="en-US"/>
        </w:rPr>
        <w:t xml:space="preserve">«Национальный режим» </w:t>
      </w:r>
      <w:r>
        <w:rPr>
          <w:b w:val="false"/>
          <w:bCs w:val="false"/>
          <w:sz w:val="24"/>
          <w:szCs w:val="24"/>
          <w:lang w:eastAsia="en-US"/>
        </w:rPr>
        <w:t xml:space="preserve">-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Поставщик обязуется в порядке и сроки, установленные Договором, передать </w:t>
        <w:br/>
        <w:t xml:space="preserve">в собственность Покупателю </w:t>
      </w:r>
      <w:r>
        <w:rPr>
          <w:sz w:val="24"/>
          <w:szCs w:val="24"/>
        </w:rPr>
        <w:t>аппараты аварийного всплытия (12 шт.) для нужд Филиала ПАО «РусГидро» – «Саратовская ГЭС» в рамках реализации инвестиционного проекта T-1300-00088</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Поставка Товара по Договору осуществляется для нужд Филиала ПАО «РусГидро» - «Саратовская ГЭС».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Место поставки Товара: Саратовская область, г. Балаково, Саратовская ГЭС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sz w:val="24"/>
          <w:szCs w:val="24"/>
        </w:rPr>
      </w:pPr>
      <w:r>
        <w:rPr>
          <w:bCs/>
          <w:sz w:val="24"/>
          <w:szCs w:val="24"/>
        </w:rPr>
        <w:t>Поставка Товара осуществляется единовременно. Дата поставки Товара: _______________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ListParagraph"/>
        <w:numPr>
          <w:ilvl w:val="1"/>
          <w:numId w:val="2"/>
        </w:numPr>
        <w:shd w:val="clear" w:color="auto" w:fill="FFFFFF"/>
        <w:tabs>
          <w:tab w:val="clear" w:pos="709"/>
          <w:tab w:val="left" w:pos="1134" w:leader="none"/>
        </w:tabs>
        <w:ind w:left="0" w:firstLine="709"/>
        <w:jc w:val="both"/>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Normal"/>
        <w:numPr>
          <w:ilvl w:val="2"/>
          <w:numId w:val="2"/>
        </w:numPr>
        <w:shd w:val="clear" w:color="auto" w:fill="FFFFFF"/>
        <w:tabs>
          <w:tab w:val="clear" w:pos="709"/>
          <w:tab w:val="left" w:pos="1418" w:leader="none"/>
        </w:tabs>
        <w:ind w:left="0" w:firstLine="709"/>
        <w:jc w:val="both"/>
        <w:rPr>
          <w:bCs/>
          <w:sz w:val="24"/>
          <w:szCs w:val="24"/>
        </w:rPr>
      </w:pPr>
      <w:r>
        <w:rPr>
          <w:sz w:val="24"/>
          <w:szCs w:val="24"/>
        </w:rPr>
        <w:t>Транспортировку Товара до Места поставки, погрузку, разгрузку, перемещение по территории Покупателя, стоимос</w:t>
      </w:r>
      <w:r>
        <w:rPr>
          <w:bCs/>
          <w:sz w:val="24"/>
          <w:szCs w:val="24"/>
        </w:rPr>
        <w:t xml:space="preserve">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pPr>
        <w:pStyle w:val="ListParagraph"/>
        <w:numPr>
          <w:ilvl w:val="2"/>
          <w:numId w:val="2"/>
        </w:numPr>
        <w:ind w:left="0" w:firstLine="709"/>
        <w:jc w:val="both"/>
        <w:rPr/>
      </w:pPr>
      <w:r>
        <w:rPr>
          <w:sz w:val="24"/>
        </w:rPr>
        <w:t>Окончательный платеж в размере 70 (семидесяти) процентов от стоимости Товара выплачивается Поставщику в течение 7 (семи) рабочих дней с даты подписания Сторонами накладной ТОРГ-12</w:t>
      </w:r>
      <w:r>
        <w:rPr>
          <w:sz w:val="24"/>
          <w:szCs w:val="24"/>
        </w:rPr>
        <w:t>/УПД</w:t>
      </w:r>
      <w:r>
        <w:rPr>
          <w:sz w:val="24"/>
        </w:rPr>
        <w:t xml:space="preserve"> на основании счета, выставленного Поставщиком, и с учетом пункта 2.5.4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счета-фактуры/УПД ,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pPr>
      <w:r>
        <w:rPr>
          <w:bCs/>
          <w:sz w:val="24"/>
          <w:szCs w:val="24"/>
        </w:rPr>
        <w:t>Качество, комплектность, количество и ассортимент поставляемого по Договору Товара должны соответствовать Техническим требованиям (Приложение № 2 к Договору),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9"/>
          <w:tab w:val="left" w:pos="1134" w:leader="none"/>
        </w:tabs>
        <w:ind w:firstLine="709"/>
        <w:jc w:val="both"/>
        <w:rPr/>
      </w:pPr>
      <w:r>
        <w:rPr>
          <w:bCs/>
          <w:sz w:val="24"/>
          <w:szCs w:val="24"/>
        </w:rPr>
        <w:t xml:space="preserve">Поставщик не вправе производить </w:t>
      </w:r>
      <w:r>
        <w:rPr>
          <w:sz w:val="24"/>
          <w:szCs w:val="24"/>
        </w:rPr>
        <w:t>замену Товара</w:t>
      </w:r>
      <w:r>
        <w:rPr>
          <w:bCs/>
          <w:sz w:val="24"/>
          <w:szCs w:val="24"/>
        </w:rPr>
        <w:t xml:space="preserve"> на иной Товар, если это приведет к несоблюдению защит</w:t>
      </w:r>
      <w:r>
        <w:rPr>
          <w:sz w:val="24"/>
          <w:szCs w:val="24"/>
        </w:rPr>
        <w:t xml:space="preserve">ных </w:t>
      </w:r>
      <w:r>
        <w:rPr>
          <w:bCs/>
          <w:sz w:val="24"/>
          <w:szCs w:val="24"/>
        </w:rPr>
        <w:t>мер, у</w:t>
      </w:r>
      <w:r>
        <w:rPr>
          <w:sz w:val="24"/>
          <w:szCs w:val="24"/>
        </w:rPr>
        <w:t>становлен</w:t>
      </w:r>
      <w:r>
        <w:rPr>
          <w:bCs/>
          <w:sz w:val="24"/>
          <w:szCs w:val="24"/>
        </w:rPr>
        <w:t>ных законода</w:t>
      </w:r>
      <w:r>
        <w:rPr>
          <w:sz w:val="24"/>
          <w:szCs w:val="24"/>
        </w:rPr>
        <w:t>тельств</w:t>
      </w:r>
      <w:r>
        <w:rPr>
          <w:bCs/>
          <w:sz w:val="24"/>
          <w:szCs w:val="24"/>
        </w:rPr>
        <w:t>ом о Национ</w:t>
      </w:r>
      <w:r>
        <w:rPr>
          <w:sz w:val="24"/>
          <w:szCs w:val="24"/>
        </w:rPr>
        <w:t>ально</w:t>
      </w:r>
      <w:r>
        <w:rPr>
          <w:bCs/>
          <w:sz w:val="24"/>
          <w:szCs w:val="24"/>
        </w:rPr>
        <w:t>м режиме</w:t>
      </w:r>
      <w:r>
        <w:rPr>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pPr>
      <w:r>
        <w:rPr>
          <w:sz w:val="24"/>
          <w:szCs w:val="24"/>
        </w:rPr>
        <w:t>сертификат качества в 1 (одном) экз.;</w:t>
      </w:r>
    </w:p>
    <w:p>
      <w:pPr>
        <w:pStyle w:val="Normal"/>
        <w:numPr>
          <w:ilvl w:val="0"/>
          <w:numId w:val="4"/>
        </w:numPr>
        <w:tabs>
          <w:tab w:val="clear" w:pos="709"/>
          <w:tab w:val="left" w:pos="1418" w:leader="none"/>
        </w:tabs>
        <w:ind w:left="0" w:firstLine="709"/>
        <w:jc w:val="both"/>
        <w:rPr/>
      </w:pPr>
      <w:r>
        <w:rPr>
          <w:sz w:val="24"/>
          <w:szCs w:val="24"/>
        </w:rPr>
        <w:t>технический паспорт на русском языке в 1 ( одном) экз.;</w:t>
      </w:r>
    </w:p>
    <w:p>
      <w:pPr>
        <w:pStyle w:val="Normal"/>
        <w:numPr>
          <w:ilvl w:val="0"/>
          <w:numId w:val="4"/>
        </w:numPr>
        <w:tabs>
          <w:tab w:val="clear" w:pos="709"/>
          <w:tab w:val="left" w:pos="1418" w:leader="none"/>
        </w:tabs>
        <w:ind w:left="0" w:firstLine="709"/>
        <w:jc w:val="both"/>
        <w:rPr/>
      </w:pPr>
      <w:r>
        <w:rPr>
          <w:sz w:val="24"/>
          <w:szCs w:val="24"/>
        </w:rPr>
        <w:t>инструкция по эксплуатации на русском языке в 1 ( одном) экз.;</w:t>
      </w:r>
    </w:p>
    <w:p>
      <w:pPr>
        <w:pStyle w:val="Normal"/>
        <w:numPr>
          <w:ilvl w:val="0"/>
          <w:numId w:val="4"/>
        </w:numPr>
        <w:tabs>
          <w:tab w:val="clear" w:pos="709"/>
          <w:tab w:val="left" w:pos="1418" w:leader="none"/>
        </w:tabs>
        <w:ind w:left="0" w:firstLine="709"/>
        <w:jc w:val="both"/>
        <w:rPr/>
      </w:pPr>
      <w:r>
        <w:rPr>
          <w:sz w:val="24"/>
          <w:szCs w:val="24"/>
        </w:rPr>
        <w:t>упаковочный лист в 1 ( одном) экз.;</w:t>
      </w:r>
    </w:p>
    <w:p>
      <w:pPr>
        <w:pStyle w:val="Normal"/>
        <w:numPr>
          <w:ilvl w:val="0"/>
          <w:numId w:val="3"/>
        </w:numPr>
        <w:tabs>
          <w:tab w:val="clear" w:pos="709"/>
          <w:tab w:val="left" w:pos="1418" w:leader="none"/>
        </w:tabs>
        <w:ind w:left="0" w:firstLine="709"/>
        <w:jc w:val="both"/>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pPr>
        <w:pStyle w:val="Normal"/>
        <w:numPr>
          <w:ilvl w:val="0"/>
          <w:numId w:val="3"/>
        </w:numPr>
        <w:shd w:val="clear" w:color="auto" w:fill="FFFFFF"/>
        <w:tabs>
          <w:tab w:val="clear" w:pos="709"/>
          <w:tab w:val="left" w:pos="1418" w:leader="none"/>
        </w:tabs>
        <w:ind w:left="0" w:firstLine="709"/>
        <w:jc w:val="both"/>
        <w:rPr/>
      </w:pPr>
      <w:r>
        <w:rPr>
          <w:sz w:val="24"/>
          <w:szCs w:val="24"/>
        </w:rPr>
        <w:t>накладная ТОРГ-12/УПД в __(____) экз.</w:t>
      </w:r>
    </w:p>
    <w:p>
      <w:pPr>
        <w:pStyle w:val="ListParagraph"/>
        <w:widowControl/>
        <w:numPr>
          <w:ilvl w:val="1"/>
          <w:numId w:val="2"/>
        </w:numPr>
        <w:shd w:val="clear" w:color="auto" w:fill="FFFFFF"/>
        <w:tabs>
          <w:tab w:val="clear" w:pos="709"/>
          <w:tab w:val="left" w:pos="1276" w:leader="none"/>
        </w:tabs>
        <w:ind w:left="0" w:firstLine="709"/>
        <w:jc w:val="both"/>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pPr>
      <w:r>
        <w:rPr>
          <w:sz w:val="24"/>
          <w:szCs w:val="24"/>
        </w:rPr>
        <w:t xml:space="preserve">Погрузка, доставка, разгрузка и перемещение Товара (в том числе </w:t>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pPr>
      <w:bookmarkStart w:id="3" w:name="_Ref361396594"/>
      <w:r>
        <w:rPr>
          <w:sz w:val="24"/>
          <w:szCs w:val="24"/>
        </w:rPr>
        <w:t xml:space="preserve">Датой поставки Товара является дата подписания Сторонами накладной </w:t>
        <w:br/>
        <w:t>ТОРГ-12/УПД.</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pPr>
      <w:r>
        <w:rPr>
          <w:sz w:val="24"/>
          <w:szCs w:val="24"/>
        </w:rPr>
        <w:t>Гарантийный срок на Товар, поставленный по Договору, составляет ____ (______) месяцев и начинает течь с даты подписания Сторонами накладной ТОРГ-12/УПД.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2"/>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 xml:space="preserve">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pPr>
      <w:r>
        <w:rPr>
          <w:sz w:val="24"/>
          <w:szCs w:val="24"/>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rPr>
        <w:footnoteReference w:id="3"/>
      </w:r>
      <w:r>
        <w:rPr>
          <w:sz w:val="24"/>
          <w:szCs w:val="24"/>
        </w:rPr>
        <w:t>.</w:t>
      </w:r>
    </w:p>
    <w:p>
      <w:pPr>
        <w:pStyle w:val="ListParagraph"/>
        <w:widowControl/>
        <w:numPr>
          <w:ilvl w:val="1"/>
          <w:numId w:val="2"/>
        </w:numPr>
        <w:shd w:val="clear" w:color="auto" w:fill="FFFFFF"/>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2"/>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2"/>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2"/>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2"/>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и внутриобъектового режима, требований охраны труда, пожарной и промышленной безопасности, охраны окружающей среды, санитарно-эпидемиологических правил и норм.</w:t>
      </w:r>
      <w:r>
        <w:rPr>
          <w:b/>
          <w:bCs/>
          <w:sz w:val="24"/>
          <w:szCs w:val="24"/>
        </w:rPr>
        <w:t xml:space="preserve"> </w:t>
      </w:r>
      <w:r>
        <w:rPr>
          <w:bCs/>
          <w:sz w:val="24"/>
          <w:szCs w:val="24"/>
        </w:rPr>
        <w:t xml:space="preserve">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2"/>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2"/>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numPr>
          <w:ilvl w:val="2"/>
          <w:numId w:val="12"/>
        </w:numPr>
        <w:ind w:left="0" w:firstLine="709"/>
        <w:jc w:val="both"/>
        <w:rPr>
          <w:sz w:val="24"/>
          <w:szCs w:val="24"/>
          <w:highlight w:val="lightGray"/>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2"/>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2"/>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2"/>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2"/>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2"/>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4"/>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Саратовской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w:t>
      </w:r>
      <w:r>
        <w:rPr>
          <w:bCs/>
          <w:sz w:val="24"/>
          <w:szCs w:val="24"/>
          <w:lang w:val="en-US"/>
        </w:rPr>
        <w:t>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w:t>
        <w:br/>
        <w:t>с __________.</w:t>
      </w:r>
    </w:p>
    <w:p>
      <w:pPr>
        <w:pStyle w:val="Normal"/>
        <w:widowControl/>
        <w:numPr>
          <w:ilvl w:val="1"/>
          <w:numId w:val="2"/>
        </w:numPr>
        <w:tabs>
          <w:tab w:val="clear" w:pos="709"/>
          <w:tab w:val="left" w:pos="142" w:leader="none"/>
          <w:tab w:val="left" w:pos="1418" w:leader="none"/>
        </w:tabs>
        <w:snapToGrid w:val="false"/>
        <w:ind w:left="0" w:firstLine="709"/>
        <w:jc w:val="both"/>
        <w:rPr/>
      </w:pPr>
      <w:r>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pPr>
      <w:r>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lang w:eastAsia="en-US"/>
        </w:rPr>
        <w:footnoteReference w:id="5"/>
      </w:r>
      <w:r>
        <w:rPr>
          <w:sz w:val="24"/>
          <w:szCs w:val="24"/>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14.8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pPr>
      <w:bookmarkStart w:id="10"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10"/>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6"/>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7"/>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безопасности,охраны окружающей среды, санитарно-эпидемиологических правил и норм.</w:t>
      </w:r>
      <w:r>
        <w:rPr>
          <w:b/>
          <w:bCs/>
          <w:sz w:val="24"/>
          <w:szCs w:val="24"/>
        </w:rPr>
        <w:t xml:space="preserve"> </w:t>
      </w:r>
      <w:r>
        <w:rPr>
          <w:bCs/>
          <w:sz w:val="24"/>
          <w:szCs w:val="24"/>
        </w:rPr>
        <w:t>.</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4"/>
        <w:gridCol w:w="154"/>
        <w:gridCol w:w="4632"/>
        <w:gridCol w:w="330"/>
      </w:tblGrid>
      <w:tr>
        <w:trPr/>
        <w:tc>
          <w:tcPr>
            <w:tcW w:w="4928" w:type="dxa"/>
            <w:gridSpan w:val="2"/>
            <w:tcBorders/>
          </w:tcPr>
          <w:p>
            <w:pPr>
              <w:pStyle w:val="Normal"/>
              <w:widowControl w:val="false"/>
              <w:rPr>
                <w:sz w:val="24"/>
                <w:szCs w:val="24"/>
              </w:rPr>
            </w:pPr>
            <w:r>
              <w:rPr>
                <w:sz w:val="24"/>
                <w:szCs w:val="24"/>
              </w:rPr>
              <w:t xml:space="preserve">                      </w:t>
            </w:r>
            <w:r>
              <w:rPr>
                <w:sz w:val="24"/>
                <w:szCs w:val="24"/>
              </w:rPr>
              <w:t>ПОКУПАТЕЛЬ:</w:t>
            </w:r>
          </w:p>
        </w:tc>
        <w:tc>
          <w:tcPr>
            <w:tcW w:w="4962" w:type="dxa"/>
            <w:gridSpan w:val="2"/>
            <w:tcBorders/>
          </w:tcPr>
          <w:p>
            <w:pPr>
              <w:pStyle w:val="Normal"/>
              <w:widowControl w:val="false"/>
              <w:rPr>
                <w:sz w:val="24"/>
                <w:szCs w:val="24"/>
              </w:rPr>
            </w:pPr>
            <w:r>
              <w:rPr>
                <w:sz w:val="24"/>
                <w:szCs w:val="24"/>
              </w:rPr>
              <w:t xml:space="preserve">                       </w:t>
            </w:r>
            <w:r>
              <w:rPr>
                <w:sz w:val="24"/>
                <w:szCs w:val="24"/>
              </w:rPr>
              <w:t>ПОСТАВЩИК:</w:t>
            </w:r>
          </w:p>
        </w:tc>
      </w:tr>
      <w:tr>
        <w:trPr/>
        <w:tc>
          <w:tcPr>
            <w:tcW w:w="4928" w:type="dxa"/>
            <w:gridSpan w:val="2"/>
            <w:tcBorders/>
          </w:tcPr>
          <w:p>
            <w:pPr>
              <w:pStyle w:val="Normal"/>
              <w:widowControl w:val="false"/>
              <w:rPr>
                <w:sz w:val="24"/>
                <w:szCs w:val="24"/>
              </w:rPr>
            </w:pPr>
            <w:r>
              <w:rPr>
                <w:sz w:val="24"/>
                <w:szCs w:val="24"/>
              </w:rPr>
            </w:r>
          </w:p>
          <w:p>
            <w:pPr>
              <w:pStyle w:val="Normal"/>
              <w:widowControl w:val="false"/>
              <w:rPr/>
            </w:pPr>
            <w:r>
              <w:rPr>
                <w:b/>
                <w:sz w:val="24"/>
                <w:szCs w:val="24"/>
              </w:rPr>
              <w:t>Публичное акционерное общество</w:t>
            </w:r>
          </w:p>
          <w:p>
            <w:pPr>
              <w:pStyle w:val="Normal"/>
              <w:widowControl w:val="false"/>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pPr>
            <w:r>
              <w:rPr>
                <w:sz w:val="24"/>
                <w:szCs w:val="24"/>
              </w:rPr>
              <w:t xml:space="preserve">Место нахождения: </w:t>
            </w:r>
          </w:p>
          <w:p>
            <w:pPr>
              <w:pStyle w:val="Normal"/>
              <w:widowControl w:val="false"/>
              <w:rPr>
                <w:sz w:val="24"/>
                <w:szCs w:val="24"/>
              </w:rPr>
            </w:pPr>
            <w:r>
              <w:rPr/>
            </w:r>
          </w:p>
          <w:p>
            <w:pPr>
              <w:pStyle w:val="Normal"/>
              <w:widowControl w:val="false"/>
              <w:rPr/>
            </w:pPr>
            <w:r>
              <w:rPr>
                <w:sz w:val="24"/>
                <w:szCs w:val="24"/>
              </w:rPr>
              <w:t xml:space="preserve">Почтовый адрес: </w:t>
            </w:r>
          </w:p>
          <w:p>
            <w:pPr>
              <w:pStyle w:val="Normal"/>
              <w:widowControl w:val="false"/>
              <w:rPr/>
            </w:pPr>
            <w:r>
              <w:rPr>
                <w:sz w:val="24"/>
                <w:szCs w:val="24"/>
              </w:rPr>
              <w:t>________________________</w:t>
            </w:r>
          </w:p>
          <w:p>
            <w:pPr>
              <w:pStyle w:val="Normal"/>
              <w:widowControl w:val="false"/>
              <w:rPr/>
            </w:pPr>
            <w:r>
              <w:rPr>
                <w:sz w:val="24"/>
                <w:szCs w:val="24"/>
              </w:rPr>
              <w:t xml:space="preserve">ОГРН 1042401810494, </w:t>
            </w:r>
          </w:p>
          <w:p>
            <w:pPr>
              <w:pStyle w:val="Normal"/>
              <w:widowControl w:val="false"/>
              <w:rPr/>
            </w:pPr>
            <w:r>
              <w:rPr>
                <w:sz w:val="24"/>
                <w:szCs w:val="24"/>
              </w:rPr>
              <w:t>ИНН 2460066195 / КПП 997650001</w:t>
            </w:r>
          </w:p>
          <w:p>
            <w:pPr>
              <w:pStyle w:val="Normal"/>
              <w:widowControl w:val="false"/>
              <w:rPr/>
            </w:pPr>
            <w:r>
              <w:rPr>
                <w:sz w:val="24"/>
                <w:szCs w:val="24"/>
              </w:rPr>
              <w:t>_________________________________</w:t>
            </w:r>
          </w:p>
          <w:p>
            <w:pPr>
              <w:pStyle w:val="Normal"/>
              <w:widowControl w:val="false"/>
              <w:rPr/>
            </w:pPr>
            <w:r>
              <w:rPr>
                <w:sz w:val="24"/>
                <w:szCs w:val="24"/>
              </w:rPr>
              <w:t>(номер расчетного счета)</w:t>
            </w:r>
          </w:p>
          <w:p>
            <w:pPr>
              <w:pStyle w:val="Normal"/>
              <w:widowControl w:val="false"/>
              <w:rPr/>
            </w:pPr>
            <w:r>
              <w:rPr>
                <w:sz w:val="24"/>
                <w:szCs w:val="24"/>
              </w:rPr>
              <w:t>_________________________________</w:t>
            </w:r>
          </w:p>
          <w:p>
            <w:pPr>
              <w:pStyle w:val="Normal"/>
              <w:widowControl w:val="false"/>
              <w:rPr/>
            </w:pPr>
            <w:r>
              <w:rPr>
                <w:sz w:val="24"/>
                <w:szCs w:val="24"/>
              </w:rPr>
              <w:t>(наименование банка, в котором</w:t>
            </w:r>
          </w:p>
          <w:p>
            <w:pPr>
              <w:pStyle w:val="Normal"/>
              <w:widowControl w:val="false"/>
              <w:rPr/>
            </w:pPr>
            <w:r>
              <w:rPr>
                <w:sz w:val="24"/>
                <w:szCs w:val="24"/>
              </w:rPr>
              <w:t>открыт расчетный счет)</w:t>
            </w:r>
          </w:p>
          <w:p>
            <w:pPr>
              <w:pStyle w:val="Normal"/>
              <w:widowControl w:val="false"/>
              <w:rPr/>
            </w:pPr>
            <w:r>
              <w:rPr>
                <w:sz w:val="24"/>
                <w:szCs w:val="24"/>
              </w:rPr>
              <w:t>_________________________________</w:t>
            </w:r>
          </w:p>
          <w:p>
            <w:pPr>
              <w:pStyle w:val="Normal"/>
              <w:widowControl w:val="false"/>
              <w:rPr/>
            </w:pPr>
            <w:r>
              <w:rPr>
                <w:sz w:val="24"/>
                <w:szCs w:val="24"/>
              </w:rPr>
              <w:t>(номер корреспондентского счета банка)</w:t>
            </w:r>
          </w:p>
          <w:p>
            <w:pPr>
              <w:pStyle w:val="Normal"/>
              <w:widowControl w:val="false"/>
              <w:rPr/>
            </w:pPr>
            <w:r>
              <w:rPr>
                <w:sz w:val="24"/>
                <w:szCs w:val="24"/>
              </w:rPr>
              <w:t>_________________________________</w:t>
            </w:r>
          </w:p>
          <w:p>
            <w:pPr>
              <w:pStyle w:val="Normal"/>
              <w:widowControl w:val="false"/>
              <w:rPr/>
            </w:pPr>
            <w:r>
              <w:rPr>
                <w:sz w:val="24"/>
                <w:szCs w:val="24"/>
              </w:rPr>
              <w:t>(БИК банка)</w:t>
            </w:r>
          </w:p>
          <w:p>
            <w:pPr>
              <w:pStyle w:val="Normal"/>
              <w:widowControl w:val="false"/>
              <w:rPr/>
            </w:pPr>
            <w:r>
              <w:rPr>
                <w:sz w:val="24"/>
                <w:szCs w:val="24"/>
              </w:rPr>
              <w:t>_________________________________</w:t>
            </w:r>
          </w:p>
          <w:p>
            <w:pPr>
              <w:pStyle w:val="Normal"/>
              <w:widowControl w:val="false"/>
              <w:rPr/>
            </w:pPr>
            <w:r>
              <w:rPr>
                <w:sz w:val="24"/>
                <w:szCs w:val="24"/>
              </w:rPr>
              <w:t>(номер телефона)</w:t>
            </w:r>
          </w:p>
          <w:p>
            <w:pPr>
              <w:pStyle w:val="Normal"/>
              <w:widowControl w:val="false"/>
              <w:rPr/>
            </w:pPr>
            <w:r>
              <w:rPr>
                <w:sz w:val="24"/>
                <w:szCs w:val="24"/>
              </w:rPr>
              <w:t>_________________________________</w:t>
            </w:r>
          </w:p>
          <w:p>
            <w:pPr>
              <w:pStyle w:val="Normal"/>
              <w:widowControl w:val="false"/>
              <w:rPr/>
            </w:pPr>
            <w:r>
              <w:rPr>
                <w:sz w:val="24"/>
                <w:szCs w:val="24"/>
              </w:rPr>
              <w:t>(номер факса)</w:t>
            </w:r>
          </w:p>
          <w:p>
            <w:pPr>
              <w:pStyle w:val="Normal"/>
              <w:widowControl w:val="false"/>
              <w:rPr>
                <w:sz w:val="24"/>
                <w:szCs w:val="24"/>
              </w:rPr>
            </w:pPr>
            <w:r>
              <w:rPr>
                <w:sz w:val="24"/>
                <w:szCs w:val="24"/>
              </w:rPr>
            </w:r>
          </w:p>
        </w:tc>
        <w:tc>
          <w:tcPr>
            <w:tcW w:w="4962" w:type="dxa"/>
            <w:gridSpan w:val="2"/>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pPr>
            <w:r>
              <w:rPr>
                <w:sz w:val="24"/>
                <w:szCs w:val="24"/>
              </w:rPr>
              <w:t>_________________________________</w:t>
            </w:r>
          </w:p>
          <w:p>
            <w:pPr>
              <w:pStyle w:val="Normal"/>
              <w:widowControl w:val="false"/>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pPr>
            <w:r>
              <w:rPr>
                <w:sz w:val="24"/>
                <w:szCs w:val="24"/>
              </w:rPr>
              <w:t>Место нахождения:</w:t>
            </w:r>
          </w:p>
          <w:p>
            <w:pPr>
              <w:pStyle w:val="Normal"/>
              <w:widowControl w:val="false"/>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pPr>
            <w:r>
              <w:rPr>
                <w:sz w:val="24"/>
                <w:szCs w:val="24"/>
              </w:rPr>
              <w:t>Почтовый адрес:</w:t>
            </w:r>
          </w:p>
          <w:p>
            <w:pPr>
              <w:pStyle w:val="Normal"/>
              <w:widowControl w:val="false"/>
              <w:rPr/>
            </w:pPr>
            <w:r>
              <w:rPr>
                <w:sz w:val="24"/>
                <w:szCs w:val="24"/>
              </w:rPr>
              <w:t>_________________________________</w:t>
            </w:r>
          </w:p>
          <w:p>
            <w:pPr>
              <w:pStyle w:val="Normal"/>
              <w:widowControl w:val="false"/>
              <w:rPr/>
            </w:pPr>
            <w:r>
              <w:rPr>
                <w:sz w:val="24"/>
                <w:szCs w:val="24"/>
              </w:rPr>
              <w:t>ОГРН ___________________________</w:t>
            </w:r>
          </w:p>
          <w:p>
            <w:pPr>
              <w:pStyle w:val="Normal"/>
              <w:widowControl w:val="false"/>
              <w:rPr/>
            </w:pPr>
            <w:r>
              <w:rPr>
                <w:sz w:val="24"/>
                <w:szCs w:val="24"/>
              </w:rPr>
              <w:t>ИНН ____________ / КПП___________</w:t>
            </w:r>
          </w:p>
          <w:p>
            <w:pPr>
              <w:pStyle w:val="Normal"/>
              <w:widowControl w:val="false"/>
              <w:rPr/>
            </w:pPr>
            <w:r>
              <w:rPr>
                <w:sz w:val="24"/>
                <w:szCs w:val="24"/>
              </w:rPr>
              <w:t>_________________________________</w:t>
            </w:r>
          </w:p>
          <w:p>
            <w:pPr>
              <w:pStyle w:val="Normal"/>
              <w:widowControl w:val="false"/>
              <w:rPr/>
            </w:pPr>
            <w:r>
              <w:rPr>
                <w:sz w:val="24"/>
                <w:szCs w:val="24"/>
              </w:rPr>
              <w:t>(номер расчетного счета)</w:t>
            </w:r>
          </w:p>
          <w:p>
            <w:pPr>
              <w:pStyle w:val="Normal"/>
              <w:widowControl w:val="false"/>
              <w:rPr/>
            </w:pPr>
            <w:r>
              <w:rPr>
                <w:sz w:val="24"/>
                <w:szCs w:val="24"/>
              </w:rPr>
              <w:t>_________________________________</w:t>
            </w:r>
          </w:p>
          <w:p>
            <w:pPr>
              <w:pStyle w:val="Normal"/>
              <w:widowControl w:val="false"/>
              <w:rPr/>
            </w:pPr>
            <w:r>
              <w:rPr>
                <w:sz w:val="24"/>
                <w:szCs w:val="24"/>
              </w:rPr>
              <w:t>(наименование банка, в котором</w:t>
            </w:r>
          </w:p>
          <w:p>
            <w:pPr>
              <w:pStyle w:val="Normal"/>
              <w:widowControl w:val="false"/>
              <w:rPr/>
            </w:pPr>
            <w:r>
              <w:rPr>
                <w:sz w:val="24"/>
                <w:szCs w:val="24"/>
              </w:rPr>
              <w:t>открыт расчетный счет)</w:t>
            </w:r>
          </w:p>
          <w:p>
            <w:pPr>
              <w:pStyle w:val="Normal"/>
              <w:widowControl w:val="false"/>
              <w:rPr/>
            </w:pPr>
            <w:r>
              <w:rPr>
                <w:sz w:val="24"/>
                <w:szCs w:val="24"/>
              </w:rPr>
              <w:t>_________________________________</w:t>
            </w:r>
          </w:p>
          <w:p>
            <w:pPr>
              <w:pStyle w:val="Normal"/>
              <w:widowControl w:val="false"/>
              <w:rPr/>
            </w:pPr>
            <w:r>
              <w:rPr>
                <w:sz w:val="24"/>
                <w:szCs w:val="24"/>
              </w:rPr>
              <w:t>(номер корреспондентского счета банка)</w:t>
            </w:r>
          </w:p>
          <w:p>
            <w:pPr>
              <w:pStyle w:val="Normal"/>
              <w:widowControl w:val="false"/>
              <w:rPr/>
            </w:pPr>
            <w:r>
              <w:rPr>
                <w:sz w:val="24"/>
                <w:szCs w:val="24"/>
              </w:rPr>
              <w:t>_________________________________</w:t>
            </w:r>
          </w:p>
          <w:p>
            <w:pPr>
              <w:pStyle w:val="Normal"/>
              <w:widowControl w:val="false"/>
              <w:rPr/>
            </w:pPr>
            <w:r>
              <w:rPr>
                <w:sz w:val="24"/>
                <w:szCs w:val="24"/>
              </w:rPr>
              <w:t>(БИК банка)</w:t>
            </w:r>
          </w:p>
          <w:p>
            <w:pPr>
              <w:pStyle w:val="Normal"/>
              <w:widowControl w:val="false"/>
              <w:rPr/>
            </w:pPr>
            <w:r>
              <w:rPr>
                <w:sz w:val="24"/>
                <w:szCs w:val="24"/>
              </w:rPr>
              <w:t>_________________________________</w:t>
            </w:r>
          </w:p>
          <w:p>
            <w:pPr>
              <w:pStyle w:val="Normal"/>
              <w:widowControl w:val="false"/>
              <w:rPr/>
            </w:pPr>
            <w:r>
              <w:rPr>
                <w:sz w:val="24"/>
                <w:szCs w:val="24"/>
              </w:rPr>
              <w:t>(номер телефона)</w:t>
            </w:r>
          </w:p>
          <w:p>
            <w:pPr>
              <w:pStyle w:val="Normal"/>
              <w:widowControl w:val="false"/>
              <w:rPr/>
            </w:pPr>
            <w:r>
              <w:rPr>
                <w:sz w:val="24"/>
                <w:szCs w:val="24"/>
              </w:rPr>
              <w:t>_________________________________</w:t>
            </w:r>
          </w:p>
          <w:p>
            <w:pPr>
              <w:pStyle w:val="Normal"/>
              <w:widowControl w:val="false"/>
              <w:rPr/>
            </w:pPr>
            <w:r>
              <w:rPr>
                <w:sz w:val="24"/>
                <w:szCs w:val="24"/>
              </w:rPr>
              <w:t>(номер факса)</w:t>
            </w:r>
          </w:p>
          <w:p>
            <w:pPr>
              <w:pStyle w:val="Normal"/>
              <w:widowControl w:val="false"/>
              <w:rPr>
                <w:sz w:val="24"/>
                <w:szCs w:val="24"/>
              </w:rPr>
            </w:pPr>
            <w:r>
              <w:rPr>
                <w:sz w:val="24"/>
                <w:szCs w:val="24"/>
              </w:rPr>
            </w:r>
          </w:p>
        </w:tc>
      </w:tr>
      <w:tr>
        <w:trPr/>
        <w:tc>
          <w:tcPr>
            <w:tcW w:w="4774" w:type="dxa"/>
            <w:tcBorders/>
          </w:tcPr>
          <w:p>
            <w:pPr>
              <w:pStyle w:val="Normal"/>
              <w:widowControl w:val="false"/>
              <w:rPr/>
            </w:pPr>
            <w:r>
              <w:rPr>
                <w:sz w:val="24"/>
                <w:szCs w:val="24"/>
              </w:rPr>
              <w:t xml:space="preserve">_______________ / _______________ </w:t>
            </w:r>
          </w:p>
          <w:p>
            <w:pPr>
              <w:pStyle w:val="Normal"/>
              <w:widowControl w:val="false"/>
              <w:rPr>
                <w:sz w:val="24"/>
                <w:szCs w:val="24"/>
              </w:rPr>
            </w:pPr>
            <w:r>
              <w:rPr>
                <w:sz w:val="24"/>
                <w:szCs w:val="24"/>
              </w:rPr>
            </w:r>
          </w:p>
        </w:tc>
        <w:tc>
          <w:tcPr>
            <w:tcW w:w="4786" w:type="dxa"/>
            <w:gridSpan w:val="2"/>
            <w:tcBorders/>
          </w:tcPr>
          <w:p>
            <w:pPr>
              <w:pStyle w:val="Normal"/>
              <w:widowControl w:val="false"/>
              <w:rPr/>
            </w:pPr>
            <w:r>
              <w:rPr>
                <w:sz w:val="24"/>
                <w:szCs w:val="24"/>
              </w:rPr>
              <w:t xml:space="preserve">_______________ / _______________ </w:t>
            </w:r>
          </w:p>
        </w:tc>
        <w:tc>
          <w:tcPr>
            <w:tcW w:w="330"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16384"/>
        </w:sectPr>
      </w:pPr>
    </w:p>
    <w:p>
      <w:pPr>
        <w:pStyle w:val="Normal"/>
        <w:ind w:left="5103" w:right="96" w:hanging="0"/>
        <w:rPr>
          <w:sz w:val="22"/>
          <w:szCs w:val="22"/>
        </w:rPr>
      </w:pPr>
      <w:r>
        <w:rPr>
          <w:sz w:val="22"/>
          <w:szCs w:val="22"/>
        </w:rPr>
        <w:t>Приложение № 1</w:t>
      </w:r>
    </w:p>
    <w:p>
      <w:pPr>
        <w:pStyle w:val="Normal"/>
        <w:ind w:left="5103" w:right="96" w:hanging="0"/>
        <w:rPr>
          <w:sz w:val="22"/>
          <w:szCs w:val="22"/>
        </w:rPr>
      </w:pPr>
      <w:r>
        <w:rPr>
          <w:sz w:val="22"/>
          <w:szCs w:val="22"/>
        </w:rPr>
        <w:t>к Договору поставки</w:t>
      </w:r>
    </w:p>
    <w:p>
      <w:pPr>
        <w:pStyle w:val="Normal"/>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5"/>
        <w:gridCol w:w="636"/>
        <w:gridCol w:w="637"/>
        <w:gridCol w:w="798"/>
        <w:gridCol w:w="767"/>
        <w:gridCol w:w="643"/>
        <w:gridCol w:w="762"/>
        <w:gridCol w:w="720"/>
        <w:gridCol w:w="375"/>
        <w:gridCol w:w="158"/>
        <w:gridCol w:w="665"/>
        <w:gridCol w:w="583"/>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Cs/>
              </w:rPr>
              <w:t xml:space="preserve">№ </w:t>
            </w:r>
            <w:r>
              <w:rPr>
                <w:bCs/>
              </w:rPr>
              <w:t>поз.</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pPr>
            <w:r>
              <w:rPr>
                <w:bCs/>
              </w:rPr>
              <w:t>Артикул, тип, марка</w:t>
            </w:r>
          </w:p>
        </w:tc>
        <w:tc>
          <w:tcPr>
            <w:tcW w:w="6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Cs/>
              </w:rPr>
              <w:t>Завод изготовитель</w:t>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pPr>
            <w:r>
              <w:rPr>
                <w:bCs/>
              </w:rPr>
              <w:t>Страна происхождения Товара</w:t>
            </w:r>
            <w:r>
              <w:rPr>
                <w:rStyle w:val="FootnoteReference"/>
                <w:bCs/>
              </w:rPr>
              <w:footnoteReference w:id="8"/>
            </w:r>
          </w:p>
        </w:tc>
        <w:tc>
          <w:tcPr>
            <w:tcW w:w="7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Страна регистрации производителя Товара</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pPr>
            <w:r>
              <w:rPr>
                <w:bCs/>
              </w:rPr>
              <w:t>Порядковый номер(а) реестровой(ых) записи(ей)</w:t>
            </w:r>
            <w:r>
              <w:rPr>
                <w:rStyle w:val="FootnoteReference"/>
                <w:bCs/>
              </w:rPr>
              <w:footnoteReference w:id="9"/>
            </w:r>
          </w:p>
          <w:p>
            <w:pPr>
              <w:pStyle w:val="Normal"/>
              <w:widowControl w:val="false"/>
              <w:jc w:val="center"/>
              <w:rPr>
                <w:bCs/>
              </w:rPr>
            </w:pPr>
            <w:r>
              <w:rPr>
                <w:bCs/>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Cs/>
              </w:rPr>
              <w:t>Количество</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Cs/>
              </w:rPr>
              <w:t>Цена за единицу, руб. без НДС</w:t>
            </w:r>
          </w:p>
        </w:tc>
        <w:tc>
          <w:tcPr>
            <w:tcW w:w="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Cs/>
              </w:rPr>
              <w:t>НДС</w:t>
            </w:r>
          </w:p>
          <w:p>
            <w:pPr>
              <w:pStyle w:val="Normal"/>
              <w:widowControl w:val="false"/>
              <w:jc w:val="center"/>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1</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2</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0"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Итого стоимость всего Товара (с учетом доставки), руб. с НДС:</w:t>
            </w:r>
          </w:p>
        </w:tc>
        <w:tc>
          <w:tcPr>
            <w:tcW w:w="326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rPr>
          <w:i/>
          <w:i/>
          <w:sz w:val="22"/>
          <w:szCs w:val="22"/>
          <w:highlight w:val="lightGray"/>
        </w:rPr>
      </w:pPr>
      <w:r>
        <w:rPr>
          <w:i/>
          <w:sz w:val="22"/>
          <w:szCs w:val="22"/>
          <w:highlight w:val="lightGray"/>
        </w:rPr>
      </w:r>
    </w:p>
    <w:p>
      <w:pPr>
        <w:pStyle w:val="Normal"/>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pPr>
      <w:r>
        <w:rPr>
          <w:i/>
          <w:sz w:val="22"/>
          <w:szCs w:val="22"/>
        </w:rPr>
        <w:t xml:space="preserve">2. По требованию Покупателя Поставщик обязан представить запрашиваемую информацию / документы, расчеты, обосновывающие стоимость доставки.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ind w:right="96" w:firstLine="5103"/>
        <w:rPr>
          <w:sz w:val="22"/>
          <w:szCs w:val="22"/>
        </w:rPr>
      </w:pPr>
      <w:r>
        <w:rPr>
          <w:sz w:val="22"/>
          <w:szCs w:val="22"/>
        </w:rPr>
        <w:t>Приложение № 2</w:t>
      </w:r>
    </w:p>
    <w:p>
      <w:pPr>
        <w:pStyle w:val="Normal"/>
        <w:ind w:right="96" w:firstLine="5103"/>
        <w:rPr>
          <w:sz w:val="22"/>
          <w:szCs w:val="22"/>
        </w:rPr>
      </w:pPr>
      <w:r>
        <w:rPr>
          <w:sz w:val="22"/>
          <w:szCs w:val="22"/>
        </w:rPr>
        <w:t xml:space="preserve">к Договору поставки </w:t>
      </w:r>
    </w:p>
    <w:p>
      <w:pPr>
        <w:pStyle w:val="Normal"/>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529"/>
        <w:rPr>
          <w:sz w:val="22"/>
          <w:szCs w:val="22"/>
        </w:rPr>
      </w:pPr>
      <w:r>
        <w:rPr>
          <w:sz w:val="22"/>
          <w:szCs w:val="22"/>
        </w:rPr>
        <w:t>Приложение № 3</w:t>
      </w:r>
    </w:p>
    <w:p>
      <w:pPr>
        <w:pStyle w:val="Normal"/>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suppressAutoHyphens w:val="true"/>
        <w:bidi w:val="0"/>
        <w:spacing w:before="0" w:after="0"/>
        <w:ind w:firstLine="709"/>
        <w:jc w:val="center"/>
        <w:rPr>
          <w:sz w:val="24"/>
          <w:szCs w:val="24"/>
          <w:lang w:val="en-GB"/>
        </w:rPr>
      </w:pPr>
      <w:r>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tcPr>
          <w:p>
            <w:pPr>
              <w:pStyle w:val="Normal"/>
              <w:widowControl w:val="false"/>
              <w:ind w:right="-108" w:hanging="0"/>
              <w:jc w:val="both"/>
              <w:rPr>
                <w:color w:val="000000"/>
                <w:sz w:val="24"/>
                <w:szCs w:val="24"/>
                <w:lang w:val="en-GB"/>
              </w:rPr>
            </w:pPr>
            <w:r>
              <w:rPr/>
            </w:r>
          </w:p>
        </w:tc>
        <w:tc>
          <w:tcPr>
            <w:tcW w:w="280" w:type="dxa"/>
            <w:tcBorders/>
          </w:tcPr>
          <w:p>
            <w:pPr>
              <w:pStyle w:val="Normal"/>
              <w:widowControl w:val="false"/>
              <w:ind w:left="317" w:right="-108" w:hanging="317"/>
              <w:jc w:val="both"/>
              <w:rPr>
                <w:color w:val="000000"/>
                <w:sz w:val="24"/>
                <w:szCs w:val="24"/>
                <w:lang w:val="en-GB"/>
              </w:rPr>
            </w:pPr>
            <w:r>
              <w:rPr/>
            </w:r>
          </w:p>
        </w:tc>
        <w:tc>
          <w:tcPr>
            <w:tcW w:w="8509" w:type="dxa"/>
            <w:tcBorders/>
          </w:tcPr>
          <w:p>
            <w:pPr>
              <w:pStyle w:val="Normal"/>
              <w:widowControl w:val="false"/>
              <w:ind w:left="-75" w:right="-108" w:hanging="0"/>
              <w:jc w:val="both"/>
              <w:rPr>
                <w:color w:val="000000"/>
                <w:sz w:val="24"/>
                <w:szCs w:val="24"/>
              </w:rPr>
            </w:pPr>
            <w:r>
              <w:rPr/>
            </w:r>
          </w:p>
        </w:tc>
      </w:tr>
      <w:tr>
        <w:trPr>
          <w:trHeight w:val="280" w:hRule="atLeast"/>
        </w:trPr>
        <w:tc>
          <w:tcPr>
            <w:tcW w:w="817" w:type="dxa"/>
            <w:tcBorders/>
          </w:tcPr>
          <w:p>
            <w:pPr>
              <w:pStyle w:val="Normal"/>
              <w:widowControl w:val="false"/>
              <w:suppressAutoHyphens w:val="true"/>
              <w:bidi w:val="0"/>
              <w:spacing w:before="0" w:after="0"/>
              <w:ind w:right="-108" w:hanging="0"/>
              <w:jc w:val="both"/>
              <w:rPr>
                <w:color w:val="000000"/>
                <w:sz w:val="24"/>
                <w:szCs w:val="24"/>
                <w:lang w:val="en-GB"/>
              </w:rPr>
            </w:pPr>
            <w:r>
              <w:rPr>
                <w:color w:val="000000"/>
                <w:sz w:val="24"/>
                <w:szCs w:val="24"/>
                <w:lang w:val="en-GB"/>
              </w:rPr>
            </w:r>
          </w:p>
        </w:tc>
        <w:tc>
          <w:tcPr>
            <w:tcW w:w="280" w:type="dxa"/>
            <w:tcBorders/>
          </w:tcPr>
          <w:p>
            <w:pPr>
              <w:pStyle w:val="Normal"/>
              <w:widowControl w:val="false"/>
              <w:ind w:right="-108" w:hanging="0"/>
              <w:jc w:val="both"/>
              <w:rPr>
                <w:color w:val="000000"/>
                <w:sz w:val="24"/>
                <w:szCs w:val="24"/>
                <w:lang w:val="en-GB"/>
              </w:rPr>
            </w:pPr>
            <w:r>
              <w:rPr/>
            </w:r>
          </w:p>
        </w:tc>
        <w:tc>
          <w:tcPr>
            <w:tcW w:w="8509" w:type="dxa"/>
            <w:tcBorders/>
          </w:tcPr>
          <w:p>
            <w:pPr>
              <w:pStyle w:val="Normal"/>
              <w:widowControl w:val="false"/>
              <w:ind w:left="-75" w:right="-108" w:hanging="0"/>
              <w:jc w:val="both"/>
              <w:rPr>
                <w:color w:val="000000"/>
                <w:sz w:val="24"/>
                <w:szCs w:val="24"/>
              </w:rPr>
            </w:pPr>
            <w:r>
              <w:rPr/>
            </w:r>
          </w:p>
        </w:tc>
      </w:tr>
      <w:tr>
        <w:trPr>
          <w:trHeight w:val="993" w:hRule="atLeast"/>
        </w:trPr>
        <w:tc>
          <w:tcPr>
            <w:tcW w:w="817" w:type="dxa"/>
            <w:tcBorders/>
          </w:tcPr>
          <w:p>
            <w:pPr>
              <w:pStyle w:val="Normal"/>
              <w:widowControl w:val="false"/>
              <w:ind w:right="-108" w:hanging="0"/>
              <w:jc w:val="both"/>
              <w:rPr>
                <w:b/>
                <w:i/>
                <w:i/>
                <w:color w:val="000000"/>
                <w:sz w:val="24"/>
                <w:szCs w:val="24"/>
                <w:lang w:val="en-GB"/>
              </w:rPr>
            </w:pPr>
            <w:r>
              <w:rPr/>
            </w:r>
          </w:p>
        </w:tc>
        <w:tc>
          <w:tcPr>
            <w:tcW w:w="280" w:type="dxa"/>
            <w:tcBorders/>
          </w:tcPr>
          <w:p>
            <w:pPr>
              <w:pStyle w:val="Normal"/>
              <w:widowControl w:val="false"/>
              <w:ind w:right="-108" w:hanging="0"/>
              <w:jc w:val="both"/>
              <w:rPr>
                <w:sz w:val="24"/>
                <w:szCs w:val="24"/>
                <w:lang w:val="en-GB"/>
              </w:rPr>
            </w:pPr>
            <w:r>
              <w:rPr/>
            </w:r>
          </w:p>
        </w:tc>
        <w:tc>
          <w:tcPr>
            <w:tcW w:w="8509" w:type="dxa"/>
            <w:tcBorders/>
          </w:tcPr>
          <w:p>
            <w:pPr>
              <w:pStyle w:val="Normal"/>
              <w:widowControl w:val="false"/>
              <w:suppressAutoHyphens w:val="true"/>
              <w:bidi w:val="0"/>
              <w:spacing w:before="0" w:after="0"/>
              <w:ind w:firstLine="492"/>
              <w:jc w:val="both"/>
              <w:rPr>
                <w:sz w:val="24"/>
                <w:szCs w:val="24"/>
              </w:rPr>
            </w:pPr>
            <w:r>
              <w:rPr/>
            </w:r>
          </w:p>
        </w:tc>
      </w:tr>
    </w:tbl>
    <w:p>
      <w:pPr>
        <w:pStyle w:val="Normal"/>
        <w:widowControl/>
        <w:tabs>
          <w:tab w:val="clear" w:pos="709"/>
          <w:tab w:val="left" w:pos="1425" w:leader="none"/>
        </w:tabs>
        <w:suppressAutoHyphens w:val="true"/>
        <w:bidi w:val="0"/>
        <w:spacing w:before="0" w:after="0"/>
        <w:ind w:left="0" w:right="0" w:firstLine="567"/>
        <w:jc w:val="left"/>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РусГидро22, а также соответствовать следующим критериям:</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1.</w:t>
        <w:tab/>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2.</w:t>
        <w:tab/>
        <w:t xml:space="preserve">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 xml:space="preserve">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в отдельные законодательные акты Российской Федерации» (далее – 213-ФЗ) или иным документом, его заменяющим (в случае отмены 213-ФЗ).</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3.</w:t>
        <w:tab/>
        <w:t xml:space="preserve">Иметь собственные средства (капитал) в размере не менее 25 млрд. рублей на 1 января текущего календарного года  по данным отчетности </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 xml:space="preserve">(в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(www.cbr.ru)  на официальных сайтах ЦБ РФ и / или кредитной организации либо представленной кредитной организации Обществу. </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4.</w:t>
        <w:tab/>
        <w:t xml:space="preserve">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по классификации рейтинговых агентств «Fitch-Ratings» или «Standard &amp; Poor's» либо уровня «Bа2» по классификации рейтингового агентства «Moody's Investors Service23.</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5.</w:t>
        <w:tab/>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Федерации»24.</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6.</w:t>
        <w:tab/>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(http://www.asv.org.ru))».</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7.</w:t>
        <w:tab/>
        <w:t>Не иметь просроченную задолженность перед компаниями Группы РусГидро.</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8.</w:t>
        <w:tab/>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Договор25.</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9.</w:t>
        <w:tab/>
        <w:t>Требования, установленные пунктами 2 – 4 настоящих Критериев, не распространяются на кредитные организации:</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 xml:space="preserve">9.1. В отношении которых или в отношении лиц, под контролем либо значительным влиянием которых находятся кредитные организации, </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 xml:space="preserve">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 xml:space="preserve">и Федеральным законом от 24.07.2007 № 209-ФЗ «О развитии малого </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и среднего предпринимательства в Российской Федерации».</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 xml:space="preserve">9.3. Утвержденную Наблюдательным советом Ассоциации «НП «Совет рынка» в качестве уполномоченной кредитной организации, ответственной </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за проведение расчетов между субъектами ОРЭМ.</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9.4. ВЭБ.РФ.</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9.5. Нерезидентов Российской Федерации.</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t>10.</w:t>
        <w:tab/>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960" w:leader="none"/>
        </w:tabs>
        <w:suppressAutoHyphens w:val="true"/>
        <w:bidi w:val="0"/>
        <w:spacing w:before="0" w:after="0"/>
        <w:ind w:left="0" w:right="0" w:firstLine="567"/>
        <w:jc w:val="left"/>
        <w:rPr>
          <w:sz w:val="24"/>
          <w:szCs w:val="24"/>
        </w:rPr>
      </w:pPr>
      <w:r>
        <w:rPr>
          <w:sz w:val="24"/>
          <w:szCs w:val="24"/>
        </w:rPr>
      </w:r>
    </w:p>
    <w:p>
      <w:pPr>
        <w:pStyle w:val="Normal"/>
        <w:widowControl/>
        <w:tabs>
          <w:tab w:val="clear" w:pos="709"/>
          <w:tab w:val="left" w:pos="1425" w:leader="none"/>
        </w:tabs>
        <w:suppressAutoHyphens w:val="true"/>
        <w:bidi w:val="0"/>
        <w:spacing w:before="0" w:after="0"/>
        <w:ind w:left="0" w:right="0" w:firstLine="567"/>
        <w:jc w:val="left"/>
        <w:rPr>
          <w:sz w:val="24"/>
          <w:szCs w:val="24"/>
        </w:rPr>
      </w:pPr>
      <w:r>
        <w:rPr>
          <w:sz w:val="24"/>
          <w:szCs w:val="24"/>
        </w:rPr>
        <w:t xml:space="preserve">LimAi  = ri ×  СKi, </w:t>
      </w:r>
    </w:p>
    <w:p>
      <w:pPr>
        <w:pStyle w:val="Normal"/>
        <w:widowControl/>
        <w:tabs>
          <w:tab w:val="clear" w:pos="709"/>
          <w:tab w:val="left" w:pos="1425" w:leader="none"/>
        </w:tabs>
        <w:suppressAutoHyphens w:val="true"/>
        <w:bidi w:val="0"/>
        <w:spacing w:before="0" w:after="0"/>
        <w:ind w:left="0" w:right="0" w:firstLine="567"/>
        <w:jc w:val="left"/>
        <w:rPr>
          <w:sz w:val="24"/>
          <w:szCs w:val="24"/>
        </w:rPr>
      </w:pPr>
      <w:r>
        <w:rPr>
          <w:sz w:val="24"/>
          <w:szCs w:val="24"/>
        </w:rPr>
        <w:t>где</w:t>
      </w:r>
    </w:p>
    <w:p>
      <w:pPr>
        <w:pStyle w:val="Normal"/>
        <w:widowControl/>
        <w:tabs>
          <w:tab w:val="clear" w:pos="709"/>
          <w:tab w:val="left" w:pos="1425" w:leader="none"/>
        </w:tabs>
        <w:suppressAutoHyphens w:val="true"/>
        <w:bidi w:val="0"/>
        <w:spacing w:before="0" w:after="0"/>
        <w:ind w:left="0" w:right="0" w:firstLine="567"/>
        <w:jc w:val="left"/>
        <w:rPr>
          <w:sz w:val="24"/>
          <w:szCs w:val="24"/>
        </w:rPr>
      </w:pPr>
      <w:r>
        <w:rPr>
          <w:sz w:val="24"/>
          <w:szCs w:val="24"/>
        </w:rPr>
        <w:t>LimAi   - Лимит риска для i-ой кредитной организации26.</w:t>
      </w:r>
    </w:p>
    <w:p>
      <w:pPr>
        <w:pStyle w:val="Normal"/>
        <w:widowControl/>
        <w:tabs>
          <w:tab w:val="clear" w:pos="709"/>
          <w:tab w:val="left" w:pos="1425" w:leader="none"/>
        </w:tabs>
        <w:suppressAutoHyphens w:val="true"/>
        <w:bidi w:val="0"/>
        <w:spacing w:before="0" w:after="0"/>
        <w:ind w:left="0" w:right="0" w:firstLine="567"/>
        <w:jc w:val="left"/>
        <w:rPr>
          <w:sz w:val="24"/>
          <w:szCs w:val="24"/>
        </w:rPr>
      </w:pPr>
      <w:r>
        <w:rPr>
          <w:sz w:val="24"/>
          <w:szCs w:val="24"/>
        </w:rPr>
        <w:t xml:space="preserve">СKi        - размер собственных средств (капитала) i-ой кредитной организации </w:t>
      </w:r>
    </w:p>
    <w:p>
      <w:pPr>
        <w:pStyle w:val="Normal"/>
        <w:widowControl/>
        <w:tabs>
          <w:tab w:val="clear" w:pos="709"/>
          <w:tab w:val="left" w:pos="1425" w:leader="none"/>
        </w:tabs>
        <w:suppressAutoHyphens w:val="true"/>
        <w:bidi w:val="0"/>
        <w:spacing w:before="0" w:after="0"/>
        <w:ind w:left="0" w:right="0" w:firstLine="567"/>
        <w:jc w:val="left"/>
        <w:rPr>
          <w:sz w:val="24"/>
          <w:szCs w:val="24"/>
        </w:rPr>
      </w:pPr>
      <w:r>
        <w:rPr>
          <w:sz w:val="24"/>
          <w:szCs w:val="24"/>
        </w:rPr>
        <w:t xml:space="preserve">на 1 января текущего календарного года по данным отчетности </w:t>
      </w:r>
    </w:p>
    <w:p>
      <w:pPr>
        <w:pStyle w:val="Normal"/>
        <w:widowControl/>
        <w:tabs>
          <w:tab w:val="clear" w:pos="709"/>
          <w:tab w:val="left" w:pos="1425" w:leader="none"/>
        </w:tabs>
        <w:suppressAutoHyphens w:val="true"/>
        <w:bidi w:val="0"/>
        <w:spacing w:before="0" w:after="0"/>
        <w:ind w:left="0" w:right="0" w:firstLine="567"/>
        <w:jc w:val="left"/>
        <w:rPr>
          <w:sz w:val="24"/>
          <w:szCs w:val="24"/>
        </w:rPr>
      </w:pPr>
      <w:r>
        <w:rPr>
          <w:sz w:val="24"/>
          <w:szCs w:val="24"/>
        </w:rP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(www.cbr.ru) на официальных сайтах ЦБ РФ и / или кредитной организации либо представленной кредитной организацией Обществу;</w:t>
      </w:r>
    </w:p>
    <w:p>
      <w:pPr>
        <w:pStyle w:val="Normal"/>
        <w:widowControl/>
        <w:tabs>
          <w:tab w:val="clear" w:pos="709"/>
          <w:tab w:val="left" w:pos="1425" w:leader="none"/>
        </w:tabs>
        <w:suppressAutoHyphens w:val="true"/>
        <w:bidi w:val="0"/>
        <w:spacing w:before="0" w:after="0"/>
        <w:ind w:left="0" w:right="0" w:firstLine="567"/>
        <w:jc w:val="left"/>
        <w:rPr>
          <w:sz w:val="24"/>
          <w:szCs w:val="24"/>
        </w:rPr>
      </w:pPr>
      <w:r>
        <w:rPr>
          <w:sz w:val="24"/>
          <w:szCs w:val="24"/>
        </w:rPr>
        <w:t>ri             - рейтинговый коэффициент27 для i-ой кредитной организации, равный:</w:t>
      </w:r>
    </w:p>
    <w:p>
      <w:pPr>
        <w:pStyle w:val="Normal"/>
        <w:widowControl/>
        <w:tabs>
          <w:tab w:val="clear" w:pos="709"/>
          <w:tab w:val="left" w:pos="1425" w:leader="none"/>
        </w:tabs>
        <w:suppressAutoHyphens w:val="true"/>
        <w:bidi w:val="0"/>
        <w:spacing w:before="0" w:after="0"/>
        <w:ind w:left="0" w:right="0" w:firstLine="567"/>
        <w:jc w:val="left"/>
        <w:rPr>
          <w:sz w:val="24"/>
          <w:szCs w:val="24"/>
        </w:rPr>
      </w:pPr>
      <w:r>
        <w:rPr>
          <w:sz w:val="24"/>
          <w:szCs w:val="24"/>
        </w:rPr>
        <w:t>0,075 - если i-ая кредитная организация имеет национальный рейтинг кредитоспособности не ниже уровня «АА-»по классификации рейтингового агентства АКРА или не ниже уровня «ruАA-» по классификации рейтингового агентства Эксперт РА;</w:t>
      </w:r>
    </w:p>
    <w:p>
      <w:pPr>
        <w:pStyle w:val="Normal"/>
        <w:widowControl/>
        <w:tabs>
          <w:tab w:val="clear" w:pos="709"/>
          <w:tab w:val="left" w:pos="1425" w:leader="none"/>
        </w:tabs>
        <w:suppressAutoHyphens w:val="true"/>
        <w:bidi w:val="0"/>
        <w:spacing w:before="0" w:after="0"/>
        <w:ind w:left="0" w:right="0" w:firstLine="567"/>
        <w:jc w:val="left"/>
        <w:rPr>
          <w:sz w:val="24"/>
          <w:szCs w:val="24"/>
        </w:rPr>
      </w:pPr>
      <w:r>
        <w:rPr>
          <w:sz w:val="24"/>
          <w:szCs w:val="24"/>
        </w:rPr>
        <w:t>0,05 - если i-ая кредитная организация имеет национальный рейтинг кредитоспособности не ниже уровня «А-» по классификации рейтингового агентства АКРА или не ниже уровня «ruA-» по классификации рейтингового агентства Эксперт РА;</w:t>
      </w:r>
    </w:p>
    <w:p>
      <w:pPr>
        <w:pStyle w:val="Normal"/>
        <w:widowControl/>
        <w:tabs>
          <w:tab w:val="clear" w:pos="709"/>
          <w:tab w:val="left" w:pos="1425" w:leader="none"/>
        </w:tabs>
        <w:suppressAutoHyphens w:val="true"/>
        <w:bidi w:val="0"/>
        <w:spacing w:before="0" w:after="0"/>
        <w:ind w:left="0" w:right="0" w:firstLine="567"/>
        <w:jc w:val="left"/>
        <w:rPr>
          <w:sz w:val="24"/>
          <w:szCs w:val="24"/>
        </w:rPr>
      </w:pPr>
      <w:r>
        <w:rPr>
          <w:sz w:val="24"/>
          <w:szCs w:val="24"/>
        </w:rPr>
        <w:t>0,025 - если i-ая кредитная организация имеет национальный рейтинг кредитоспособности не ниже уровня «BBВ» по классификации рейтингового агентства АКРА или не ниже уровня «ruBBВ» по классификации рейтингового агентства Эксперт РА, а также находится в процессе финансового оздоровления (санации).</w:t>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529"/>
        <w:rPr>
          <w:sz w:val="22"/>
          <w:szCs w:val="22"/>
        </w:rPr>
      </w:pPr>
      <w:r>
        <w:rPr>
          <w:sz w:val="22"/>
          <w:szCs w:val="22"/>
        </w:rPr>
        <w:t>Приложение № 4</w:t>
      </w:r>
    </w:p>
    <w:p>
      <w:pPr>
        <w:pStyle w:val="Normal"/>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 xml:space="preserve">пожарной и промышленной безопасности, охраны окружающей среды, санитарно-эпидемиологических правил и норм. </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jc w:val="both"/>
        <w:rPr>
          <w:bCs/>
        </w:rPr>
      </w:pPr>
      <w:r>
        <w:rPr>
          <w:bCs/>
        </w:rPr>
      </w:r>
    </w:p>
    <w:p>
      <w:pPr>
        <w:pStyle w:val="ListParagraph"/>
        <w:widowControl/>
        <w:tabs>
          <w:tab w:val="clear" w:pos="709"/>
          <w:tab w:val="left" w:pos="5387" w:leader="none"/>
        </w:tabs>
        <w:ind w:left="5812" w:hanging="0"/>
        <w:rPr>
          <w:sz w:val="24"/>
          <w:szCs w:val="24"/>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567" w:top="1134" w:footer="314" w:bottom="851"/>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3">
    <w:p>
      <w:pPr>
        <w:pStyle w:val="FootnoteText"/>
        <w:jc w:val="both"/>
        <w:rPr/>
      </w:pPr>
      <w:r>
        <w:rPr>
          <w:rStyle w:val="Style14"/>
        </w:rPr>
        <w:footnoteRef/>
      </w:r>
      <w:r>
        <w:rPr/>
        <w:t xml:space="preserve"> </w:t>
      </w:r>
      <w: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4">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5">
    <w:p>
      <w:pPr>
        <w:pStyle w:val="FootnoteText"/>
        <w:jc w:val="both"/>
        <w:rPr/>
      </w:pPr>
      <w:r>
        <w:rPr>
          <w:rStyle w:val="Style14"/>
        </w:rPr>
        <w:footnoteRef/>
      </w:r>
      <w:r>
        <w:rPr/>
        <w:t xml:space="preserve"> </w:t>
      </w:r>
      <w:r>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6">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7">
    <w:p>
      <w:pPr>
        <w:pStyle w:val="FootnoteText"/>
        <w:jc w:val="both"/>
        <w:rPr/>
      </w:pPr>
      <w:r>
        <w:rPr>
          <w:rStyle w:val="Style14"/>
        </w:rPr>
        <w:footnoteRef/>
      </w:r>
      <w:r>
        <w:rPr/>
        <w:t xml:space="preserve"> </w:t>
      </w:r>
      <w:r>
        <w:rPr/>
        <w:t>Применяется в случае подписания собственноручно без использования усиленных квалифицированных электронных подписей (УКЭП).</w:t>
      </w:r>
    </w:p>
  </w:footnote>
  <w:footnote w:id="8">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9">
    <w:p>
      <w:pPr>
        <w:pStyle w:val="FootnoteText"/>
        <w:jc w:val="both"/>
        <w:rPr/>
      </w:pPr>
      <w:r>
        <w:rPr>
          <w:rStyle w:val="Style14"/>
        </w:rPr>
        <w:footnoteRef/>
      </w:r>
      <w:r>
        <w:rPr/>
        <w:t xml:space="preserve"> </w:t>
      </w:r>
      <w:r>
        <w:rPr/>
        <w:t xml:space="preserve">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Российской Федерации от 03.12.2020 </w:t>
        <w:br/>
        <w:t>№ 2013</w:t>
      </w:r>
      <w:r>
        <w:rPr>
          <w:rFonts w:eastAsia="Calibri" w:eastAsiaTheme="minorHAnsi"/>
          <w:lang w:eastAsia="en-US"/>
        </w:rPr>
        <w:t xml:space="preserve"> «О минимальной доле закупок товаров российского происхождения».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umentProtection w:edit="trackedChanges" w:enforcement="1"/>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1">
    <w:name w:val="line number1"/>
    <w:qFormat/>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
    <w:name w:val="Line Number"/>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rFonts w:cs="Arial Unicode MS"/>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customStyle="1">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5F24925-B1FB-4003-8370-749F929F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AlterOffice/3.4.0.9$Linux_X86_64 LibreOffice_project/b8daf9e823b1a5463a2f48435ddc2e8696e7d4fc</Application>
  <AppVersion>15.0000</AppVersion>
  <Pages>26</Pages>
  <Words>9060</Words>
  <Characters>65153</Characters>
  <CharactersWithSpaces>73986</CharactersWithSpaces>
  <Paragraphs>418</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2026-05-22T06:07:00Z</dcterms:created>
  <dc:creator>tsypilev_ag</dc:creator>
  <dc:description/>
  <dc:language>ru-RU</dc:language>
  <cp:lastModifiedBy>uhanovann@corp.gidroogk.com</cp:lastModifiedBy>
  <cp:lastPrinted>2018-05-22T09:46:00Z</cp:lastPrinted>
  <dcterms:modified xsi:type="dcterms:W3CDTF">2026-05-26T19:55:05Z</dcterms:modified>
  <cp:revision>7</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