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spacing w:before="240" w:after="60"/>
        <w:ind w:left="8441" w:hanging="0"/>
        <w:jc w:val="center"/>
        <w:rPr>
          <w:b/>
        </w:rPr>
      </w:pPr>
      <w:r>
        <w:rPr>
          <w:b/>
        </w:rPr>
      </w:r>
      <w:bookmarkStart w:id="0" w:name="_Ref61276850"/>
      <w:bookmarkStart w:id="1" w:name="_Ref61276850"/>
      <w:bookmarkEnd w:id="1"/>
    </w:p>
    <w:p>
      <w:pPr>
        <w:pStyle w:val="Normal"/>
        <w:jc w:val="center"/>
        <w:rPr>
          <w:b/>
        </w:rPr>
      </w:pPr>
      <w:r>
        <w:rPr>
          <w:b/>
        </w:rPr>
        <w:t>Обоснование расчета плановой цены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contextualSpacing/>
        <w:rPr>
          <w:rFonts w:ascii="Times New Roman" w:hAnsi="Times New Roman"/>
          <w:b/>
        </w:rPr>
      </w:pPr>
      <w:bookmarkStart w:id="2" w:name="_Toc81156839"/>
      <w:bookmarkStart w:id="3" w:name="_Toc83644552"/>
      <w:bookmarkEnd w:id="2"/>
      <w:bookmarkEnd w:id="3"/>
      <w:r>
        <w:rPr>
          <w:rFonts w:ascii="Times New Roman" w:hAnsi="Times New Roman"/>
          <w:b/>
        </w:rPr>
        <w:t>Общая информация</w:t>
      </w:r>
    </w:p>
    <w:tbl>
      <w:tblPr>
        <w:tblStyle w:val="af"/>
        <w:tblW w:w="9379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9"/>
        <w:gridCol w:w="3515"/>
        <w:gridCol w:w="5185"/>
      </w:tblGrid>
      <w:tr>
        <w:trPr/>
        <w:tc>
          <w:tcPr>
            <w:tcW w:w="67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>п/п</w:t>
            </w:r>
          </w:p>
        </w:tc>
        <w:tc>
          <w:tcPr>
            <w:tcW w:w="351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>Наименование</w:t>
            </w:r>
          </w:p>
        </w:tc>
        <w:tc>
          <w:tcPr>
            <w:tcW w:w="518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>Информация по лоту</w:t>
            </w:r>
          </w:p>
        </w:tc>
      </w:tr>
      <w:tr>
        <w:trPr/>
        <w:tc>
          <w:tcPr>
            <w:tcW w:w="67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351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Наименование лота</w:t>
            </w:r>
          </w:p>
        </w:tc>
        <w:tc>
          <w:tcPr>
            <w:tcW w:w="5185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i/>
                <w:iCs/>
                <w:kern w:val="0"/>
                <w:sz w:val="22"/>
                <w:szCs w:val="22"/>
                <w:lang w:val="ru-RU" w:bidi="ar-SA"/>
              </w:rPr>
              <w:t>«</w:t>
            </w:r>
            <w:r>
              <w:rPr>
                <w:i/>
                <w:iCs/>
                <w:kern w:val="0"/>
                <w:lang w:val="ru-RU" w:bidi="ar-SA"/>
              </w:rPr>
              <w:t>ОКПД2 28.99.39.190 Приобретение аппаратов аварийного всплытия (12 шт.) для нужд Филиала ПАО «РусГидро» – «Саратовская ГЭС» в рамках реализации инвестиционного проекта T-1300-00088»</w:t>
            </w:r>
          </w:p>
        </w:tc>
      </w:tr>
      <w:tr>
        <w:trPr/>
        <w:tc>
          <w:tcPr>
            <w:tcW w:w="67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351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Номер лота</w:t>
            </w:r>
          </w:p>
        </w:tc>
        <w:tc>
          <w:tcPr>
            <w:tcW w:w="5185" w:type="dxa"/>
            <w:tcBorders/>
            <w:shd w:color="auto" w:fill="FFFFFF" w:themeFill="background1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0"/>
                <w:lang w:val="en-US" w:bidi="ar-SA"/>
              </w:rPr>
              <w:t>1-ТПиР-ОНМ-2026-СарГЭС</w:t>
            </w:r>
          </w:p>
        </w:tc>
      </w:tr>
      <w:tr>
        <w:trPr/>
        <w:tc>
          <w:tcPr>
            <w:tcW w:w="67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351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Номер лота в инвестиционной программе и/или производственной программе</w:t>
            </w:r>
          </w:p>
        </w:tc>
        <w:tc>
          <w:tcPr>
            <w:tcW w:w="5185" w:type="dxa"/>
            <w:tcBorders/>
            <w:shd w:color="auto" w:fill="FFFFFF" w:themeFill="background1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kern w:val="0"/>
                <w:lang w:val="ru-RU" w:bidi="ar-SA"/>
              </w:rPr>
              <w:t xml:space="preserve">Протокол ЦЗК </w:t>
            </w:r>
            <w:r>
              <w:rPr>
                <w:rFonts w:ascii="Times New Roman" w:hAnsi="Times New Roman"/>
                <w:i/>
                <w:kern w:val="0"/>
                <w:lang w:val="en-US" w:bidi="ar-SA"/>
              </w:rPr>
              <w:t xml:space="preserve">№ </w:t>
            </w:r>
            <w:r>
              <w:rPr>
                <w:rFonts w:ascii="Times New Roman" w:hAnsi="Times New Roman"/>
                <w:i/>
                <w:iCs/>
                <w:kern w:val="0"/>
                <w:lang w:val="en-US" w:bidi="ar-SA"/>
              </w:rPr>
              <w:t>323 от 18.12.2025</w:t>
            </w:r>
          </w:p>
        </w:tc>
      </w:tr>
      <w:tr>
        <w:trPr/>
        <w:tc>
          <w:tcPr>
            <w:tcW w:w="67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351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Закупка по лоту планируется</w:t>
            </w:r>
          </w:p>
        </w:tc>
        <w:tc>
          <w:tcPr>
            <w:tcW w:w="5185" w:type="dxa"/>
            <w:tcBorders/>
            <w:shd w:color="auto" w:fill="FFFFFF" w:themeFill="background1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kern w:val="0"/>
                <w:lang w:val="ru-RU" w:bidi="ar-SA"/>
              </w:rPr>
              <w:t>Состязательный отбор</w:t>
            </w:r>
          </w:p>
        </w:tc>
      </w:tr>
      <w:tr>
        <w:trPr/>
        <w:tc>
          <w:tcPr>
            <w:tcW w:w="679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351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Расчет составил</w:t>
            </w:r>
          </w:p>
        </w:tc>
        <w:tc>
          <w:tcPr>
            <w:tcW w:w="5185" w:type="dxa"/>
            <w:tcBorders/>
            <w:shd w:color="auto" w:fill="FFFFFF" w:themeFill="background1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0"/>
                <w:lang w:val="ru-RU" w:bidi="ar-SA"/>
              </w:rPr>
              <w:t>инженер, СПСРТПиР, Филиал ПАО «РусГидро»-«Саратовская ГЭС»</w:t>
            </w:r>
          </w:p>
        </w:tc>
      </w:tr>
    </w:tbl>
    <w:p>
      <w:pPr>
        <w:pStyle w:val="ListParagraph"/>
        <w:numPr>
          <w:ilvl w:val="0"/>
          <w:numId w:val="2"/>
        </w:numPr>
        <w:spacing w:lineRule="auto" w:line="240" w:before="0" w:after="1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Примененный метод (методы) расчета ПЦ</w:t>
      </w:r>
    </w:p>
    <w:tbl>
      <w:tblPr>
        <w:tblStyle w:val="af"/>
        <w:tblW w:w="9952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3"/>
        <w:gridCol w:w="2864"/>
        <w:gridCol w:w="6385"/>
      </w:tblGrid>
      <w:tr>
        <w:trPr/>
        <w:tc>
          <w:tcPr>
            <w:tcW w:w="703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>п/п</w:t>
            </w:r>
          </w:p>
        </w:tc>
        <w:tc>
          <w:tcPr>
            <w:tcW w:w="9249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>Информация по лоту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92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lang w:val="ru-RU" w:bidi="ar-SA"/>
              </w:rPr>
            </w:pPr>
            <w:r>
              <w:rPr>
                <w:b/>
                <w:kern w:val="0"/>
                <w:sz w:val="22"/>
                <w:lang w:val="ru-RU" w:bidi="ar-SA"/>
              </w:rPr>
              <w:t xml:space="preserve">Частная категория № 1: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i/>
                <w:i/>
              </w:rPr>
            </w:pPr>
            <w:r>
              <w:rPr>
                <w:i/>
                <w:kern w:val="0"/>
                <w:lang w:val="ru-RU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2864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Основной метод расчета ПЦ по лоту</w:t>
            </w:r>
          </w:p>
        </w:tc>
        <w:tc>
          <w:tcPr>
            <w:tcW w:w="638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  <w:lang w:val="en-US"/>
              </w:rPr>
            </w:pPr>
            <w:r>
              <w:rPr>
                <w:rFonts w:ascii="Times New Roman" w:hAnsi="Times New Roman"/>
                <w:i/>
                <w:kern w:val="0"/>
                <w:lang w:val="en-US" w:bidi="ar-SA"/>
              </w:rPr>
              <w:t>Метод анализа ТКП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2864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Проверочный метод расчета ПЦ по лоту</w:t>
            </w:r>
          </w:p>
        </w:tc>
        <w:tc>
          <w:tcPr>
            <w:tcW w:w="638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0"/>
                <w:lang w:val="ru-RU" w:bidi="ar-SA"/>
              </w:rPr>
              <w:t>не применялся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2864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Дополнительный метод расчета ПЦ по лоту</w:t>
            </w:r>
          </w:p>
        </w:tc>
        <w:tc>
          <w:tcPr>
            <w:tcW w:w="638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0"/>
                <w:lang w:val="ru-RU" w:bidi="ar-SA"/>
              </w:rPr>
              <w:t>не применялся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2864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Дата расчета (актуализации) расчета ПЦ</w:t>
            </w:r>
          </w:p>
        </w:tc>
        <w:tc>
          <w:tcPr>
            <w:tcW w:w="638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lang w:val="en-US"/>
              </w:rPr>
            </w:pPr>
            <w:r>
              <w:rPr>
                <w:rFonts w:ascii="Times New Roman" w:hAnsi="Times New Roman"/>
                <w:i/>
                <w:kern w:val="0"/>
                <w:lang w:val="ru-RU" w:bidi="ar-SA"/>
              </w:rPr>
              <w:t>2</w:t>
            </w:r>
            <w:r>
              <w:rPr>
                <w:rFonts w:ascii="Times New Roman" w:hAnsi="Times New Roman"/>
                <w:i/>
                <w:kern w:val="0"/>
                <w:lang w:val="en-US" w:bidi="ar-SA"/>
              </w:rPr>
              <w:t>5</w:t>
            </w:r>
            <w:r>
              <w:rPr>
                <w:rFonts w:ascii="Times New Roman" w:hAnsi="Times New Roman"/>
                <w:i/>
                <w:kern w:val="0"/>
                <w:lang w:val="ru-RU" w:bidi="ar-SA"/>
              </w:rPr>
              <w:t>.12.202</w:t>
            </w:r>
            <w:r>
              <w:rPr>
                <w:rFonts w:ascii="Times New Roman" w:hAnsi="Times New Roman"/>
                <w:i/>
                <w:kern w:val="0"/>
                <w:lang w:val="en-US" w:bidi="ar-SA"/>
              </w:rPr>
              <w:t>5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Свод ценовой информации по результатам расчета ПЦ</w:t>
      </w:r>
    </w:p>
    <w:tbl>
      <w:tblPr>
        <w:tblStyle w:val="af"/>
        <w:tblW w:w="9379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81"/>
        <w:gridCol w:w="2776"/>
        <w:gridCol w:w="5922"/>
      </w:tblGrid>
      <w:tr>
        <w:trPr/>
        <w:tc>
          <w:tcPr>
            <w:tcW w:w="6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>п/п</w:t>
            </w:r>
          </w:p>
        </w:tc>
        <w:tc>
          <w:tcPr>
            <w:tcW w:w="2776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>Наименование</w:t>
            </w:r>
          </w:p>
        </w:tc>
        <w:tc>
          <w:tcPr>
            <w:tcW w:w="592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ru-RU" w:bidi="ar-SA"/>
              </w:rPr>
              <w:t>Информация по лоту</w:t>
            </w:r>
          </w:p>
        </w:tc>
      </w:tr>
      <w:tr>
        <w:trPr>
          <w:trHeight w:val="1062" w:hRule="atLeast"/>
        </w:trPr>
        <w:tc>
          <w:tcPr>
            <w:tcW w:w="681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2776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ПЦ, полученная основным способом</w:t>
            </w:r>
          </w:p>
        </w:tc>
        <w:tc>
          <w:tcPr>
            <w:tcW w:w="592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iCs/>
                <w:kern w:val="0"/>
                <w:lang w:val="ru-RU" w:bidi="ar-SA"/>
              </w:rPr>
              <w:t>2 815 338,49</w:t>
            </w:r>
            <w:r>
              <w:rPr>
                <w:rFonts w:ascii="Times New Roman" w:hAnsi="Times New Roman"/>
                <w:i/>
                <w:iCs/>
                <w:kern w:val="0"/>
                <w:lang w:val="en-US" w:bidi="ar-SA"/>
              </w:rPr>
              <w:t xml:space="preserve"> </w:t>
            </w:r>
            <w:r>
              <w:rPr>
                <w:rFonts w:ascii="Times New Roman" w:hAnsi="Times New Roman"/>
                <w:i/>
                <w:kern w:val="0"/>
                <w:lang w:val="ru-RU" w:bidi="ar-SA"/>
              </w:rPr>
              <w:t>руб. без НДС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2776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ПЦ, полученная проверочным способом</w:t>
            </w:r>
          </w:p>
        </w:tc>
        <w:tc>
          <w:tcPr>
            <w:tcW w:w="592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0"/>
                <w:lang w:val="ru-RU" w:bidi="ar-SA"/>
              </w:rPr>
              <w:t>не применялся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2776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ПЦ, полученная дополнительным способом</w:t>
            </w:r>
          </w:p>
        </w:tc>
        <w:tc>
          <w:tcPr>
            <w:tcW w:w="592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0"/>
                <w:lang w:val="ru-RU" w:bidi="ar-SA"/>
              </w:rPr>
              <w:t>не применялся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2776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Итоговая ПЦ</w:t>
            </w:r>
          </w:p>
        </w:tc>
        <w:tc>
          <w:tcPr>
            <w:tcW w:w="592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i/>
                <w:i/>
                <w:lang w:val="en-US"/>
              </w:rPr>
            </w:pPr>
            <w:r>
              <w:rPr>
                <w:rFonts w:ascii="Times New Roman" w:hAnsi="Times New Roman"/>
                <w:i/>
                <w:iCs/>
                <w:kern w:val="0"/>
                <w:lang w:val="ru-RU" w:bidi="ar-SA"/>
              </w:rPr>
              <w:t xml:space="preserve">2 815 338,49 </w:t>
            </w:r>
            <w:r>
              <w:rPr>
                <w:rFonts w:ascii="Times New Roman" w:hAnsi="Times New Roman"/>
                <w:i/>
                <w:kern w:val="0"/>
                <w:lang w:val="en-US" w:bidi="ar-SA"/>
              </w:rPr>
              <w:t>руб. без НДС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Приложения: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rPr/>
      </w:pPr>
      <w:r>
        <w:rPr>
          <w:rFonts w:ascii="Times New Roman" w:hAnsi="Times New Roman"/>
        </w:rPr>
        <w:t xml:space="preserve">Общий расчет ПЦ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ab/>
        <w:tab/>
        <w:t>Приложение 1:</w:t>
      </w:r>
    </w:p>
    <w:p>
      <w:pPr>
        <w:pStyle w:val="Normal"/>
        <w:spacing w:before="0" w:after="120"/>
        <w:ind w:left="360" w:hanging="0"/>
        <w:jc w:val="center"/>
        <w:rPr>
          <w:sz w:val="28"/>
          <w:szCs w:val="28"/>
        </w:rPr>
      </w:pPr>
      <w:r>
        <w:rPr>
          <w:sz w:val="28"/>
          <w:szCs w:val="28"/>
        </w:rPr>
        <w:t>Общий расчет ПЦ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240" w:before="0" w:after="1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Общая информация</w:t>
      </w:r>
    </w:p>
    <w:tbl>
      <w:tblPr>
        <w:tblStyle w:val="af"/>
        <w:tblW w:w="9379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81"/>
        <w:gridCol w:w="3503"/>
        <w:gridCol w:w="5195"/>
      </w:tblGrid>
      <w:tr>
        <w:trPr/>
        <w:tc>
          <w:tcPr>
            <w:tcW w:w="681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18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kern w:val="0"/>
                <w:sz w:val="20"/>
                <w:szCs w:val="18"/>
                <w:lang w:val="ru-RU" w:bidi="ar-SA"/>
              </w:rPr>
              <w:t>п/п</w:t>
            </w:r>
          </w:p>
        </w:tc>
        <w:tc>
          <w:tcPr>
            <w:tcW w:w="350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18"/>
                <w:lang w:val="ru-RU" w:bidi="ar-SA"/>
              </w:rPr>
              <w:t>Наименование</w:t>
            </w:r>
          </w:p>
        </w:tc>
        <w:tc>
          <w:tcPr>
            <w:tcW w:w="519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left="0" w:hanging="0"/>
              <w:contextualSpacing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18"/>
                <w:lang w:val="ru-RU" w:bidi="ar-SA"/>
              </w:rPr>
              <w:t>Информация по лоту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ListParagraph"/>
              <w:widowControl/>
              <w:numPr>
                <w:ilvl w:val="1"/>
                <w:numId w:val="4"/>
              </w:numPr>
              <w:suppressAutoHyphens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350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24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Наименование лота</w:t>
            </w:r>
          </w:p>
        </w:tc>
        <w:tc>
          <w:tcPr>
            <w:tcW w:w="5195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i/>
                <w:iCs/>
                <w:kern w:val="0"/>
                <w:sz w:val="22"/>
                <w:szCs w:val="22"/>
                <w:lang w:val="ru-RU" w:bidi="ar-SA"/>
              </w:rPr>
              <w:t>«ОКПД2 28.99.39.190 Приобретение аппаратов аварийного всплытия (12 шт.) для нужд Филиала ПАО «РусГидро» – «Саратовская ГЭС» в рамках реализации инвестиционного проекта T-1300-00088»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ListParagraph"/>
              <w:widowControl/>
              <w:numPr>
                <w:ilvl w:val="1"/>
                <w:numId w:val="4"/>
              </w:numPr>
              <w:suppressAutoHyphens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350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24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Номер лота</w:t>
            </w:r>
          </w:p>
        </w:tc>
        <w:tc>
          <w:tcPr>
            <w:tcW w:w="5195" w:type="dxa"/>
            <w:tcBorders/>
            <w:shd w:color="auto" w:fill="FFFFFF" w:themeFill="background1" w:val="clear"/>
          </w:tcPr>
          <w:p>
            <w:pPr>
              <w:pStyle w:val="ListParagraph"/>
              <w:widowControl w:val="false"/>
              <w:suppressAutoHyphens w:val="true"/>
              <w:spacing w:before="0" w:after="240"/>
              <w:ind w:left="0" w:hanging="0"/>
              <w:contextualSpacing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0"/>
                <w:lang w:val="en-US" w:bidi="ar-SA"/>
              </w:rPr>
              <w:t>1-ТПиР-ОНМ-2026-СарГЭС</w:t>
            </w:r>
          </w:p>
        </w:tc>
      </w:tr>
      <w:tr>
        <w:trPr/>
        <w:tc>
          <w:tcPr>
            <w:tcW w:w="681" w:type="dxa"/>
            <w:tcBorders/>
          </w:tcPr>
          <w:p>
            <w:pPr>
              <w:pStyle w:val="ListParagraph"/>
              <w:widowControl/>
              <w:numPr>
                <w:ilvl w:val="1"/>
                <w:numId w:val="4"/>
              </w:numPr>
              <w:suppressAutoHyphens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</w:r>
          </w:p>
        </w:tc>
        <w:tc>
          <w:tcPr>
            <w:tcW w:w="3503" w:type="dxa"/>
            <w:tcBorders/>
          </w:tcPr>
          <w:p>
            <w:pPr>
              <w:pStyle w:val="ListParagraph"/>
              <w:widowControl/>
              <w:suppressAutoHyphens w:val="true"/>
              <w:spacing w:before="0" w:after="24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Н</w:t>
            </w:r>
            <w:r>
              <w:rPr>
                <w:rFonts w:ascii="Times New Roman" w:hAnsi="Times New Roman"/>
                <w:kern w:val="0"/>
                <w:lang w:val="en-US" w:bidi="ar-SA"/>
              </w:rPr>
              <w:t>МЦ лота</w:t>
            </w:r>
          </w:p>
        </w:tc>
        <w:tc>
          <w:tcPr>
            <w:tcW w:w="5195" w:type="dxa"/>
            <w:tcBorders/>
          </w:tcPr>
          <w:p>
            <w:pPr>
              <w:pStyle w:val="ListParagraph"/>
              <w:widowControl/>
              <w:suppressAutoHyphens w:val="true"/>
              <w:spacing w:before="0" w:after="240"/>
              <w:ind w:left="0" w:hanging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kern w:val="0"/>
                <w:lang w:val="ru-RU" w:bidi="ar-SA"/>
              </w:rPr>
              <w:t>2 815 338,49</w:t>
            </w:r>
            <w:r>
              <w:rPr>
                <w:rFonts w:ascii="Times New Roman" w:hAnsi="Times New Roman"/>
                <w:i/>
                <w:iCs/>
                <w:kern w:val="0"/>
                <w:lang w:val="en-US" w:bidi="ar-SA"/>
              </w:rPr>
              <w:t xml:space="preserve"> </w:t>
            </w:r>
            <w:r>
              <w:rPr>
                <w:rFonts w:ascii="Times New Roman" w:hAnsi="Times New Roman"/>
                <w:i/>
                <w:kern w:val="0"/>
                <w:lang w:val="ru-RU" w:bidi="ar-SA"/>
              </w:rPr>
              <w:t>руб.</w:t>
            </w:r>
            <w:r>
              <w:rPr>
                <w:rFonts w:ascii="Times New Roman" w:hAnsi="Times New Roman"/>
                <w:i/>
                <w:kern w:val="0"/>
                <w:lang w:val="en-US" w:bidi="ar-SA"/>
              </w:rPr>
              <w:t xml:space="preserve"> </w:t>
            </w:r>
            <w:r>
              <w:rPr>
                <w:rFonts w:ascii="Times New Roman" w:hAnsi="Times New Roman"/>
                <w:i/>
                <w:kern w:val="0"/>
                <w:lang w:val="ru-RU" w:bidi="ar-SA"/>
              </w:rPr>
              <w:t>без НДС</w:t>
            </w:r>
          </w:p>
        </w:tc>
      </w:tr>
    </w:tbl>
    <w:p>
      <w:pPr>
        <w:pStyle w:val="ListParagraph"/>
        <w:spacing w:lineRule="auto" w:line="240" w:before="0" w:after="1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ListParagraph"/>
        <w:numPr>
          <w:ilvl w:val="0"/>
          <w:numId w:val="4"/>
        </w:numPr>
        <w:suppressAutoHyphens w:val="false"/>
        <w:spacing w:lineRule="auto" w:line="240" w:before="0" w:after="120"/>
        <w:ind w:left="426" w:hanging="426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Использованный метод (методы) расчета НМЦ </w:t>
      </w:r>
      <w:r>
        <w:rPr>
          <w:rFonts w:eastAsia="Calibri" w:ascii="Times New Roman" w:hAnsi="Times New Roman"/>
          <w:b/>
        </w:rPr>
        <w:t>/ цены единицы товара, работы, услуги:</w:t>
      </w:r>
    </w:p>
    <w:p>
      <w:pPr>
        <w:pStyle w:val="ListParagraph"/>
        <w:spacing w:lineRule="auto" w:line="240" w:before="0" w:after="120"/>
        <w:ind w:left="426" w:hanging="426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Метод анализа ТКП</w:t>
      </w:r>
    </w:p>
    <w:p>
      <w:pPr>
        <w:pStyle w:val="ListParagraph"/>
        <w:spacing w:lineRule="auto" w:line="240" w:before="0" w:after="120"/>
        <w:ind w:left="426" w:hanging="426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Обоснование расчета НМЦ:</w:t>
      </w:r>
    </w:p>
    <w:p>
      <w:pPr>
        <w:pStyle w:val="ListParagraph"/>
        <w:spacing w:lineRule="auto" w:line="240" w:before="0" w:after="120"/>
        <w:ind w:left="0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0349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11"/>
        <w:gridCol w:w="1984"/>
        <w:gridCol w:w="1985"/>
        <w:gridCol w:w="2268"/>
        <w:gridCol w:w="1701"/>
      </w:tblGrid>
      <w:tr>
        <w:trPr>
          <w:trHeight w:val="70" w:hRule="atLeast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Наименование товара/ работы/ услуги в составе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Наименование источника ценовой информации (ИЦИ)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Цена</w:t>
            </w:r>
            <w:r>
              <w:rPr>
                <w:rStyle w:val="FootnoteReference"/>
              </w:rPr>
              <w:footnoteReference w:id="2"/>
            </w:r>
            <w:r>
              <w:rPr>
                <w:b/>
                <w:bCs/>
                <w:color w:val="000000"/>
                <w:sz w:val="20"/>
              </w:rPr>
              <w:t xml:space="preserve"> с учетом полученной информации из соответствующего ИЦИ, в руб. без НДС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Цена итоговая, в руб. без НДС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Комментарии</w:t>
            </w:r>
          </w:p>
        </w:tc>
      </w:tr>
      <w:tr>
        <w:trPr>
          <w:trHeight w:val="513" w:hRule="atLeast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Лот 1-ТПиР-ОНМ-2026-СарГЭС </w:t>
            </w:r>
          </w:p>
          <w:p>
            <w:pPr>
              <w:pStyle w:val="Normal"/>
              <w:widowControl w:val="false"/>
              <w:spacing w:before="60" w:after="60"/>
              <w:rPr>
                <w:i/>
                <w:i/>
                <w:sz w:val="20"/>
                <w:shd w:fill="FFFF99" w:val="clear"/>
              </w:rPr>
            </w:pPr>
            <w:r>
              <w:rPr>
                <w:i/>
                <w:iCs/>
                <w:sz w:val="22"/>
                <w:szCs w:val="22"/>
              </w:rPr>
              <w:t>«</w:t>
            </w:r>
            <w:r>
              <w:rPr>
                <w:i/>
                <w:iCs/>
              </w:rPr>
              <w:t>ОКПД2 28.99.39.190 Приобретение аппаратов аварийного всплытия (12 шт.) для нужд Филиала ПАО «РусГидро» – «Саратовская ГЭС» в рамках реализации инвестиционного проекта T-1300-00088»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i/>
                <w:i/>
                <w:lang w:val="en-US"/>
              </w:rPr>
            </w:pPr>
            <w:r>
              <w:rPr>
                <w:i/>
                <w:lang w:val="en-US"/>
              </w:rPr>
              <w:t>2 551 200,00</w:t>
            </w:r>
          </w:p>
          <w:p>
            <w:pPr>
              <w:pStyle w:val="Normal"/>
              <w:widowControl w:val="false"/>
              <w:spacing w:before="60" w:after="60"/>
              <w:jc w:val="center"/>
              <w:rPr>
                <w:i/>
                <w:i/>
                <w:highlight w:val="yellow"/>
              </w:rPr>
            </w:pPr>
            <w:r>
              <w:rPr>
                <w:i/>
                <w:highlight w:val="yellow"/>
              </w:rPr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i/>
                <w:i/>
                <w:lang w:val="en-US"/>
              </w:rPr>
            </w:pPr>
            <w:r>
              <w:rPr>
                <w:i/>
                <w:lang w:val="en-US"/>
              </w:rPr>
              <w:t>=2 551 200,00*1,103534999=2 815 338,49</w:t>
            </w:r>
          </w:p>
          <w:p>
            <w:pPr>
              <w:pStyle w:val="Normal"/>
              <w:widowControl w:val="false"/>
              <w:spacing w:before="60" w:after="60"/>
              <w:rPr>
                <w:i/>
                <w:i/>
                <w:sz w:val="20"/>
                <w:shd w:fill="FFFF99" w:val="clear"/>
              </w:rPr>
            </w:pPr>
            <w:r>
              <w:rPr>
                <w:i/>
                <w:sz w:val="20"/>
                <w:shd w:fill="FFFF99" w:val="clear"/>
              </w:rPr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сформирована по  минимальному ТКП с учётом коэффициен</w:t>
            </w:r>
            <w:bookmarkStart w:id="4" w:name="_GoBack"/>
            <w:bookmarkEnd w:id="4"/>
            <w:r>
              <w:rPr>
                <w:sz w:val="22"/>
                <w:szCs w:val="22"/>
              </w:rPr>
              <w:t xml:space="preserve">та </w:t>
            </w:r>
          </w:p>
        </w:tc>
      </w:tr>
      <w:tr>
        <w:trPr>
          <w:trHeight w:val="549" w:hRule="atLeast"/>
        </w:trPr>
        <w:tc>
          <w:tcPr>
            <w:tcW w:w="241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ТКП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i/>
                <w:i/>
                <w:highlight w:val="yellow"/>
                <w:lang w:val="en-US"/>
              </w:rPr>
            </w:pPr>
            <w:r>
              <w:rPr>
                <w:i/>
              </w:rPr>
              <w:t>2 760 000,00</w:t>
            </w:r>
          </w:p>
        </w:tc>
        <w:tc>
          <w:tcPr>
            <w:tcW w:w="226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</w:r>
          </w:p>
        </w:tc>
        <w:tc>
          <w:tcPr>
            <w:tcW w:w="1701" w:type="dxa"/>
            <w:vMerge w:val="continue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</w:r>
          </w:p>
        </w:tc>
      </w:tr>
      <w:tr>
        <w:trPr>
          <w:trHeight w:val="1524" w:hRule="atLeast"/>
        </w:trPr>
        <w:tc>
          <w:tcPr>
            <w:tcW w:w="24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i/>
                <w:i/>
                <w:lang w:val="en-US"/>
              </w:rPr>
            </w:pPr>
            <w:r>
              <w:rPr>
                <w:i/>
              </w:rPr>
              <w:t>2 678 400,00</w:t>
            </w:r>
          </w:p>
        </w:tc>
        <w:tc>
          <w:tcPr>
            <w:tcW w:w="22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</w:r>
          </w:p>
        </w:tc>
        <w:tc>
          <w:tcPr>
            <w:tcW w:w="1701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</w:r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rPr/>
      </w:pPr>
      <w:r>
        <w:rPr>
          <w:rStyle w:val="Style11"/>
        </w:rPr>
        <w:footnoteRef/>
      </w:r>
      <w:r>
        <w:rPr/>
        <w:t xml:space="preserve"> </w:t>
      </w:r>
      <w:r>
        <w:rPr/>
        <w:t>С учетом количества поставляемой продукции в соответствии с Техническими требованиями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00fd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00fd3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сноски Знак"/>
    <w:basedOn w:val="DefaultParagraphFont"/>
    <w:uiPriority w:val="99"/>
    <w:qFormat/>
    <w:rsid w:val="00300fd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otnoteReference" w:customStyle="1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qFormat/>
    <w:rsid w:val="00300fd3"/>
    <w:rPr>
      <w:vertAlign w:val="superscript"/>
    </w:rPr>
  </w:style>
  <w:style w:type="character" w:styleId="Style9" w:customStyle="1">
    <w:name w:val="Абзац списка Знак"/>
    <w:basedOn w:val="DefaultParagraphFont"/>
    <w:link w:val="ListParagraph"/>
    <w:uiPriority w:val="34"/>
    <w:qFormat/>
    <w:rsid w:val="00300fd3"/>
    <w:rPr>
      <w:rFonts w:ascii="Calibri" w:hAnsi="Calibri" w:eastAsia="Times New Roman" w:cs="Times New Roman"/>
      <w:szCs w:val="24"/>
      <w:lang w:eastAsia="ru-RU"/>
    </w:rPr>
  </w:style>
  <w:style w:type="character" w:styleId="Style10" w:customStyle="1">
    <w:name w:val="РГ_приложение Знак"/>
    <w:basedOn w:val="DefaultParagraphFont"/>
    <w:link w:val="Style16"/>
    <w:qFormat/>
    <w:rsid w:val="00300fd3"/>
    <w:rPr>
      <w:rFonts w:eastAsia="Times New Roman" w:cs="Calibri" w:cstheme="minorHAnsi"/>
      <w:caps/>
      <w:sz w:val="24"/>
      <w:szCs w:val="28"/>
      <w:lang w:eastAsia="ru-RU"/>
    </w:rPr>
  </w:style>
  <w:style w:type="character" w:styleId="2" w:customStyle="1">
    <w:name w:val="Заголовок 2 Знак"/>
    <w:basedOn w:val="DefaultParagraphFont"/>
    <w:uiPriority w:val="9"/>
    <w:semiHidden/>
    <w:qFormat/>
    <w:rsid w:val="00300fd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ru-RU"/>
    </w:rPr>
  </w:style>
  <w:style w:type="character" w:styleId="Style11" w:customStyle="1">
    <w:name w:val="Символ сноски"/>
    <w:qFormat/>
    <w:rsid w:val="001f2bfb"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5d358f"/>
    <w:rPr>
      <w:rFonts w:ascii="Segoe UI" w:hAnsi="Segoe UI" w:eastAsia="Times New Roman" w:cs="Segoe UI"/>
      <w:sz w:val="18"/>
      <w:szCs w:val="18"/>
      <w:lang w:eastAsia="ru-RU"/>
    </w:rPr>
  </w:style>
  <w:style w:type="character" w:styleId="EndnoteReference">
    <w:name w:val="Endnote Reference"/>
    <w:rPr>
      <w:vertAlign w:val="superscript"/>
    </w:rPr>
  </w:style>
  <w:style w:type="character" w:styleId="Style13">
    <w:name w:val="Символ концевой сноски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8"/>
    <w:uiPriority w:val="99"/>
    <w:qFormat/>
    <w:rsid w:val="00300fd3"/>
    <w:pPr/>
    <w:rPr>
      <w:sz w:val="20"/>
      <w:szCs w:val="20"/>
    </w:rPr>
  </w:style>
  <w:style w:type="paragraph" w:styleId="ListParagraph">
    <w:name w:val="List Paragraph"/>
    <w:basedOn w:val="Normal"/>
    <w:link w:val="Style9"/>
    <w:uiPriority w:val="34"/>
    <w:qFormat/>
    <w:rsid w:val="00300fd3"/>
    <w:pPr>
      <w:spacing w:lineRule="auto" w:line="276" w:before="0" w:after="200"/>
      <w:ind w:left="720" w:hanging="0"/>
      <w:contextualSpacing/>
      <w:jc w:val="left"/>
    </w:pPr>
    <w:rPr>
      <w:rFonts w:ascii="Calibri" w:hAnsi="Calibri"/>
      <w:sz w:val="22"/>
    </w:rPr>
  </w:style>
  <w:style w:type="paragraph" w:styleId="Style16" w:customStyle="1">
    <w:name w:val="РГ_приложение"/>
    <w:basedOn w:val="Heading2"/>
    <w:link w:val="Style10"/>
    <w:qFormat/>
    <w:rsid w:val="00300fd3"/>
    <w:pPr>
      <w:keepLines w:val="false"/>
      <w:spacing w:before="240" w:after="60"/>
      <w:jc w:val="right"/>
    </w:pPr>
    <w:rPr>
      <w:rFonts w:ascii="Calibri" w:hAnsi="Calibri" w:eastAsia="Times New Roman" w:cs="Calibri" w:asciiTheme="minorHAnsi" w:cstheme="minorHAnsi" w:hAnsiTheme="minorHAnsi"/>
      <w:caps/>
      <w:color w:val="auto"/>
      <w:sz w:val="24"/>
      <w:szCs w:val="28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5d358f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300fd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AlterOffice/3.4.0.9$Linux_X86_64 LibreOffice_project/b8daf9e823b1a5463a2f48435ddc2e8696e7d4fc</Application>
  <AppVersion>15.0000</AppVersion>
  <Pages>2</Pages>
  <Words>337</Words>
  <Characters>2070</Characters>
  <CharactersWithSpaces>2332</CharactersWithSpaces>
  <Paragraphs>89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2026-03-23T11:14:00Z</dcterms:created>
  <dc:creator>Андреюшкина Наталья Сергеевна</dc:creator>
  <dc:description/>
  <dc:language>ru-RU</dc:language>
  <cp:lastModifiedBy>demchenkoms@corp.gidroogk.com</cp:lastModifiedBy>
  <dcterms:modified xsi:type="dcterms:W3CDTF">2026-05-29T14:23:23Z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