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footer15.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mbeddings/oleObject2.docx" ContentType="application/vnd.openxmlformats-officedocument.wordprocessingml.document"/>
  <Override PartName="/word/embeddings/oleObject1.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media/image2.wmf" ContentType="image/x-wmf"/>
  <Override PartName="/word/media/image1.wmf" ContentType="image/x-wmf"/>
  <Override PartName="/word/media/image4.wmf" ContentType="image/x-wmf"/>
  <Override PartName="/word/media/image3.wmf" ContentType="image/x-wmf"/>
  <Override PartName="/word/header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keepNext w:val="true"/>
        <w:spacing w:before="120" w:after="0"/>
        <w:ind w:hanging="0"/>
        <w:rPr/>
      </w:pPr>
      <w:r>
        <w:rPr/>
        <w:tab/>
        <w:tab/>
        <w:tab/>
        <w:tab/>
        <w:tab/>
        <w:tab/>
        <w:t xml:space="preserve">    </w:t>
      </w:r>
      <w:r>
        <w:rPr>
          <w:sz w:val="24"/>
          <w:szCs w:val="24"/>
        </w:rPr>
        <w:t>«УТВЕРЖДАЮ»</w:t>
      </w:r>
    </w:p>
    <w:p>
      <w:pPr>
        <w:pStyle w:val="Style30"/>
        <w:keepNext w:val="true"/>
        <w:ind w:left="4536" w:hanging="0"/>
        <w:rPr>
          <w:sz w:val="24"/>
          <w:szCs w:val="24"/>
        </w:rPr>
      </w:pPr>
      <w:r>
        <w:rPr>
          <w:sz w:val="24"/>
          <w:szCs w:val="24"/>
        </w:rPr>
        <w:t xml:space="preserve">Заместитель </w:t>
      </w:r>
      <w:r>
        <w:rPr>
          <w:sz w:val="24"/>
          <w:szCs w:val="24"/>
        </w:rPr>
        <w:t>Председател</w:t>
      </w:r>
      <w:r>
        <w:rPr>
          <w:sz w:val="24"/>
          <w:szCs w:val="24"/>
        </w:rPr>
        <w:t>я</w:t>
      </w:r>
      <w:r>
        <w:rPr>
          <w:sz w:val="24"/>
          <w:szCs w:val="24"/>
        </w:rPr>
        <w:t xml:space="preserve"> закупочной комиссии</w:t>
      </w:r>
    </w:p>
    <w:p>
      <w:pPr>
        <w:pStyle w:val="Style30"/>
        <w:keepNext w:val="true"/>
        <w:ind w:left="4536" w:hanging="0"/>
        <w:rPr/>
      </w:pPr>
      <w:r>
        <w:rPr/>
        <w:t>___________________</w:t>
      </w:r>
      <w:r>
        <w:rPr>
          <w:rFonts w:eastAsia="Calibri" w:cs="" w:cstheme="minorBidi" w:eastAsiaTheme="minorHAnsi"/>
          <w:color w:val="000000"/>
          <w:kern w:val="0"/>
          <w:sz w:val="26"/>
          <w:szCs w:val="22"/>
          <w:shd w:fill="auto" w:val="clear"/>
          <w:lang w:val="ru-RU" w:eastAsia="en-US" w:bidi="ar-SA"/>
        </w:rPr>
        <w:t xml:space="preserve"> </w:t>
      </w:r>
      <w:r>
        <w:rPr>
          <w:rFonts w:eastAsia="Calibri" w:cs="" w:cstheme="minorBidi" w:eastAsiaTheme="minorHAnsi"/>
          <w:color w:val="000000"/>
          <w:kern w:val="0"/>
          <w:sz w:val="26"/>
          <w:szCs w:val="22"/>
          <w:shd w:fill="auto" w:val="clear"/>
          <w:lang w:val="ru-RU" w:eastAsia="en-US" w:bidi="ar-SA"/>
        </w:rPr>
        <w:t>Третьяков К.В</w:t>
      </w:r>
      <w:r>
        <w:rPr>
          <w:rStyle w:val="Style11"/>
          <w:rFonts w:eastAsia="Calibri" w:cs="" w:cstheme="minorBidi" w:eastAsiaTheme="minorHAnsi"/>
          <w:color w:val="000000"/>
          <w:kern w:val="0"/>
          <w:sz w:val="26"/>
          <w:szCs w:val="22"/>
          <w:shd w:fill="auto" w:val="clear"/>
          <w:lang w:val="ru-RU" w:eastAsia="en-US" w:bidi="ar-SA"/>
        </w:rPr>
        <w:t>.</w:t>
      </w:r>
    </w:p>
    <w:p>
      <w:pPr>
        <w:pStyle w:val="Style30"/>
        <w:keepNext w:val="true"/>
        <w:ind w:left="4536" w:hanging="0"/>
        <w:rPr/>
      </w:pPr>
      <w:r>
        <w:rPr/>
        <w:t>«____» ___________________ 2026 год</w:t>
      </w:r>
    </w:p>
    <w:p>
      <w:pPr>
        <w:pStyle w:val="Style30"/>
        <w:rPr/>
      </w:pPr>
      <w:r>
        <w:rPr/>
      </w:r>
    </w:p>
    <w:p>
      <w:pPr>
        <w:pStyle w:val="Style30"/>
        <w:rPr/>
      </w:pPr>
      <w:r>
        <w:rPr/>
      </w:r>
    </w:p>
    <w:p>
      <w:pPr>
        <w:pStyle w:val="Style30"/>
        <w:rPr/>
      </w:pPr>
      <w:r>
        <w:rPr/>
      </w:r>
    </w:p>
    <w:p>
      <w:pPr>
        <w:pStyle w:val="Style30"/>
        <w:rPr/>
      </w:pPr>
      <w:r>
        <w:rPr/>
      </w:r>
    </w:p>
    <w:p>
      <w:pPr>
        <w:pStyle w:val="Style30"/>
        <w:rPr/>
      </w:pPr>
      <w:r>
        <w:rPr/>
      </w:r>
    </w:p>
    <w:p>
      <w:pPr>
        <w:pStyle w:val="Style30"/>
        <w:keepNext w:val="true"/>
        <w:numPr>
          <w:ilvl w:val="0"/>
          <w:numId w:val="0"/>
        </w:numPr>
        <w:ind w:left="0" w:hanging="0"/>
        <w:jc w:val="center"/>
        <w:outlineLvl w:val="2"/>
        <w:rPr>
          <w:b/>
          <w:bCs/>
          <w:caps/>
        </w:rPr>
      </w:pPr>
      <w:r>
        <w:rPr>
          <w:b/>
          <w:bCs/>
          <w:caps/>
        </w:rPr>
        <w:t>Документация о закупке</w:t>
      </w:r>
    </w:p>
    <w:p>
      <w:pPr>
        <w:pStyle w:val="Style30"/>
        <w:keepNext w:val="true"/>
        <w:tabs>
          <w:tab w:val="clear" w:pos="708"/>
          <w:tab w:val="left" w:pos="5220" w:leader="none"/>
        </w:tabs>
        <w:spacing w:before="240" w:after="0"/>
        <w:jc w:val="center"/>
        <w:rPr>
          <w:rStyle w:val="Style11"/>
        </w:rPr>
      </w:pPr>
      <w:r>
        <w:rPr/>
        <w:t>Состязательный отбор в электронной форме,</w:t>
        <w:br/>
        <w:t>участниками которого могут быть только субъекты МСП</w:t>
        <w:br/>
        <w:t xml:space="preserve">на право заключения договора </w:t>
      </w:r>
      <w:r>
        <w:rPr>
          <w:rStyle w:val="Style11"/>
          <w:rFonts w:eastAsia="Calibri" w:cs=""/>
          <w:color w:val="000000"/>
          <w:kern w:val="0"/>
          <w:sz w:val="26"/>
          <w:szCs w:val="22"/>
          <w:shd w:fill="auto" w:val="clear"/>
          <w:lang w:eastAsia="en-US" w:bidi="ar-SA"/>
        </w:rPr>
        <w:t>«</w:t>
      </w:r>
      <w:r>
        <w:rPr>
          <w:rStyle w:val="Style11"/>
          <w:i/>
          <w:iCs/>
          <w:shd w:fill="auto" w:val="clear"/>
        </w:rPr>
        <w:t>ОКПД2 28.99.39.190 Приобретение аппаратов аварийного всплытия (12 шт.) для нужд Филиала ПАО «РусГидро» – «Саратовская ГЭС» в рамках реализации инвестиционного проекта T-1300-00088»</w:t>
      </w:r>
    </w:p>
    <w:p>
      <w:pPr>
        <w:sectPr>
          <w:type w:val="nextPage"/>
          <w:pgSz w:w="11906" w:h="16838"/>
          <w:pgMar w:left="1134" w:right="850" w:gutter="0" w:header="0" w:top="851" w:footer="0" w:bottom="851"/>
          <w:pgNumType w:fmt="decimal"/>
          <w:formProt w:val="false"/>
          <w:textDirection w:val="lrTb"/>
          <w:docGrid w:type="default" w:linePitch="360" w:charSpace="0"/>
        </w:sectPr>
        <w:pStyle w:val="Style30"/>
        <w:keepNext w:val="true"/>
        <w:spacing w:before="240" w:after="0"/>
        <w:jc w:val="center"/>
        <w:rPr/>
      </w:pPr>
      <w:r>
        <w:rPr/>
        <w:t xml:space="preserve">(Лот № </w:t>
      </w:r>
      <w:r>
        <w:rPr>
          <w:rFonts w:eastAsia="Times New Roman" w:cs="Times New Roman"/>
          <w:i/>
          <w:lang w:val="en-US"/>
        </w:rPr>
        <w:t>1-ТПиР-ОНМ-2026-СарГЭС</w:t>
      </w:r>
      <w:r>
        <w:rPr/>
        <w:t> )</w:t>
      </w:r>
    </w:p>
    <w:p>
      <w:pPr>
        <w:pStyle w:val="Style29"/>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9"/>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9"/>
              <w:vanish w:val="false"/>
            </w:rPr>
            <w:fldChar w:fldCharType="separate"/>
          </w:r>
          <w:hyperlink w:anchor="_Toc186224270">
            <w:r>
              <w:rPr>
                <w:webHidden/>
              </w:rPr>
              <w:fldChar w:fldCharType="begin"/>
            </w:r>
            <w:r>
              <w:rPr>
                <w:webHidden/>
              </w:rPr>
              <w:instrText xml:space="preserve">PAGEREF _Toc186224270 \h</w:instrText>
            </w:r>
            <w:r>
              <w:rPr>
                <w:webHidden/>
              </w:rPr>
              <w:fldChar w:fldCharType="separate"/>
            </w:r>
            <w:r>
              <w:rPr>
                <w:webHidden/>
                <w:rStyle w:val="Style19"/>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Pr>
              <w:fldChar w:fldCharType="begin"/>
            </w:r>
            <w:r>
              <w:rPr>
                <w:webHidden/>
              </w:rPr>
              <w:instrText xml:space="preserve">PAGEREF _Toc186224271 \h</w:instrText>
            </w:r>
            <w:r>
              <w:rPr>
                <w:webHidden/>
              </w:rPr>
              <w:fldChar w:fldCharType="separate"/>
            </w:r>
            <w:r>
              <w:rPr>
                <w:webHidden/>
                <w:rStyle w:val="Style19"/>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9"/>
                <w:vanish w:val="false"/>
              </w:rPr>
              <w:t>1.</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Основные сведения о закупке</w:t>
            </w:r>
            <w:r>
              <w:rPr>
                <w:webHidden/>
              </w:rPr>
              <w:fldChar w:fldCharType="begin"/>
            </w:r>
            <w:r>
              <w:rPr>
                <w:webHidden/>
              </w:rPr>
              <w:instrText xml:space="preserve">PAGEREF _Toc186224272 \h</w:instrText>
            </w:r>
            <w:r>
              <w:rPr>
                <w:webHidden/>
              </w:rPr>
              <w:fldChar w:fldCharType="separate"/>
            </w:r>
            <w:r>
              <w:rPr>
                <w:rStyle w:val="Style19"/>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9"/>
                <w:vanish w:val="false"/>
              </w:rPr>
              <w:t>1.1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Статус настоящего раздела</w:t>
            </w:r>
            <w:r>
              <w:rPr>
                <w:webHidden/>
              </w:rPr>
              <w:fldChar w:fldCharType="begin"/>
            </w:r>
            <w:r>
              <w:rPr>
                <w:webHidden/>
              </w:rPr>
              <w:instrText xml:space="preserve">PAGEREF _Toc186224273 \h</w:instrText>
            </w:r>
            <w:r>
              <w:rPr>
                <w:webHidden/>
              </w:rPr>
              <w:fldChar w:fldCharType="separate"/>
            </w:r>
            <w:r>
              <w:rPr>
                <w:rStyle w:val="Style19"/>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9"/>
                <w:vanish w:val="false"/>
              </w:rPr>
              <w:t>1.2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Информация о проводимой закупке</w:t>
            </w:r>
            <w:r>
              <w:rPr>
                <w:webHidden/>
              </w:rPr>
              <w:fldChar w:fldCharType="begin"/>
            </w:r>
            <w:r>
              <w:rPr>
                <w:webHidden/>
              </w:rPr>
              <w:instrText xml:space="preserve">PAGEREF _Toc186224274 \h</w:instrText>
            </w:r>
            <w:r>
              <w:rPr>
                <w:webHidden/>
              </w:rPr>
              <w:fldChar w:fldCharType="separate"/>
            </w:r>
            <w:r>
              <w:rPr>
                <w:rStyle w:val="Style19"/>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9"/>
                <w:vanish w:val="false"/>
              </w:rPr>
              <w:t>2.</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Общие положения</w:t>
            </w:r>
            <w:r>
              <w:rPr>
                <w:webHidden/>
              </w:rPr>
              <w:fldChar w:fldCharType="begin"/>
            </w:r>
            <w:r>
              <w:rPr>
                <w:webHidden/>
              </w:rPr>
              <w:instrText xml:space="preserve">PAGEREF _Toc186224275 \h</w:instrText>
            </w:r>
            <w:r>
              <w:rPr>
                <w:webHidden/>
              </w:rPr>
              <w:fldChar w:fldCharType="separate"/>
            </w:r>
            <w:r>
              <w:rPr>
                <w:rStyle w:val="Style19"/>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9"/>
                <w:vanish w:val="false"/>
              </w:rPr>
              <w:t>2.1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Общие сведения о закупке</w:t>
            </w:r>
            <w:r>
              <w:rPr>
                <w:webHidden/>
              </w:rPr>
              <w:fldChar w:fldCharType="begin"/>
            </w:r>
            <w:r>
              <w:rPr>
                <w:webHidden/>
              </w:rPr>
              <w:instrText xml:space="preserve">PAGEREF _Toc186224276 \h</w:instrText>
            </w:r>
            <w:r>
              <w:rPr>
                <w:webHidden/>
              </w:rPr>
              <w:fldChar w:fldCharType="separate"/>
            </w:r>
            <w:r>
              <w:rPr>
                <w:rStyle w:val="Style19"/>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9"/>
                <w:vanish w:val="false"/>
              </w:rPr>
              <w:t>2.2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Правовой статус документов</w:t>
            </w:r>
            <w:r>
              <w:rPr>
                <w:webHidden/>
              </w:rPr>
              <w:fldChar w:fldCharType="begin"/>
            </w:r>
            <w:r>
              <w:rPr>
                <w:webHidden/>
              </w:rPr>
              <w:instrText xml:space="preserve">PAGEREF _Toc186224277 \h</w:instrText>
            </w:r>
            <w:r>
              <w:rPr>
                <w:webHidden/>
              </w:rPr>
              <w:fldChar w:fldCharType="separate"/>
            </w:r>
            <w:r>
              <w:rPr>
                <w:rStyle w:val="Style19"/>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9"/>
                <w:vanish w:val="false"/>
              </w:rPr>
              <w:t>2.3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Обжалование</w:t>
            </w:r>
            <w:r>
              <w:rPr>
                <w:webHidden/>
              </w:rPr>
              <w:fldChar w:fldCharType="begin"/>
            </w:r>
            <w:r>
              <w:rPr>
                <w:webHidden/>
              </w:rPr>
              <w:instrText xml:space="preserve">PAGEREF _Toc186224278 \h</w:instrText>
            </w:r>
            <w:r>
              <w:rPr>
                <w:webHidden/>
              </w:rPr>
              <w:fldChar w:fldCharType="separate"/>
            </w:r>
            <w:r>
              <w:rPr>
                <w:rStyle w:val="Style19"/>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9"/>
                <w:vanish w:val="false"/>
              </w:rPr>
              <w:t>2.4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Особые положения при проведении закупки с использованием ЭП</w:t>
            </w:r>
            <w:r>
              <w:rPr>
                <w:webHidden/>
              </w:rPr>
              <w:fldChar w:fldCharType="begin"/>
            </w:r>
            <w:r>
              <w:rPr>
                <w:webHidden/>
              </w:rPr>
              <w:instrText xml:space="preserve">PAGEREF _Toc186224279 \h</w:instrText>
            </w:r>
            <w:r>
              <w:rPr>
                <w:webHidden/>
              </w:rPr>
              <w:fldChar w:fldCharType="separate"/>
            </w:r>
            <w:r>
              <w:rPr>
                <w:rStyle w:val="Style19"/>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9"/>
                <w:vanish w:val="false"/>
              </w:rPr>
              <w:t>2.5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Прочие положения</w:t>
            </w:r>
            <w:r>
              <w:rPr>
                <w:webHidden/>
              </w:rPr>
              <w:fldChar w:fldCharType="begin"/>
            </w:r>
            <w:r>
              <w:rPr>
                <w:webHidden/>
              </w:rPr>
              <w:instrText xml:space="preserve">PAGEREF _Toc186224280 \h</w:instrText>
            </w:r>
            <w:r>
              <w:rPr>
                <w:webHidden/>
              </w:rPr>
              <w:fldChar w:fldCharType="separate"/>
            </w:r>
            <w:r>
              <w:rPr>
                <w:rStyle w:val="Style19"/>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9"/>
                <w:vanish w:val="false"/>
              </w:rPr>
              <w:t>3.</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Требования к Участникам</w:t>
            </w:r>
            <w:r>
              <w:rPr>
                <w:webHidden/>
              </w:rPr>
              <w:fldChar w:fldCharType="begin"/>
            </w:r>
            <w:r>
              <w:rPr>
                <w:webHidden/>
              </w:rPr>
              <w:instrText xml:space="preserve">PAGEREF _Toc186224281 \h</w:instrText>
            </w:r>
            <w:r>
              <w:rPr>
                <w:webHidden/>
              </w:rPr>
              <w:fldChar w:fldCharType="separate"/>
            </w:r>
            <w:r>
              <w:rPr>
                <w:rStyle w:val="Style19"/>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9"/>
                <w:vanish w:val="false"/>
              </w:rPr>
              <w:t>3.1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Общие требования к Участникам</w:t>
            </w:r>
            <w:r>
              <w:rPr>
                <w:webHidden/>
              </w:rPr>
              <w:fldChar w:fldCharType="begin"/>
            </w:r>
            <w:r>
              <w:rPr>
                <w:webHidden/>
              </w:rPr>
              <w:instrText xml:space="preserve">PAGEREF _Toc186224282 \h</w:instrText>
            </w:r>
            <w:r>
              <w:rPr>
                <w:webHidden/>
              </w:rPr>
              <w:fldChar w:fldCharType="separate"/>
            </w:r>
            <w:r>
              <w:rPr>
                <w:rStyle w:val="Style19"/>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9"/>
                <w:vanish w:val="false"/>
              </w:rPr>
              <w:t>3.2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Коллективные участники</w:t>
            </w:r>
            <w:r>
              <w:rPr>
                <w:webHidden/>
              </w:rPr>
              <w:fldChar w:fldCharType="begin"/>
            </w:r>
            <w:r>
              <w:rPr>
                <w:webHidden/>
              </w:rPr>
              <w:instrText xml:space="preserve">PAGEREF _Toc186224283 \h</w:instrText>
            </w:r>
            <w:r>
              <w:rPr>
                <w:webHidden/>
              </w:rPr>
              <w:fldChar w:fldCharType="separate"/>
            </w:r>
            <w:r>
              <w:rPr>
                <w:rStyle w:val="Style19"/>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9"/>
                <w:vanish w:val="false"/>
              </w:rPr>
              <w:t>3.3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Генеральные подрядчики</w:t>
            </w:r>
            <w:r>
              <w:rPr>
                <w:webHidden/>
              </w:rPr>
              <w:fldChar w:fldCharType="begin"/>
            </w:r>
            <w:r>
              <w:rPr>
                <w:webHidden/>
              </w:rPr>
              <w:instrText xml:space="preserve">PAGEREF _Toc186224284 \h</w:instrText>
            </w:r>
            <w:r>
              <w:rPr>
                <w:webHidden/>
              </w:rPr>
              <w:fldChar w:fldCharType="separate"/>
            </w:r>
            <w:r>
              <w:rPr>
                <w:rStyle w:val="Style19"/>
                <w:vanish w:val="false"/>
              </w:rPr>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9"/>
                <w:vanish w:val="false"/>
              </w:rPr>
              <w:t>4.</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Порядок проведения закупки</w:t>
            </w:r>
            <w:r>
              <w:rPr>
                <w:webHidden/>
              </w:rPr>
              <w:fldChar w:fldCharType="begin"/>
            </w:r>
            <w:r>
              <w:rPr>
                <w:webHidden/>
              </w:rPr>
              <w:instrText xml:space="preserve">PAGEREF _Toc186224285 \h</w:instrText>
            </w:r>
            <w:r>
              <w:rPr>
                <w:webHidden/>
              </w:rPr>
              <w:fldChar w:fldCharType="separate"/>
            </w:r>
            <w:r>
              <w:rPr>
                <w:rStyle w:val="Style19"/>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9"/>
                <w:vanish w:val="false"/>
              </w:rPr>
              <w:t>4.1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Общий порядок проведения закупки</w:t>
            </w:r>
            <w:r>
              <w:rPr>
                <w:webHidden/>
              </w:rPr>
              <w:fldChar w:fldCharType="begin"/>
            </w:r>
            <w:r>
              <w:rPr>
                <w:webHidden/>
              </w:rPr>
              <w:instrText xml:space="preserve">PAGEREF _Toc186224286 \h</w:instrText>
            </w:r>
            <w:r>
              <w:rPr>
                <w:webHidden/>
              </w:rPr>
              <w:fldChar w:fldCharType="separate"/>
            </w:r>
            <w:r>
              <w:rPr>
                <w:rStyle w:val="Style19"/>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9"/>
                <w:vanish w:val="false"/>
              </w:rPr>
              <w:t>4.2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Официальное размещение Извещения и Документации о закупке</w:t>
            </w:r>
            <w:r>
              <w:rPr>
                <w:webHidden/>
              </w:rPr>
              <w:fldChar w:fldCharType="begin"/>
            </w:r>
            <w:r>
              <w:rPr>
                <w:webHidden/>
              </w:rPr>
              <w:instrText xml:space="preserve">PAGEREF _Toc186224287 \h</w:instrText>
            </w:r>
            <w:r>
              <w:rPr>
                <w:webHidden/>
              </w:rPr>
              <w:fldChar w:fldCharType="separate"/>
            </w:r>
            <w:r>
              <w:rPr>
                <w:rStyle w:val="Style19"/>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9"/>
                <w:vanish w:val="false"/>
              </w:rPr>
              <w:t>4.3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Подготовка заявки</w:t>
            </w:r>
            <w:r>
              <w:rPr>
                <w:webHidden/>
              </w:rPr>
              <w:fldChar w:fldCharType="begin"/>
            </w:r>
            <w:r>
              <w:rPr>
                <w:webHidden/>
              </w:rPr>
              <w:instrText xml:space="preserve">PAGEREF _Toc186224288 \h</w:instrText>
            </w:r>
            <w:r>
              <w:rPr>
                <w:webHidden/>
              </w:rPr>
              <w:fldChar w:fldCharType="separate"/>
            </w:r>
            <w:r>
              <w:rPr>
                <w:rStyle w:val="Style19"/>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9"/>
                <w:vanish w:val="false"/>
              </w:rPr>
              <w:t>4.4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Разъяснение Документации о закупке</w:t>
            </w:r>
            <w:r>
              <w:rPr>
                <w:webHidden/>
              </w:rPr>
              <w:fldChar w:fldCharType="begin"/>
            </w:r>
            <w:r>
              <w:rPr>
                <w:webHidden/>
              </w:rPr>
              <w:instrText xml:space="preserve">PAGEREF _Toc186224289 \h</w:instrText>
            </w:r>
            <w:r>
              <w:rPr>
                <w:webHidden/>
              </w:rPr>
              <w:fldChar w:fldCharType="separate"/>
            </w:r>
            <w:r>
              <w:rPr>
                <w:rStyle w:val="Style19"/>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9"/>
                <w:vanish w:val="false"/>
              </w:rPr>
              <w:t>4.5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Изменения Извещения и (или) Документации о закупке</w:t>
            </w:r>
            <w:r>
              <w:rPr>
                <w:webHidden/>
              </w:rPr>
              <w:fldChar w:fldCharType="begin"/>
            </w:r>
            <w:r>
              <w:rPr>
                <w:webHidden/>
              </w:rPr>
              <w:instrText xml:space="preserve">PAGEREF _Toc186224290 \h</w:instrText>
            </w:r>
            <w:r>
              <w:rPr>
                <w:webHidden/>
              </w:rPr>
              <w:fldChar w:fldCharType="separate"/>
            </w:r>
            <w:r>
              <w:rPr>
                <w:rStyle w:val="Style19"/>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9"/>
                <w:vanish w:val="false"/>
              </w:rPr>
              <w:t>4.6</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Подача заявок и их прием</w:t>
            </w:r>
            <w:r>
              <w:rPr>
                <w:webHidden/>
              </w:rPr>
              <w:fldChar w:fldCharType="begin"/>
            </w:r>
            <w:r>
              <w:rPr>
                <w:webHidden/>
              </w:rPr>
              <w:instrText xml:space="preserve">PAGEREF _Toc186224291 \h</w:instrText>
            </w:r>
            <w:r>
              <w:rPr>
                <w:webHidden/>
              </w:rPr>
              <w:fldChar w:fldCharType="separate"/>
            </w:r>
            <w:r>
              <w:rPr>
                <w:rStyle w:val="Style19"/>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9"/>
                <w:vanish w:val="false"/>
              </w:rPr>
              <w:t>4.7</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Изменение и отзыв заявок</w:t>
            </w:r>
            <w:r>
              <w:rPr>
                <w:webHidden/>
              </w:rPr>
              <w:fldChar w:fldCharType="begin"/>
            </w:r>
            <w:r>
              <w:rPr>
                <w:webHidden/>
              </w:rPr>
              <w:instrText xml:space="preserve">PAGEREF _Toc186224292 \h</w:instrText>
            </w:r>
            <w:r>
              <w:rPr>
                <w:webHidden/>
              </w:rPr>
              <w:fldChar w:fldCharType="separate"/>
            </w:r>
            <w:r>
              <w:rPr>
                <w:rStyle w:val="Style19"/>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9"/>
                <w:vanish w:val="false"/>
              </w:rPr>
              <w:t>4.8</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Открытие доступа к заявкам</w:t>
            </w:r>
            <w:r>
              <w:rPr>
                <w:webHidden/>
              </w:rPr>
              <w:fldChar w:fldCharType="begin"/>
            </w:r>
            <w:r>
              <w:rPr>
                <w:webHidden/>
              </w:rPr>
              <w:instrText xml:space="preserve">PAGEREF _Toc186224293 \h</w:instrText>
            </w:r>
            <w:r>
              <w:rPr>
                <w:webHidden/>
              </w:rPr>
              <w:fldChar w:fldCharType="separate"/>
            </w:r>
            <w:r>
              <w:rPr>
                <w:rStyle w:val="Style19"/>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9"/>
                <w:vanish w:val="false"/>
              </w:rPr>
              <w:t>4.9</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_Toc186224294 \h</w:instrText>
            </w:r>
            <w:r>
              <w:rPr>
                <w:webHidden/>
              </w:rPr>
              <w:fldChar w:fldCharType="separate"/>
            </w:r>
            <w:r>
              <w:rPr>
                <w:rStyle w:val="Style19"/>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9"/>
                <w:vanish w:val="false"/>
              </w:rPr>
              <w:t>4.10</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запросы разъяснений заявок</w:t>
            </w:r>
            <w:r>
              <w:rPr>
                <w:webHidden/>
              </w:rPr>
              <w:fldChar w:fldCharType="begin"/>
            </w:r>
            <w:r>
              <w:rPr>
                <w:webHidden/>
              </w:rPr>
              <w:instrText xml:space="preserve">PAGEREF _Toc186224295 \h</w:instrText>
            </w:r>
            <w:r>
              <w:rPr>
                <w:webHidden/>
              </w:rPr>
              <w:fldChar w:fldCharType="separate"/>
            </w:r>
            <w:r>
              <w:rPr>
                <w:rStyle w:val="Style19"/>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9"/>
                <w:vanish w:val="false"/>
              </w:rPr>
              <w:t>4.11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Переторжка</w:t>
            </w:r>
            <w:r>
              <w:rPr>
                <w:webHidden/>
              </w:rPr>
              <w:fldChar w:fldCharType="begin"/>
            </w:r>
            <w:r>
              <w:rPr>
                <w:webHidden/>
              </w:rPr>
              <w:instrText xml:space="preserve">PAGEREF _Toc186224296 \h</w:instrText>
            </w:r>
            <w:r>
              <w:rPr>
                <w:webHidden/>
              </w:rPr>
              <w:fldChar w:fldCharType="separate"/>
            </w:r>
            <w:r>
              <w:rPr>
                <w:rStyle w:val="Style19"/>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9"/>
                <w:vanish w:val="false"/>
              </w:rPr>
              <w:t>4.12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Оценка и сопоставление заявок</w:t>
            </w:r>
            <w:r>
              <w:rPr>
                <w:webHidden/>
              </w:rPr>
              <w:fldChar w:fldCharType="begin"/>
            </w:r>
            <w:r>
              <w:rPr>
                <w:webHidden/>
              </w:rPr>
              <w:instrText xml:space="preserve">PAGEREF _Toc186224297 \h</w:instrText>
            </w:r>
            <w:r>
              <w:rPr>
                <w:webHidden/>
              </w:rPr>
              <w:fldChar w:fldCharType="separate"/>
            </w:r>
            <w:r>
              <w:rPr>
                <w:rStyle w:val="Style19"/>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9"/>
                <w:vanish w:val="false"/>
              </w:rPr>
              <w:t>4.13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Применение законодательства о национальном режиме</w:t>
            </w:r>
            <w:r>
              <w:rPr>
                <w:webHidden/>
              </w:rPr>
              <w:fldChar w:fldCharType="begin"/>
            </w:r>
            <w:r>
              <w:rPr>
                <w:webHidden/>
              </w:rPr>
              <w:instrText xml:space="preserve">PAGEREF _Toc186224298 \h</w:instrText>
            </w:r>
            <w:r>
              <w:rPr>
                <w:webHidden/>
              </w:rPr>
              <w:fldChar w:fldCharType="separate"/>
            </w:r>
            <w:r>
              <w:rPr>
                <w:rStyle w:val="Style19"/>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9"/>
                <w:vanish w:val="false"/>
              </w:rPr>
              <w:t>4.14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Подведение итогов закупки (определение Победителя)</w:t>
            </w:r>
            <w:r>
              <w:rPr>
                <w:webHidden/>
              </w:rPr>
              <w:fldChar w:fldCharType="begin"/>
            </w:r>
            <w:r>
              <w:rPr>
                <w:webHidden/>
              </w:rPr>
              <w:instrText xml:space="preserve">PAGEREF _Toc186224299 \h</w:instrText>
            </w:r>
            <w:r>
              <w:rPr>
                <w:webHidden/>
              </w:rPr>
              <w:fldChar w:fldCharType="separate"/>
            </w:r>
            <w:r>
              <w:rPr>
                <w:rStyle w:val="Style19"/>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9"/>
                <w:vanish w:val="false"/>
              </w:rPr>
              <w:t>4.15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Признание закупки несостоявшейся</w:t>
            </w:r>
            <w:r>
              <w:rPr>
                <w:webHidden/>
              </w:rPr>
              <w:fldChar w:fldCharType="begin"/>
            </w:r>
            <w:r>
              <w:rPr>
                <w:webHidden/>
              </w:rPr>
              <w:instrText xml:space="preserve">PAGEREF _Toc186224300 \h</w:instrText>
            </w:r>
            <w:r>
              <w:rPr>
                <w:webHidden/>
              </w:rPr>
              <w:fldChar w:fldCharType="separate"/>
            </w:r>
            <w:r>
              <w:rPr>
                <w:rStyle w:val="Style19"/>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9"/>
                <w:vanish w:val="false"/>
              </w:rPr>
              <w:t>4.16</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Отказ от проведения закупки (отмена закупки)</w:t>
            </w:r>
            <w:r>
              <w:rPr>
                <w:webHidden/>
              </w:rPr>
              <w:fldChar w:fldCharType="begin"/>
            </w:r>
            <w:r>
              <w:rPr>
                <w:webHidden/>
              </w:rPr>
              <w:instrText xml:space="preserve">PAGEREF _Toc186224301 \h</w:instrText>
            </w:r>
            <w:r>
              <w:rPr>
                <w:webHidden/>
              </w:rPr>
              <w:fldChar w:fldCharType="separate"/>
            </w:r>
            <w:r>
              <w:rPr>
                <w:rStyle w:val="Style19"/>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9"/>
                <w:vanish w:val="false"/>
              </w:rPr>
              <w:t>4.17</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закупки с необходимостью обеспечения заявки</w:t>
            </w:r>
            <w:r>
              <w:rPr>
                <w:webHidden/>
              </w:rPr>
              <w:fldChar w:fldCharType="begin"/>
            </w:r>
            <w:r>
              <w:rPr>
                <w:webHidden/>
              </w:rPr>
              <w:instrText xml:space="preserve">PAGEREF _Toc186224302 \h</w:instrText>
            </w:r>
            <w:r>
              <w:rPr>
                <w:webHidden/>
              </w:rPr>
              <w:fldChar w:fldCharType="separate"/>
            </w:r>
            <w:r>
              <w:rPr>
                <w:rStyle w:val="Style19"/>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9"/>
                <w:vanish w:val="false"/>
              </w:rPr>
              <w:t>4.18</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многолотовой закупки</w:t>
            </w:r>
            <w:r>
              <w:rPr>
                <w:webHidden/>
              </w:rPr>
              <w:fldChar w:fldCharType="begin"/>
            </w:r>
            <w:r>
              <w:rPr>
                <w:webHidden/>
              </w:rPr>
              <w:instrText xml:space="preserve">PAGEREF _Toc186224303 \h</w:instrText>
            </w:r>
            <w:r>
              <w:rPr>
                <w:webHidden/>
              </w:rPr>
              <w:fldChar w:fldCharType="separate"/>
            </w:r>
            <w:r>
              <w:rPr>
                <w:rStyle w:val="Style19"/>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9"/>
                <w:vanish w:val="false"/>
              </w:rPr>
              <w:t>4.19</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_Toc186224304 \h</w:instrText>
            </w:r>
            <w:r>
              <w:rPr>
                <w:webHidden/>
              </w:rPr>
              <w:fldChar w:fldCharType="separate"/>
            </w:r>
            <w:r>
              <w:rPr>
                <w:rStyle w:val="Style19"/>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9"/>
                <w:vanish w:val="false"/>
              </w:rPr>
              <w:t>4.20</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закупки с выбором нескольких победителей</w:t>
            </w:r>
            <w:r>
              <w:rPr>
                <w:webHidden/>
              </w:rPr>
              <w:fldChar w:fldCharType="begin"/>
            </w:r>
            <w:r>
              <w:rPr>
                <w:webHidden/>
              </w:rPr>
              <w:instrText xml:space="preserve">PAGEREF _Toc186224305 \h</w:instrText>
            </w:r>
            <w:r>
              <w:rPr>
                <w:webHidden/>
              </w:rPr>
              <w:fldChar w:fldCharType="separate"/>
            </w:r>
            <w:r>
              <w:rPr>
                <w:rStyle w:val="Style19"/>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9"/>
                <w:vanish w:val="false"/>
              </w:rPr>
              <w:t>5.</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Порядок заключения Договора</w:t>
            </w:r>
            <w:r>
              <w:rPr>
                <w:webHidden/>
              </w:rPr>
              <w:fldChar w:fldCharType="begin"/>
            </w:r>
            <w:r>
              <w:rPr>
                <w:webHidden/>
              </w:rPr>
              <w:instrText xml:space="preserve">PAGEREF _Toc186224306 \h</w:instrText>
            </w:r>
            <w:r>
              <w:rPr>
                <w:webHidden/>
              </w:rPr>
              <w:fldChar w:fldCharType="separate"/>
            </w:r>
            <w:r>
              <w:rPr>
                <w:rStyle w:val="Style19"/>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9"/>
                <w:vanish w:val="false"/>
              </w:rPr>
              <w:t>5.1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Общие положения</w:t>
            </w:r>
            <w:r>
              <w:rPr>
                <w:webHidden/>
              </w:rPr>
              <w:fldChar w:fldCharType="begin"/>
            </w:r>
            <w:r>
              <w:rPr>
                <w:webHidden/>
              </w:rPr>
              <w:instrText xml:space="preserve">PAGEREF _Toc186224307 \h</w:instrText>
            </w:r>
            <w:r>
              <w:rPr>
                <w:webHidden/>
              </w:rPr>
              <w:fldChar w:fldCharType="separate"/>
            </w:r>
            <w:r>
              <w:rPr>
                <w:rStyle w:val="Style19"/>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9"/>
                <w:vanish w:val="false"/>
              </w:rPr>
              <w:t>5.2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Заключение Договора</w:t>
            </w:r>
            <w:r>
              <w:rPr>
                <w:webHidden/>
              </w:rPr>
              <w:fldChar w:fldCharType="begin"/>
            </w:r>
            <w:r>
              <w:rPr>
                <w:webHidden/>
              </w:rPr>
              <w:instrText xml:space="preserve">PAGEREF _Toc186224308 \h</w:instrText>
            </w:r>
            <w:r>
              <w:rPr>
                <w:webHidden/>
              </w:rPr>
              <w:fldChar w:fldCharType="separate"/>
            </w:r>
            <w:r>
              <w:rPr>
                <w:rStyle w:val="Style19"/>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9"/>
                <w:vanish w:val="false"/>
              </w:rPr>
              <w:t>5.3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Преддоговорные переговоры</w:t>
            </w:r>
            <w:r>
              <w:rPr>
                <w:webHidden/>
              </w:rPr>
              <w:fldChar w:fldCharType="begin"/>
            </w:r>
            <w:r>
              <w:rPr>
                <w:webHidden/>
              </w:rPr>
              <w:instrText xml:space="preserve">PAGEREF _Toc186224309 \h</w:instrText>
            </w:r>
            <w:r>
              <w:rPr>
                <w:webHidden/>
              </w:rPr>
              <w:fldChar w:fldCharType="separate"/>
            </w:r>
            <w:r>
              <w:rPr>
                <w:rStyle w:val="Style19"/>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9"/>
                <w:vanish w:val="false"/>
              </w:rPr>
              <w:t>5.4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Уклонение Победителя от заключения Договора</w:t>
            </w:r>
            <w:r>
              <w:rPr>
                <w:webHidden/>
              </w:rPr>
              <w:fldChar w:fldCharType="begin"/>
            </w:r>
            <w:r>
              <w:rPr>
                <w:webHidden/>
              </w:rPr>
              <w:instrText xml:space="preserve">PAGEREF _Toc186224310 \h</w:instrText>
            </w:r>
            <w:r>
              <w:rPr>
                <w:webHidden/>
              </w:rPr>
              <w:fldChar w:fldCharType="separate"/>
            </w:r>
            <w:r>
              <w:rPr>
                <w:rStyle w:val="Style19"/>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9"/>
                <w:vanish w:val="false"/>
              </w:rPr>
              <w:t>6.</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1 – Технические требования</w:t>
            </w:r>
            <w:r>
              <w:rPr>
                <w:webHidden/>
              </w:rPr>
              <w:fldChar w:fldCharType="begin"/>
            </w:r>
            <w:r>
              <w:rPr>
                <w:webHidden/>
              </w:rPr>
              <w:instrText xml:space="preserve">PAGEREF _Toc186224311 \h</w:instrText>
            </w:r>
            <w:r>
              <w:rPr>
                <w:webHidden/>
              </w:rPr>
              <w:fldChar w:fldCharType="separate"/>
            </w:r>
            <w:r>
              <w:rPr>
                <w:rStyle w:val="Style19"/>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9"/>
                <w:vanish w:val="false"/>
              </w:rPr>
              <w:t>6.1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Техническим требованиям</w:t>
            </w:r>
            <w:r>
              <w:rPr>
                <w:webHidden/>
              </w:rPr>
              <w:fldChar w:fldCharType="begin"/>
            </w:r>
            <w:r>
              <w:rPr>
                <w:webHidden/>
              </w:rPr>
              <w:instrText xml:space="preserve">PAGEREF _Toc186224312 \h</w:instrText>
            </w:r>
            <w:r>
              <w:rPr>
                <w:webHidden/>
              </w:rPr>
              <w:fldChar w:fldCharType="separate"/>
            </w:r>
            <w:r>
              <w:rPr>
                <w:rStyle w:val="Style19"/>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9"/>
                <w:vanish w:val="false"/>
              </w:rPr>
              <w:t>7.</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2 – Проект договора</w:t>
            </w:r>
            <w:r>
              <w:rPr>
                <w:webHidden/>
              </w:rPr>
              <w:fldChar w:fldCharType="begin"/>
            </w:r>
            <w:r>
              <w:rPr>
                <w:webHidden/>
              </w:rPr>
              <w:instrText xml:space="preserve">PAGEREF _Toc186224313 \h</w:instrText>
            </w:r>
            <w:r>
              <w:rPr>
                <w:webHidden/>
              </w:rPr>
              <w:fldChar w:fldCharType="separate"/>
            </w:r>
            <w:r>
              <w:rPr>
                <w:rStyle w:val="Style19"/>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9"/>
                <w:vanish w:val="false"/>
              </w:rPr>
              <w:t>7.1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Проекту договора</w:t>
            </w:r>
            <w:r>
              <w:rPr>
                <w:webHidden/>
              </w:rPr>
              <w:fldChar w:fldCharType="begin"/>
            </w:r>
            <w:r>
              <w:rPr>
                <w:webHidden/>
              </w:rPr>
              <w:instrText xml:space="preserve">PAGEREF _Toc186224314 \h</w:instrText>
            </w:r>
            <w:r>
              <w:rPr>
                <w:webHidden/>
              </w:rPr>
              <w:fldChar w:fldCharType="separate"/>
            </w:r>
            <w:r>
              <w:rPr>
                <w:rStyle w:val="Style19"/>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9"/>
                <w:vanish w:val="false"/>
              </w:rPr>
              <w:t>8.</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3 – Требования к Участникам</w:t>
            </w:r>
            <w:r>
              <w:rPr>
                <w:webHidden/>
              </w:rPr>
              <w:fldChar w:fldCharType="begin"/>
            </w:r>
            <w:r>
              <w:rPr>
                <w:webHidden/>
              </w:rPr>
              <w:instrText xml:space="preserve">PAGEREF _Toc186224315 \h</w:instrText>
            </w:r>
            <w:r>
              <w:rPr>
                <w:webHidden/>
              </w:rPr>
              <w:fldChar w:fldCharType="separate"/>
            </w:r>
            <w:r>
              <w:rPr>
                <w:rStyle w:val="Style19"/>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9"/>
                <w:vanish w:val="false"/>
              </w:rPr>
              <w:t>8.1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требованиям к Участникам</w:t>
            </w:r>
            <w:r>
              <w:rPr>
                <w:webHidden/>
              </w:rPr>
              <w:fldChar w:fldCharType="begin"/>
            </w:r>
            <w:r>
              <w:rPr>
                <w:webHidden/>
              </w:rPr>
              <w:instrText xml:space="preserve">PAGEREF _Toc186224316 \h</w:instrText>
            </w:r>
            <w:r>
              <w:rPr>
                <w:webHidden/>
              </w:rPr>
              <w:fldChar w:fldCharType="separate"/>
            </w:r>
            <w:r>
              <w:rPr>
                <w:rStyle w:val="Style19"/>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9"/>
                <w:vanish w:val="false"/>
              </w:rPr>
              <w:t>8.2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Обязательные требования</w:t>
            </w:r>
            <w:r>
              <w:rPr>
                <w:webHidden/>
              </w:rPr>
              <w:fldChar w:fldCharType="begin"/>
            </w:r>
            <w:r>
              <w:rPr>
                <w:webHidden/>
              </w:rPr>
              <w:instrText xml:space="preserve">PAGEREF _Toc186224317 \h</w:instrText>
            </w:r>
            <w:r>
              <w:rPr>
                <w:webHidden/>
              </w:rPr>
              <w:fldChar w:fldCharType="separate"/>
            </w:r>
            <w:r>
              <w:rPr>
                <w:rStyle w:val="Style19"/>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9"/>
                <w:vanish w:val="false"/>
              </w:rPr>
              <w:t>8.3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Специальные требования</w:t>
            </w:r>
            <w:r>
              <w:rPr>
                <w:webHidden/>
              </w:rPr>
              <w:fldChar w:fldCharType="begin"/>
            </w:r>
            <w:r>
              <w:rPr>
                <w:webHidden/>
              </w:rPr>
              <w:instrText xml:space="preserve">PAGEREF _Toc186224318 \h</w:instrText>
            </w:r>
            <w:r>
              <w:rPr>
                <w:webHidden/>
              </w:rPr>
              <w:fldChar w:fldCharType="separate"/>
            </w:r>
            <w:r>
              <w:rPr>
                <w:rStyle w:val="Style19"/>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9"/>
                <w:vanish w:val="false"/>
              </w:rPr>
              <w:t>8.4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Квалификационные требования</w:t>
            </w:r>
            <w:r>
              <w:rPr>
                <w:webHidden/>
              </w:rPr>
              <w:fldChar w:fldCharType="begin"/>
            </w:r>
            <w:r>
              <w:rPr>
                <w:webHidden/>
              </w:rPr>
              <w:instrText xml:space="preserve">PAGEREF _Toc186224319 \h</w:instrText>
            </w:r>
            <w:r>
              <w:rPr>
                <w:webHidden/>
              </w:rPr>
              <w:fldChar w:fldCharType="separate"/>
            </w:r>
            <w:r>
              <w:rPr>
                <w:rStyle w:val="Style19"/>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9"/>
                <w:vanish w:val="false"/>
              </w:rPr>
              <w:t>8.5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требования к Коллективным участникам</w:t>
            </w:r>
            <w:r>
              <w:rPr>
                <w:webHidden/>
              </w:rPr>
              <w:fldChar w:fldCharType="begin"/>
            </w:r>
            <w:r>
              <w:rPr>
                <w:webHidden/>
              </w:rPr>
              <w:instrText xml:space="preserve">PAGEREF _Toc186224320 \h</w:instrText>
            </w:r>
            <w:r>
              <w:rPr>
                <w:webHidden/>
              </w:rPr>
              <w:fldChar w:fldCharType="separate"/>
            </w:r>
            <w:r>
              <w:rPr>
                <w:rStyle w:val="Style19"/>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9"/>
                <w:vanish w:val="false"/>
              </w:rPr>
              <w:t>8.6</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требования к Генеральным подрядчикам</w:t>
            </w:r>
            <w:r>
              <w:rPr>
                <w:webHidden/>
              </w:rPr>
              <w:fldChar w:fldCharType="begin"/>
            </w:r>
            <w:r>
              <w:rPr>
                <w:webHidden/>
              </w:rPr>
              <w:instrText xml:space="preserve">PAGEREF _Toc186224321 \h</w:instrText>
            </w:r>
            <w:r>
              <w:rPr>
                <w:webHidden/>
              </w:rPr>
              <w:fldChar w:fldCharType="separate"/>
            </w:r>
            <w:r>
              <w:rPr>
                <w:rStyle w:val="Style19"/>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9"/>
                <w:vanish w:val="false"/>
              </w:rPr>
              <w:t>9.</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4 – Образцы форм документов, включаемых в состав заявки</w:t>
            </w:r>
            <w:r>
              <w:rPr>
                <w:webHidden/>
              </w:rPr>
              <w:fldChar w:fldCharType="begin"/>
            </w:r>
            <w:r>
              <w:rPr>
                <w:webHidden/>
              </w:rPr>
              <w:instrText xml:space="preserve">PAGEREF _Toc186224322 \h</w:instrText>
            </w:r>
            <w:r>
              <w:rPr>
                <w:webHidden/>
              </w:rPr>
              <w:fldChar w:fldCharType="separate"/>
            </w:r>
            <w:r>
              <w:rPr>
                <w:rStyle w:val="Style19"/>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9"/>
                <w:vanish w:val="false"/>
              </w:rPr>
              <w:t>9.1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Образцам форм документов, включаемых в состав заявки</w:t>
            </w:r>
            <w:r>
              <w:rPr>
                <w:webHidden/>
              </w:rPr>
              <w:fldChar w:fldCharType="begin"/>
            </w:r>
            <w:r>
              <w:rPr>
                <w:webHidden/>
              </w:rPr>
              <w:instrText xml:space="preserve">PAGEREF _Toc186224323 \h</w:instrText>
            </w:r>
            <w:r>
              <w:rPr>
                <w:webHidden/>
              </w:rPr>
              <w:fldChar w:fldCharType="separate"/>
            </w:r>
            <w:r>
              <w:rPr>
                <w:rStyle w:val="Style19"/>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9"/>
                <w:vanish w:val="false"/>
              </w:rPr>
              <w:t>10.</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5 – Образцы форм документов, предоставляемых Победителем</w:t>
            </w:r>
            <w:r>
              <w:rPr>
                <w:webHidden/>
              </w:rPr>
              <w:fldChar w:fldCharType="begin"/>
            </w:r>
            <w:r>
              <w:rPr>
                <w:webHidden/>
              </w:rPr>
              <w:instrText xml:space="preserve">PAGEREF _Toc186224324 \h</w:instrText>
            </w:r>
            <w:r>
              <w:rPr>
                <w:webHidden/>
              </w:rPr>
              <w:fldChar w:fldCharType="separate"/>
            </w:r>
            <w:r>
              <w:rPr>
                <w:rStyle w:val="Style19"/>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9"/>
                <w:vanish w:val="false"/>
              </w:rPr>
              <w:t>10.1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Образцам форм документов, предоставляемых Победителем</w:t>
            </w:r>
            <w:r>
              <w:rPr>
                <w:webHidden/>
              </w:rPr>
              <w:fldChar w:fldCharType="begin"/>
            </w:r>
            <w:r>
              <w:rPr>
                <w:webHidden/>
              </w:rPr>
              <w:instrText xml:space="preserve">PAGEREF _Toc186224325 \h</w:instrText>
            </w:r>
            <w:r>
              <w:rPr>
                <w:webHidden/>
              </w:rPr>
              <w:fldChar w:fldCharType="separate"/>
            </w:r>
            <w:r>
              <w:rPr>
                <w:rStyle w:val="Style19"/>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9"/>
                <w:vanish w:val="false"/>
              </w:rPr>
              <w:t>10.2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_Toc186224326 \h</w:instrText>
            </w:r>
            <w:r>
              <w:rPr>
                <w:webHidden/>
              </w:rPr>
              <w:fldChar w:fldCharType="separate"/>
            </w:r>
            <w:r>
              <w:rPr>
                <w:rStyle w:val="Style19"/>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9"/>
                <w:vanish w:val="false"/>
              </w:rPr>
              <w:t>10.3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Форма «Заверение об обстоятельствах»</w:t>
            </w:r>
            <w:r>
              <w:rPr>
                <w:webHidden/>
              </w:rPr>
              <w:fldChar w:fldCharType="begin"/>
            </w:r>
            <w:r>
              <w:rPr>
                <w:webHidden/>
              </w:rPr>
              <w:instrText xml:space="preserve">PAGEREF _Toc186224327 \h</w:instrText>
            </w:r>
            <w:r>
              <w:rPr>
                <w:webHidden/>
              </w:rPr>
              <w:fldChar w:fldCharType="separate"/>
            </w:r>
            <w:r>
              <w:rPr>
                <w:rStyle w:val="Style19"/>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9"/>
                <w:vanish w:val="false"/>
              </w:rPr>
              <w:t>11.</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6 – Состав заявки</w:t>
            </w:r>
            <w:r>
              <w:rPr>
                <w:webHidden/>
              </w:rPr>
              <w:fldChar w:fldCharType="begin"/>
            </w:r>
            <w:r>
              <w:rPr>
                <w:webHidden/>
              </w:rPr>
              <w:instrText xml:space="preserve">PAGEREF _Toc186224328 \h</w:instrText>
            </w:r>
            <w:r>
              <w:rPr>
                <w:webHidden/>
              </w:rPr>
              <w:fldChar w:fldCharType="separate"/>
            </w:r>
            <w:r>
              <w:rPr>
                <w:rStyle w:val="Style19"/>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9"/>
                <w:vanish w:val="false"/>
              </w:rPr>
              <w:t>11.1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Состав заявки</w:t>
            </w:r>
            <w:r>
              <w:rPr>
                <w:webHidden/>
              </w:rPr>
              <w:fldChar w:fldCharType="begin"/>
            </w:r>
            <w:r>
              <w:rPr>
                <w:webHidden/>
              </w:rPr>
              <w:instrText xml:space="preserve">PAGEREF _Toc186224329 \h</w:instrText>
            </w:r>
            <w:r>
              <w:rPr>
                <w:webHidden/>
              </w:rPr>
              <w:fldChar w:fldCharType="separate"/>
            </w:r>
            <w:r>
              <w:rPr>
                <w:rStyle w:val="Style19"/>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9"/>
                <w:vanish w:val="false"/>
              </w:rPr>
              <w:t>12.</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7 – Отборочные критерии рассмотрения заявок</w:t>
            </w:r>
            <w:r>
              <w:rPr>
                <w:webHidden/>
              </w:rPr>
              <w:fldChar w:fldCharType="begin"/>
            </w:r>
            <w:r>
              <w:rPr>
                <w:webHidden/>
              </w:rPr>
              <w:instrText xml:space="preserve">PAGEREF _Toc186224330 \h</w:instrText>
            </w:r>
            <w:r>
              <w:rPr>
                <w:webHidden/>
              </w:rPr>
              <w:fldChar w:fldCharType="separate"/>
            </w:r>
            <w:r>
              <w:rPr>
                <w:rStyle w:val="Style19"/>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9"/>
                <w:vanish w:val="false"/>
              </w:rPr>
              <w:t>12.1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Отборочные критерии рассмотрения заявок</w:t>
            </w:r>
            <w:r>
              <w:rPr>
                <w:webHidden/>
              </w:rPr>
              <w:fldChar w:fldCharType="begin"/>
            </w:r>
            <w:r>
              <w:rPr>
                <w:webHidden/>
              </w:rPr>
              <w:instrText xml:space="preserve">PAGEREF _Toc186224331 \h</w:instrText>
            </w:r>
            <w:r>
              <w:rPr>
                <w:webHidden/>
              </w:rPr>
              <w:fldChar w:fldCharType="separate"/>
            </w:r>
            <w:r>
              <w:rPr>
                <w:rStyle w:val="Style19"/>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9"/>
                <w:vanish w:val="false"/>
              </w:rPr>
              <w:t>12.2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_Toc186224332 \h</w:instrText>
            </w:r>
            <w:r>
              <w:rPr>
                <w:webHidden/>
              </w:rPr>
              <w:fldChar w:fldCharType="separate"/>
            </w:r>
            <w:r>
              <w:rPr>
                <w:rStyle w:val="Style19"/>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9"/>
                <w:vanish w:val="false"/>
              </w:rPr>
              <w:t>13.</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8 – Порядок и критерии оценки и сопоставления заявок</w:t>
            </w:r>
            <w:r>
              <w:rPr>
                <w:webHidden/>
              </w:rPr>
              <w:fldChar w:fldCharType="begin"/>
            </w:r>
            <w:r>
              <w:rPr>
                <w:webHidden/>
              </w:rPr>
              <w:instrText xml:space="preserve">PAGEREF _Toc186224333 \h</w:instrText>
            </w:r>
            <w:r>
              <w:rPr>
                <w:webHidden/>
              </w:rPr>
              <w:fldChar w:fldCharType="separate"/>
            </w:r>
            <w:r>
              <w:rPr>
                <w:rStyle w:val="Style19"/>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9"/>
                <w:vanish w:val="false"/>
              </w:rPr>
              <w:t>13.1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Порядок и критерии оценки и сопоставления заявок</w:t>
            </w:r>
            <w:r>
              <w:rPr>
                <w:webHidden/>
              </w:rPr>
              <w:fldChar w:fldCharType="begin"/>
            </w:r>
            <w:r>
              <w:rPr>
                <w:webHidden/>
              </w:rPr>
              <w:instrText xml:space="preserve">PAGEREF _Toc186224334 \h</w:instrText>
            </w:r>
            <w:r>
              <w:rPr>
                <w:webHidden/>
              </w:rPr>
              <w:fldChar w:fldCharType="separate"/>
            </w:r>
            <w:r>
              <w:rPr>
                <w:rStyle w:val="Style19"/>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9"/>
                <w:vanish w:val="false"/>
              </w:rPr>
              <w:t>13.2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Порядок и критерии оценки и сопоставления заявок</w:t>
            </w:r>
            <w:r>
              <w:rPr>
                <w:webHidden/>
              </w:rPr>
              <w:fldChar w:fldCharType="begin"/>
            </w:r>
            <w:r>
              <w:rPr>
                <w:webHidden/>
              </w:rPr>
              <w:instrText xml:space="preserve">PAGEREF _Toc186224335 \h</w:instrText>
            </w:r>
            <w:r>
              <w:rPr>
                <w:webHidden/>
              </w:rPr>
              <w:fldChar w:fldCharType="separate"/>
            </w:r>
            <w:r>
              <w:rPr>
                <w:rStyle w:val="Style19"/>
                <w:vanish w:val="false"/>
              </w:rPr>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9"/>
                <w:vanish w:val="false"/>
              </w:rPr>
              <w:t>14.</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9 – Обоснование НМЦ</w:t>
            </w:r>
            <w:r>
              <w:rPr>
                <w:webHidden/>
              </w:rPr>
              <w:fldChar w:fldCharType="begin"/>
            </w:r>
            <w:r>
              <w:rPr>
                <w:webHidden/>
              </w:rPr>
              <w:instrText xml:space="preserve">PAGEREF _Toc186224336 \h</w:instrText>
            </w:r>
            <w:r>
              <w:rPr>
                <w:webHidden/>
              </w:rPr>
              <w:fldChar w:fldCharType="separate"/>
            </w:r>
            <w:r>
              <w:rPr>
                <w:rStyle w:val="Style19"/>
                <w:vanish w:val="false"/>
              </w:rPr>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9"/>
                <w:vanish w:val="false"/>
              </w:rPr>
              <w:t>14.1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Обоснованию НМЦ</w:t>
            </w:r>
            <w:r>
              <w:rPr>
                <w:webHidden/>
              </w:rPr>
              <w:fldChar w:fldCharType="begin"/>
            </w:r>
            <w:r>
              <w:rPr>
                <w:webHidden/>
              </w:rPr>
              <w:instrText xml:space="preserve">PAGEREF _Toc186224337 \h</w:instrText>
            </w:r>
            <w:r>
              <w:rPr>
                <w:webHidden/>
              </w:rPr>
              <w:fldChar w:fldCharType="separate"/>
            </w:r>
            <w:r>
              <w:rPr>
                <w:rStyle w:val="Style19"/>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9"/>
                <w:vanish w:val="false"/>
              </w:rPr>
              <w:t>15.</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10 – Форма Заявки на аккредитацию</w:t>
            </w:r>
            <w:r>
              <w:rPr>
                <w:webHidden/>
              </w:rPr>
              <w:fldChar w:fldCharType="begin"/>
            </w:r>
            <w:r>
              <w:rPr>
                <w:webHidden/>
              </w:rPr>
              <w:instrText xml:space="preserve">PAGEREF _Toc186224338 \h</w:instrText>
            </w:r>
            <w:r>
              <w:rPr>
                <w:webHidden/>
              </w:rPr>
              <w:fldChar w:fldCharType="separate"/>
            </w:r>
            <w:r>
              <w:rPr>
                <w:rStyle w:val="Style19"/>
                <w:vanish w:val="false"/>
              </w:rPr>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9"/>
                <w:vanish w:val="false"/>
              </w:rPr>
              <w:t>15.1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форме Заявки на аккредитацию</w:t>
            </w:r>
            <w:r>
              <w:rPr>
                <w:webHidden/>
              </w:rPr>
              <w:fldChar w:fldCharType="begin"/>
            </w:r>
            <w:r>
              <w:rPr>
                <w:webHidden/>
              </w:rPr>
              <w:instrText xml:space="preserve">PAGEREF _Toc186224339 \h</w:instrText>
            </w:r>
            <w:r>
              <w:rPr>
                <w:webHidden/>
              </w:rPr>
              <w:fldChar w:fldCharType="separate"/>
            </w:r>
            <w:r>
              <w:rPr>
                <w:rStyle w:val="Style19"/>
                <w:vanish w:val="false"/>
              </w:rPr>
              <w:tab/>
              <w:t>91</w:t>
            </w:r>
            <w:r>
              <w:rPr>
                <w:webHidden/>
              </w:rPr>
              <w:fldChar w:fldCharType="end"/>
            </w:r>
          </w:hyperlink>
          <w:r>
            <w:rPr>
              <w:rStyle w:val="Style19"/>
              <w:vanish w:val="false"/>
            </w:rPr>
            <w:fldChar w:fldCharType="end"/>
          </w:r>
        </w:p>
      </w:sdtContent>
    </w:sdt>
    <w:p>
      <w:pPr>
        <w:pStyle w:val="Style30"/>
        <w:jc w:val="both"/>
        <w:rPr/>
      </w:pPr>
      <w:r>
        <w:rPr/>
      </w:r>
    </w:p>
    <w:p>
      <w:pPr>
        <w:pStyle w:val="Style29"/>
        <w:numPr>
          <w:ilvl w:val="0"/>
          <w:numId w:val="0"/>
        </w:numPr>
        <w:ind w:left="0" w:hanging="0"/>
        <w:outlineLvl w:val="0"/>
        <w:rPr/>
      </w:pPr>
      <w:bookmarkStart w:id="0" w:name="_Toc186224270"/>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ind w:left="0" w:hanging="0"/>
        <w:outlineLvl w:val="0"/>
        <w:rPr/>
      </w:pPr>
      <w:bookmarkStart w:id="1" w:name="_Toc186224271"/>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2" w:name="_Toc186224272"/>
      <w:bookmarkStart w:id="3" w:name="_Ref125359988"/>
      <w:r>
        <w:rPr/>
        <w:t>Основные сведения о закупке</w:t>
      </w:r>
      <w:bookmarkEnd w:id="2"/>
      <w:bookmarkEnd w:id="3"/>
    </w:p>
    <w:p>
      <w:pPr>
        <w:pStyle w:val="Style25"/>
        <w:rPr/>
      </w:pPr>
      <w:bookmarkStart w:id="4" w:name="_Toc186224273"/>
      <w:r>
        <w:rPr/>
        <w:t>Статус настоящего раздела</w:t>
      </w:r>
      <w:bookmarkEnd w:id="4"/>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5"/>
        <w:spacing w:before="360" w:after="120"/>
        <w:rPr/>
      </w:pPr>
      <w:bookmarkStart w:id="6" w:name="_Toc186224274"/>
      <w:bookmarkStart w:id="7" w:name="_Ref127270076"/>
      <w:bookmarkStart w:id="8" w:name="_Ref125359973"/>
      <w:r>
        <w:rPr/>
        <w:t>Информация о проводимой закупке</w:t>
      </w:r>
      <w:bookmarkEnd w:id="6"/>
      <w:bookmarkEnd w:id="7"/>
      <w:bookmarkEnd w:id="8"/>
    </w:p>
    <w:tbl>
      <w:tblPr>
        <w:tblStyle w:val="af5"/>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2"/>
        <w:gridCol w:w="3083"/>
        <w:gridCol w:w="5839"/>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083"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39"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9" w:name="_Ref125360980"/>
            <w:bookmarkStart w:id="10" w:name="_Ref125360980"/>
            <w:bookmarkEnd w:id="1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39" w:type="dxa"/>
            <w:tcBorders/>
          </w:tcPr>
          <w:p>
            <w:pPr>
              <w:pStyle w:val="Style30"/>
              <w:widowControl w:val="false"/>
              <w:suppressAutoHyphens w:val="true"/>
              <w:spacing w:before="60" w:after="60"/>
              <w:rPr>
                <w:sz w:val="24"/>
                <w:szCs w:val="24"/>
              </w:rPr>
            </w:pPr>
            <w:r>
              <w:rPr>
                <w:rFonts w:eastAsia="Calibri" w:cs=""/>
                <w:kern w:val="0"/>
                <w:sz w:val="24"/>
                <w:szCs w:val="24"/>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96"/>
            <w:bookmarkStart w:id="12" w:name="_Ref125360996"/>
            <w:bookmarkEnd w:id="1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39" w:type="dxa"/>
            <w:tcBorders/>
          </w:tcPr>
          <w:p>
            <w:pPr>
              <w:pStyle w:val="Normal"/>
              <w:keepNext w:val="true"/>
              <w:widowControl w:val="false"/>
              <w:spacing w:before="240" w:after="0"/>
              <w:jc w:val="left"/>
              <w:rPr>
                <w:rStyle w:val="Style11"/>
              </w:rPr>
            </w:pPr>
            <w:r>
              <w:rPr>
                <w:rStyle w:val="Style11"/>
                <w:rFonts w:eastAsia="Calibri" w:cs=""/>
                <w:color w:val="000000"/>
                <w:kern w:val="0"/>
                <w:sz w:val="26"/>
                <w:szCs w:val="22"/>
                <w:shd w:fill="auto" w:val="clear"/>
                <w:lang w:val="ru-RU" w:eastAsia="en-US" w:bidi="ar-SA"/>
              </w:rPr>
              <w:t>Л</w:t>
            </w:r>
            <w:r>
              <w:rPr>
                <w:rStyle w:val="Style11"/>
                <w:rFonts w:eastAsia="Calibri" w:cs=""/>
                <w:b/>
                <w:bCs/>
                <w:color w:val="000000"/>
                <w:kern w:val="0"/>
                <w:sz w:val="24"/>
                <w:szCs w:val="24"/>
                <w:shd w:fill="auto" w:val="clear"/>
                <w:lang w:val="ru-RU" w:eastAsia="en-US" w:bidi="ar-SA"/>
              </w:rPr>
              <w:t xml:space="preserve">от № </w:t>
            </w:r>
            <w:r>
              <w:rPr>
                <w:rStyle w:val="Style11"/>
                <w:rFonts w:eastAsia="Times New Roman" w:cs="Times New Roman"/>
                <w:b/>
                <w:bCs/>
                <w:i/>
                <w:color w:val="000000"/>
                <w:kern w:val="0"/>
                <w:sz w:val="24"/>
                <w:szCs w:val="24"/>
                <w:shd w:fill="auto" w:val="clear"/>
                <w:lang w:val="en-US" w:eastAsia="en-US" w:bidi="ar-SA"/>
              </w:rPr>
              <w:t>1-ТПиР-ОНМ-2026-СарГЭС</w:t>
            </w:r>
            <w:r>
              <w:rPr>
                <w:rStyle w:val="Style11"/>
                <w:rFonts w:eastAsia="Calibri" w:cs=""/>
                <w:b/>
                <w:bCs/>
                <w:color w:val="000000"/>
                <w:kern w:val="0"/>
                <w:sz w:val="24"/>
                <w:szCs w:val="24"/>
                <w:shd w:fill="auto" w:val="clear"/>
                <w:lang w:val="ru-RU" w:eastAsia="en-US" w:bidi="ar-SA"/>
              </w:rPr>
              <w:t> </w:t>
            </w:r>
          </w:p>
          <w:p>
            <w:pPr>
              <w:pStyle w:val="Normal"/>
              <w:widowControl w:val="false"/>
              <w:spacing w:before="240" w:after="0"/>
              <w:jc w:val="left"/>
              <w:rPr>
                <w:rStyle w:val="Style11"/>
              </w:rPr>
            </w:pPr>
            <w:r>
              <w:rPr/>
            </w:r>
          </w:p>
          <w:p>
            <w:pPr>
              <w:pStyle w:val="Normal"/>
              <w:widowControl w:val="false"/>
              <w:spacing w:before="0" w:after="160"/>
              <w:jc w:val="left"/>
              <w:rPr/>
            </w:pPr>
            <w:r>
              <w:rPr>
                <w:rStyle w:val="Style11"/>
                <w:rFonts w:eastAsia="Calibri" w:cs="" w:cstheme="minorBidi" w:eastAsiaTheme="minorHAnsi"/>
                <w:b/>
                <w:bCs/>
                <w:i/>
                <w:iCs/>
                <w:color w:val="000000"/>
                <w:kern w:val="0"/>
                <w:sz w:val="24"/>
                <w:szCs w:val="24"/>
                <w:shd w:fill="auto" w:val="clear"/>
                <w:lang w:val="ru-RU" w:eastAsia="en-US" w:bidi="ar-SA"/>
              </w:rPr>
              <w:t>«ОКПД2 28.99.39.190 Приобретение аппаратов аварийного всплытия (12 шт.) для нужд Филиала ПАО «РусГидро» – «Саратовская ГЭС» в рамках реализации инвестиционного проекта T-1300-00088»</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35729276"/>
            <w:bookmarkStart w:id="14" w:name="_Ref135729276"/>
            <w:bookmarkEnd w:id="1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39" w:type="dxa"/>
            <w:tcBorders/>
          </w:tcPr>
          <w:p>
            <w:pPr>
              <w:pStyle w:val="Style30"/>
              <w:widowControl w:val="false"/>
              <w:suppressAutoHyphens w:val="true"/>
              <w:spacing w:before="60" w:after="60"/>
              <w:rPr/>
            </w:pPr>
            <w:r>
              <w:rPr>
                <w:rFonts w:eastAsia="Calibri" w:cs=""/>
                <w:kern w:val="0"/>
                <w:sz w:val="24"/>
                <w:szCs w:val="24"/>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4"/>
                  <w:szCs w:val="24"/>
                  <w:lang w:val="ru-RU" w:eastAsia="en-US" w:bidi="ar-SA"/>
                </w:rPr>
                <w:t>Технических требованиях (Приложении № 1)</w:t>
              </w:r>
            </w:hyperlink>
            <w:r>
              <w:rPr>
                <w:rFonts w:eastAsia="Calibri" w:cs=""/>
                <w:kern w:val="0"/>
                <w:sz w:val="24"/>
                <w:szCs w:val="24"/>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39" w:type="dxa"/>
            <w:tcBorders/>
          </w:tcPr>
          <w:p>
            <w:pPr>
              <w:pStyle w:val="Style30"/>
              <w:widowControl w:val="false"/>
              <w:suppressAutoHyphens w:val="true"/>
              <w:spacing w:before="60" w:after="60"/>
              <w:rPr>
                <w:sz w:val="24"/>
                <w:szCs w:val="24"/>
              </w:rPr>
            </w:pPr>
            <w:r>
              <w:rPr>
                <w:rFonts w:eastAsia="Calibri" w:cs=""/>
                <w:kern w:val="0"/>
                <w:sz w:val="24"/>
                <w:szCs w:val="24"/>
                <w:lang w:val="ru-RU" w:eastAsia="en-US" w:bidi="ar-SA"/>
              </w:rPr>
              <w:t>Нет.</w:t>
            </w:r>
          </w:p>
          <w:p>
            <w:pPr>
              <w:pStyle w:val="Style33"/>
              <w:widowControl w:val="false"/>
              <w:suppressAutoHyphens w:val="true"/>
              <w:spacing w:before="60" w:after="60"/>
              <w:rPr>
                <w:sz w:val="24"/>
                <w:szCs w:val="24"/>
              </w:rPr>
            </w:pPr>
            <w:r>
              <w:rPr>
                <w:sz w:val="24"/>
                <w:szCs w:val="24"/>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39" w:type="dxa"/>
            <w:tcBorders/>
          </w:tcPr>
          <w:p>
            <w:pPr>
              <w:pStyle w:val="Normal"/>
              <w:widowControl w:val="false"/>
              <w:spacing w:before="120" w:after="0"/>
              <w:rPr>
                <w:sz w:val="24"/>
                <w:szCs w:val="24"/>
              </w:rPr>
            </w:pPr>
            <w:r>
              <w:rPr>
                <w:sz w:val="24"/>
                <w:szCs w:val="24"/>
              </w:rPr>
              <w:t>Акционерное общество «Российский аукционный дом» (ИНН: 7838430413, КПП: 783801001, ОГРН: 1097847233351).</w:t>
            </w:r>
          </w:p>
          <w:p>
            <w:pPr>
              <w:pStyle w:val="Normal"/>
              <w:widowControl w:val="false"/>
              <w:rPr>
                <w:sz w:val="24"/>
                <w:szCs w:val="24"/>
              </w:rPr>
            </w:pPr>
            <w:r>
              <w:rPr>
                <w:sz w:val="24"/>
                <w:szCs w:val="24"/>
              </w:rPr>
              <w:t>Место нахождения и Почтовый адрес: РФ, 190000, г. Санкт-Петербург, переулок Гривцова, дом 5, литера B.</w:t>
            </w:r>
          </w:p>
          <w:p>
            <w:pPr>
              <w:pStyle w:val="Normal"/>
              <w:widowControl w:val="false"/>
              <w:tabs>
                <w:tab w:val="clear" w:pos="708"/>
                <w:tab w:val="left" w:pos="426" w:leader="none"/>
              </w:tabs>
              <w:spacing w:before="120" w:after="120"/>
              <w:rPr/>
            </w:pPr>
            <w:r>
              <w:rPr>
                <w:rFonts w:eastAsia="Calibri" w:cs=""/>
                <w:kern w:val="0"/>
                <w:sz w:val="24"/>
                <w:szCs w:val="24"/>
                <w:lang w:val="ru-RU" w:eastAsia="en-US" w:bidi="ar-SA"/>
              </w:rPr>
              <w:t xml:space="preserve">ЭТП РАД | «Закупки 223-ФЗ» </w:t>
            </w:r>
            <w:hyperlink r:id="rId2">
              <w:r>
                <w:rPr>
                  <w:rStyle w:val="Hyperlink"/>
                  <w:rFonts w:eastAsia="Calibri" w:cs=""/>
                  <w:kern w:val="0"/>
                  <w:sz w:val="24"/>
                  <w:szCs w:val="24"/>
                  <w:lang w:val="ru-RU" w:eastAsia="en-US" w:bidi="ar-SA"/>
                </w:rPr>
                <w:t>https://tender.lot-online.ru</w:t>
              </w:r>
            </w:hyperlink>
            <w:r>
              <w:rPr>
                <w:rFonts w:eastAsia="Calibri" w:cs=""/>
                <w:kern w:val="0"/>
                <w:sz w:val="24"/>
                <w:szCs w:val="24"/>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39" w:type="dxa"/>
            <w:tcBorders/>
          </w:tcPr>
          <w:p>
            <w:pPr>
              <w:pStyle w:val="Style30"/>
              <w:widowControl w:val="false"/>
              <w:suppressAutoHyphens w:val="true"/>
              <w:spacing w:before="60" w:after="60"/>
              <w:rPr>
                <w:sz w:val="24"/>
                <w:szCs w:val="24"/>
              </w:rPr>
            </w:pPr>
            <w:r>
              <w:rPr>
                <w:rFonts w:eastAsia="Calibri" w:cs=""/>
                <w:kern w:val="0"/>
                <w:sz w:val="24"/>
                <w:szCs w:val="24"/>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0"/>
              <w:widowControl w:val="false"/>
              <w:suppressAutoHyphens w:val="true"/>
              <w:spacing w:before="60" w:after="60"/>
              <w:rPr/>
            </w:pPr>
            <w:r>
              <w:rPr>
                <w:rFonts w:eastAsia="Calibri" w:cs=""/>
                <w:kern w:val="0"/>
                <w:sz w:val="24"/>
                <w:szCs w:val="24"/>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4"/>
                  <w:szCs w:val="24"/>
                  <w:lang w:val="ru-RU" w:eastAsia="en-US" w:bidi="ar-SA"/>
                </w:rPr>
                <w:t>Проекта Договора (Приложение № 2)</w:t>
              </w:r>
            </w:hyperlink>
            <w:r>
              <w:rPr>
                <w:rFonts w:eastAsia="Calibri" w:cs=""/>
                <w:kern w:val="0"/>
                <w:sz w:val="24"/>
                <w:szCs w:val="24"/>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39" w:type="dxa"/>
            <w:tcBorders/>
          </w:tcPr>
          <w:p>
            <w:pPr>
              <w:pStyle w:val="Tableheader"/>
              <w:widowControl w:val="false"/>
              <w:spacing w:before="120" w:after="0"/>
              <w:rPr>
                <w:b w:val="false"/>
                <w:sz w:val="24"/>
              </w:rPr>
            </w:pPr>
            <w:r>
              <w:rPr>
                <w:b w:val="false"/>
                <w:sz w:val="24"/>
              </w:rPr>
              <w:t>Наименование (полное и сокращенное): Филиал Публичного акционерного общества «Федеральная гидрогенерирующая компания – РусГидро» – «Саратовская ГЭС» (Филиал ПАО «РусГидро» – «Саратовская ГЭС»)</w:t>
            </w:r>
          </w:p>
          <w:p>
            <w:pPr>
              <w:pStyle w:val="Tableheader"/>
              <w:widowControl w:val="false"/>
              <w:rPr>
                <w:b w:val="false"/>
                <w:sz w:val="24"/>
              </w:rPr>
            </w:pPr>
            <w:r>
              <w:rPr>
                <w:b w:val="false"/>
                <w:sz w:val="24"/>
              </w:rPr>
              <w:t xml:space="preserve">Место нахождения: </w:t>
            </w:r>
          </w:p>
          <w:p>
            <w:pPr>
              <w:pStyle w:val="Tableheader"/>
              <w:widowControl w:val="false"/>
              <w:rPr>
                <w:b w:val="false"/>
                <w:sz w:val="24"/>
              </w:rPr>
            </w:pPr>
            <w:r>
              <w:rPr>
                <w:rFonts w:eastAsia="Calibri" w:cs=""/>
                <w:b w:val="false"/>
                <w:kern w:val="0"/>
                <w:sz w:val="26"/>
                <w:szCs w:val="22"/>
                <w:lang w:val="ru-RU" w:eastAsia="en-US" w:bidi="ar-SA"/>
              </w:rPr>
              <w:t>660049, Красноярский край, г.о. Красноярск, г. Красноярск, ул. Перенсона, зд. 2а, помещ. 1</w:t>
            </w:r>
          </w:p>
          <w:p>
            <w:pPr>
              <w:pStyle w:val="Tableheader"/>
              <w:widowControl w:val="false"/>
              <w:rPr>
                <w:b w:val="false"/>
                <w:sz w:val="24"/>
              </w:rPr>
            </w:pPr>
            <w:r>
              <w:rPr>
                <w:b w:val="false"/>
                <w:sz w:val="24"/>
              </w:rPr>
              <w:t>Почтовый адрес: 413865, регион 64, Саратовская ГЭС,  г. Балаково, Саратовская ГЭС</w:t>
            </w:r>
          </w:p>
          <w:p>
            <w:pPr>
              <w:pStyle w:val="Tableheader"/>
              <w:widowControl w:val="false"/>
              <w:rPr>
                <w:b w:val="false"/>
                <w:sz w:val="24"/>
              </w:rPr>
            </w:pPr>
            <w:r>
              <w:rPr>
                <w:b w:val="false"/>
                <w:sz w:val="24"/>
              </w:rPr>
              <w:t>Адрес электронной почты: sarges@rushydro.ru</w:t>
            </w:r>
          </w:p>
          <w:p>
            <w:pPr>
              <w:pStyle w:val="Normal"/>
              <w:widowControl w:val="false"/>
              <w:tabs>
                <w:tab w:val="clear" w:pos="708"/>
                <w:tab w:val="left" w:pos="426" w:leader="none"/>
              </w:tabs>
              <w:spacing w:before="120" w:after="120"/>
              <w:rPr>
                <w:rFonts w:eastAsia="Lucida Sans Unicode"/>
                <w:i/>
                <w:i/>
                <w:kern w:val="2"/>
                <w:shd w:fill="FFFF99" w:val="clear"/>
              </w:rPr>
            </w:pPr>
            <w:r>
              <w:rPr>
                <w:sz w:val="24"/>
                <w:szCs w:val="24"/>
              </w:rPr>
              <w:t>Контактный телефон: +7(8453)442065</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39" w:type="dxa"/>
            <w:tcBorders/>
          </w:tcPr>
          <w:p>
            <w:pPr>
              <w:pStyle w:val="Tableheader"/>
              <w:widowControl w:val="false"/>
              <w:spacing w:before="120" w:after="0"/>
              <w:rPr>
                <w:b w:val="false"/>
                <w:sz w:val="24"/>
              </w:rPr>
            </w:pPr>
            <w:r>
              <w:rPr>
                <w:b w:val="false"/>
                <w:sz w:val="24"/>
              </w:rPr>
              <w:t>Наименование (полное и сокращенное): Филиал Публичного акционерного общества «Федеральная гидрогенерирующая компания – РусГидро» – «Саратовская ГЭС» (Филиал ПАО «РусГидро» – «Саратовская ГЭС»)</w:t>
            </w:r>
          </w:p>
          <w:p>
            <w:pPr>
              <w:pStyle w:val="Tableheader"/>
              <w:widowControl w:val="false"/>
              <w:rPr>
                <w:b w:val="false"/>
                <w:sz w:val="24"/>
              </w:rPr>
            </w:pPr>
            <w:r>
              <w:rPr>
                <w:b w:val="false"/>
                <w:sz w:val="24"/>
              </w:rPr>
              <w:t xml:space="preserve">Место нахождения: 660017, Красноярский край, г. Красноярск, </w:t>
            </w:r>
            <w:r>
              <w:rPr>
                <w:rFonts w:eastAsia="Calibri" w:cs=""/>
                <w:b w:val="false"/>
                <w:kern w:val="0"/>
                <w:sz w:val="26"/>
                <w:szCs w:val="22"/>
                <w:lang w:val="ru-RU" w:eastAsia="en-US" w:bidi="ar-SA"/>
              </w:rPr>
              <w:t>ул. Перенсона, зд. 2а, помещ. 1</w:t>
            </w:r>
          </w:p>
          <w:p>
            <w:pPr>
              <w:pStyle w:val="Tableheader"/>
              <w:widowControl w:val="false"/>
              <w:rPr>
                <w:b w:val="false"/>
                <w:sz w:val="24"/>
              </w:rPr>
            </w:pPr>
            <w:r>
              <w:rPr>
                <w:b w:val="false"/>
                <w:sz w:val="24"/>
              </w:rPr>
              <w:t>Почтовый адрес: 413865, регион 64, Саратовская ГЭС,  г. Балаково, Саратовская ГЭС</w:t>
            </w:r>
          </w:p>
          <w:p>
            <w:pPr>
              <w:pStyle w:val="Tableheader"/>
              <w:widowControl w:val="false"/>
              <w:rPr>
                <w:b w:val="false"/>
                <w:sz w:val="24"/>
              </w:rPr>
            </w:pPr>
            <w:r>
              <w:rPr>
                <w:b w:val="false"/>
                <w:sz w:val="24"/>
              </w:rPr>
              <w:t>Адрес электронной почты: sarges@rushydro.ru</w:t>
            </w:r>
          </w:p>
          <w:p>
            <w:pPr>
              <w:pStyle w:val="Normal"/>
              <w:widowControl w:val="false"/>
              <w:tabs>
                <w:tab w:val="clear" w:pos="708"/>
                <w:tab w:val="left" w:pos="426" w:leader="none"/>
              </w:tabs>
              <w:spacing w:before="120" w:after="120"/>
              <w:rPr>
                <w:rFonts w:eastAsia="Lucida Sans Unicode"/>
                <w:i/>
                <w:i/>
                <w:kern w:val="2"/>
                <w:shd w:fill="FFFF99" w:val="clear"/>
              </w:rPr>
            </w:pPr>
            <w:r>
              <w:rPr>
                <w:sz w:val="24"/>
                <w:szCs w:val="24"/>
              </w:rPr>
              <w:t>Контактный телефон: +7(8453)442065</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39" w:type="dxa"/>
            <w:tcBorders/>
          </w:tcPr>
          <w:p>
            <w:pPr>
              <w:pStyle w:val="Tableheader"/>
              <w:widowControl w:val="false"/>
              <w:spacing w:before="120" w:after="120"/>
              <w:rPr>
                <w:b w:val="false"/>
                <w:sz w:val="24"/>
              </w:rPr>
            </w:pPr>
            <w:r>
              <w:rPr>
                <w:b w:val="false"/>
                <w:sz w:val="24"/>
              </w:rPr>
              <w:t xml:space="preserve">Контактные лица (Ф.И.О.): Демченко Марина Сергеевна, </w:t>
            </w:r>
          </w:p>
          <w:p>
            <w:pPr>
              <w:pStyle w:val="Tableheader"/>
              <w:widowControl w:val="false"/>
              <w:spacing w:before="120" w:after="120"/>
              <w:rPr>
                <w:b w:val="false"/>
                <w:sz w:val="24"/>
              </w:rPr>
            </w:pPr>
            <w:r>
              <w:rPr>
                <w:b w:val="false"/>
                <w:sz w:val="24"/>
              </w:rPr>
              <w:t>Контактные телефоны +</w:t>
            </w:r>
            <w:r>
              <w:rPr>
                <w:sz w:val="24"/>
              </w:rPr>
              <w:t>7(8453)49-54-56</w:t>
            </w:r>
            <w:r>
              <w:rPr>
                <w:b w:val="false"/>
                <w:sz w:val="24"/>
              </w:rPr>
              <w:t xml:space="preserve">, </w:t>
            </w:r>
          </w:p>
          <w:p>
            <w:pPr>
              <w:pStyle w:val="Normal"/>
              <w:widowControl w:val="false"/>
              <w:tabs>
                <w:tab w:val="clear" w:pos="708"/>
                <w:tab w:val="left" w:pos="426" w:leader="none"/>
              </w:tabs>
              <w:spacing w:before="120" w:after="120"/>
              <w:rPr>
                <w:rFonts w:eastAsia="Lucida Sans Unicode"/>
                <w:i/>
                <w:i/>
                <w:kern w:val="2"/>
                <w:shd w:fill="FFFF99" w:val="clear"/>
              </w:rPr>
            </w:pPr>
            <w:r>
              <w:rPr>
                <w:rStyle w:val="Style11"/>
                <w:sz w:val="24"/>
                <w:szCs w:val="24"/>
                <w:shd w:fill="auto" w:val="clear"/>
              </w:rPr>
              <w:t>Адрес электронной почты:</w:t>
            </w:r>
            <w:r>
              <w:rPr>
                <w:rStyle w:val="Style11"/>
                <w:sz w:val="24"/>
                <w:szCs w:val="24"/>
              </w:rPr>
              <w:t xml:space="preserve"> </w:t>
            </w:r>
            <w:hyperlink r:id="rId3">
              <w:r>
                <w:rPr>
                  <w:rStyle w:val="Hyperlink"/>
                  <w:sz w:val="24"/>
                  <w:szCs w:val="24"/>
                </w:rPr>
                <w:t>DemchenkoMS@rushydro.ru</w:t>
              </w:r>
            </w:hyperlink>
            <w:r>
              <w:rPr>
                <w:rStyle w:val="Style11"/>
                <w:sz w:val="24"/>
                <w:szCs w:val="24"/>
                <w:shd w:fill="auto" w:val="clear"/>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39" w:type="dxa"/>
            <w:tcBorders/>
          </w:tcPr>
          <w:p>
            <w:pPr>
              <w:pStyle w:val="Style30"/>
              <w:widowControl w:val="false"/>
              <w:suppressAutoHyphens w:val="true"/>
              <w:spacing w:before="60" w:after="60"/>
              <w:rPr>
                <w:rFonts w:eastAsia="Calibri" w:cs="" w:cstheme="minorBidi" w:eastAsiaTheme="minorHAnsi"/>
                <w:highlight w:val="none"/>
                <w:shd w:fill="FFFF00" w:val="clear"/>
              </w:rPr>
            </w:pPr>
            <w:r>
              <w:rPr>
                <w:rFonts w:eastAsia="Calibri" w:cs="" w:cstheme="minorBidi" w:eastAsiaTheme="minorHAnsi"/>
                <w:b/>
                <w:bCs/>
                <w:i/>
                <w:iCs/>
                <w:kern w:val="0"/>
                <w:sz w:val="26"/>
                <w:szCs w:val="22"/>
                <w:shd w:fill="FFFF00" w:val="clear"/>
                <w:lang w:val="ru-RU" w:eastAsia="en-US" w:bidi="ar-SA"/>
              </w:rPr>
              <w:t>«29» мая  2026 г.</w:t>
            </w:r>
          </w:p>
          <w:p>
            <w:pPr>
              <w:pStyle w:val="Style30"/>
              <w:widowControl w:val="false"/>
              <w:suppressAutoHyphens w:val="true"/>
              <w:spacing w:before="60" w:after="60"/>
              <w:rPr>
                <w:rStyle w:val="Style11"/>
              </w:rPr>
            </w:pPr>
            <w:r>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39" w:type="dxa"/>
            <w:tcBorders/>
          </w:tcPr>
          <w:p>
            <w:pPr>
              <w:pStyle w:val="Style30"/>
              <w:widowControl w:val="false"/>
              <w:suppressAutoHyphens w:val="true"/>
              <w:spacing w:before="60" w:after="60"/>
              <w:rPr>
                <w:rStyle w:val="Style11"/>
              </w:rPr>
            </w:pPr>
            <w:r>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НМЦ составляет </w:t>
            </w:r>
            <w:r>
              <w:rPr>
                <w:rFonts w:eastAsia="Calibri" w:cs=""/>
                <w:b/>
                <w:bCs/>
                <w:kern w:val="0"/>
                <w:sz w:val="26"/>
                <w:szCs w:val="22"/>
                <w:lang w:val="ru-RU" w:eastAsia="en-US" w:bidi="ar-SA"/>
              </w:rPr>
              <w:t>2 815 338,49</w:t>
            </w:r>
            <w:r>
              <w:rPr>
                <w:rFonts w:eastAsia="Times New Roman" w:cs="Times New Roman"/>
                <w:b/>
                <w:bCs/>
                <w:i/>
                <w:iCs/>
                <w:kern w:val="0"/>
                <w:sz w:val="26"/>
                <w:szCs w:val="22"/>
                <w:u w:val="none"/>
                <w:lang w:val="ru-RU" w:eastAsia="en-US" w:bidi="ar-SA"/>
              </w:rPr>
              <w:t xml:space="preserve"> </w:t>
            </w:r>
            <w:r>
              <w:rPr>
                <w:rFonts w:eastAsia="Calibri" w:cs=""/>
                <w:b/>
                <w:bCs/>
                <w:i/>
                <w:iCs/>
                <w:kern w:val="0"/>
                <w:sz w:val="26"/>
                <w:szCs w:val="22"/>
                <w:u w:val="none"/>
                <w:lang w:val="ru-RU" w:eastAsia="en-US" w:bidi="ar-SA"/>
              </w:rPr>
              <w:t> </w:t>
            </w:r>
            <w:r>
              <w:rPr>
                <w:rFonts w:eastAsia="Calibri" w:cs=""/>
                <w:kern w:val="0"/>
                <w:sz w:val="26"/>
                <w:szCs w:val="22"/>
                <w:lang w:val="ru-RU" w:eastAsia="en-US" w:bidi="ar-SA"/>
              </w:rPr>
              <w:t>руб., без учета НДС.</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p>
            <w:pPr>
              <w:pStyle w:val="Style30"/>
              <w:widowControl w:val="false"/>
              <w:suppressAutoHyphens w:val="true"/>
              <w:spacing w:before="60" w:after="60"/>
              <w:rPr>
                <w:rStyle w:val="Style11"/>
              </w:rPr>
            </w:pPr>
            <w:r>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39" w:type="dxa"/>
            <w:tcBorders/>
          </w:tcPr>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39" w:type="dxa"/>
            <w:tcBorders/>
          </w:tcPr>
          <w:p>
            <w:pPr>
              <w:pStyle w:val="Style33"/>
              <w:widowControl w:val="false"/>
              <w:suppressAutoHyphens w:val="true"/>
              <w:spacing w:before="60" w:after="60"/>
              <w:rPr>
                <w:rFonts w:eastAsia="Calibri" w:cs=""/>
                <w:kern w:val="0"/>
                <w:sz w:val="12"/>
                <w:szCs w:val="12"/>
                <w:lang w:val="ru-RU" w:eastAsia="en-US" w:bidi="ar-SA"/>
              </w:rPr>
            </w:pPr>
            <w:r>
              <w:rPr>
                <w:rFonts w:eastAsia="Calibri" w:cs=""/>
                <w:kern w:val="0"/>
                <w:sz w:val="12"/>
                <w:szCs w:val="12"/>
                <w:lang w:val="ru-RU" w:eastAsia="en-US" w:bidi="ar-SA"/>
              </w:rPr>
            </w:r>
          </w:p>
          <w:p>
            <w:pPr>
              <w:pStyle w:val="Style30"/>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pPr>
            <w:r>
              <w:rPr>
                <w:rFonts w:eastAsia="Calibri" w:cs=""/>
                <w:kern w:val="0"/>
                <w:sz w:val="26"/>
                <w:szCs w:val="22"/>
                <w:lang w:val="ru-RU" w:eastAsia="en-US" w:bidi="ar-SA"/>
              </w:rPr>
              <w:t>Применение законодательства о национальном режиме:</w:t>
            </w:r>
          </w:p>
        </w:tc>
        <w:tc>
          <w:tcPr>
            <w:tcW w:w="5839" w:type="dxa"/>
            <w:tcBorders/>
          </w:tcPr>
          <w:p>
            <w:pPr>
              <w:pStyle w:val="Style30"/>
              <w:widowControl w:val="false"/>
              <w:suppressAutoHyphens w:val="true"/>
              <w:spacing w:before="60" w:after="60"/>
              <w:rPr>
                <w:b/>
                <w:bCs/>
                <w:i/>
                <w:i/>
                <w:iCs/>
              </w:rPr>
            </w:pPr>
            <w:r>
              <w:rPr>
                <w:rFonts w:eastAsia="Calibri" w:cs=""/>
                <w:b/>
                <w:bCs/>
                <w:i/>
                <w:iCs/>
                <w:kern w:val="0"/>
                <w:sz w:val="26"/>
                <w:szCs w:val="22"/>
                <w:lang w:val="ru-RU" w:eastAsia="en-US" w:bidi="ar-SA"/>
              </w:rPr>
              <w:t>Установлен режим ограничения закупки иностранной продукции (когда национальный режим не предоставляется).</w:t>
            </w:r>
          </w:p>
          <w:p>
            <w:pPr>
              <w:pStyle w:val="Style33"/>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533737"/>
            <w:bookmarkStart w:id="38" w:name="_Ref125533737"/>
            <w:bookmarkEnd w:id="38"/>
          </w:p>
        </w:tc>
        <w:tc>
          <w:tcPr>
            <w:tcW w:w="3083"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475086"/>
            <w:bookmarkStart w:id="40" w:name="_Ref125475086"/>
            <w:bookmarkEnd w:id="4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0779"/>
            <w:bookmarkStart w:id="42" w:name="_Ref125360779"/>
            <w:bookmarkEnd w:id="4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b/>
                <w:bCs/>
                <w:i/>
                <w:i/>
                <w:iCs/>
              </w:rPr>
            </w:pPr>
            <w:r>
              <w:rPr>
                <w:rFonts w:eastAsia="Calibri" w:cs=""/>
                <w:b/>
                <w:bCs/>
                <w:i/>
                <w:iCs/>
                <w:kern w:val="0"/>
                <w:sz w:val="26"/>
                <w:szCs w:val="22"/>
                <w:lang w:val="ru-RU" w:eastAsia="en-US" w:bidi="ar-SA"/>
              </w:rPr>
              <w:t>«29» мая 2026 г.</w:t>
            </w:r>
          </w:p>
          <w:p>
            <w:pPr>
              <w:pStyle w:val="Style30"/>
              <w:widowControl w:val="false"/>
              <w:suppressAutoHyphens w:val="true"/>
              <w:spacing w:before="60" w:after="60"/>
              <w:rPr>
                <w:rStyle w:val="Style11"/>
                <w:rFonts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b/>
                <w:bCs/>
                <w:i/>
                <w:i/>
                <w:iCs/>
              </w:rPr>
            </w:pPr>
            <w:r>
              <w:rPr>
                <w:rFonts w:eastAsia="Calibri" w:cs=""/>
                <w:b/>
                <w:bCs/>
                <w:i/>
                <w:iCs/>
                <w:kern w:val="0"/>
                <w:sz w:val="26"/>
                <w:szCs w:val="22"/>
                <w:lang w:val="ru-RU" w:eastAsia="en-US" w:bidi="ar-SA"/>
              </w:rPr>
              <w:t>«08» июня 2026 г. в 13 ч. 00 мин.</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i/>
                <w:iCs/>
                <w:kern w:val="0"/>
                <w:sz w:val="26"/>
                <w:szCs w:val="22"/>
                <w:lang w:val="ru-RU" w:eastAsia="en-US" w:bidi="ar-SA"/>
              </w:rPr>
              <w:t>«08» июня 2026 г. в 13 ч. 00 мин.</w:t>
            </w:r>
            <w:r>
              <w:rPr>
                <w:rFonts w:eastAsia="Calibri" w:cs=""/>
                <w:kern w:val="0"/>
                <w:sz w:val="26"/>
                <w:szCs w:val="22"/>
                <w:lang w:val="ru-RU" w:eastAsia="en-US" w:bidi="ar-SA"/>
              </w:rPr>
              <w:t>.</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476197"/>
            <w:bookmarkStart w:id="44" w:name="_Ref125476197"/>
            <w:bookmarkEnd w:id="4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362733"/>
            <w:bookmarkStart w:id="46" w:name="_Ref125362733"/>
            <w:bookmarkEnd w:id="4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839" w:type="dxa"/>
            <w:tcBorders/>
          </w:tcPr>
          <w:p>
            <w:pPr>
              <w:pStyle w:val="Style30"/>
              <w:widowControl w:val="false"/>
              <w:suppressAutoHyphens w:val="true"/>
              <w:spacing w:before="60" w:after="60"/>
              <w:rPr>
                <w:b/>
                <w:bCs/>
                <w:i/>
                <w:i/>
                <w:iCs/>
              </w:rPr>
            </w:pPr>
            <w:r>
              <w:rPr>
                <w:rStyle w:val="Style11"/>
                <w:rFonts w:eastAsia="Calibri" w:cs=""/>
                <w:b/>
                <w:bCs/>
                <w:i/>
                <w:iCs/>
                <w:kern w:val="0"/>
                <w:sz w:val="26"/>
                <w:szCs w:val="22"/>
                <w:lang w:val="ru-RU" w:eastAsia="en-US" w:bidi="ar-SA"/>
              </w:rPr>
              <w:t xml:space="preserve">«15» июня  2026 г. </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«15</w:t>
            </w:r>
            <w:r>
              <w:rPr>
                <w:rFonts w:eastAsia="Calibri" w:cs=""/>
                <w:b/>
                <w:bCs/>
                <w:i/>
                <w:iCs/>
                <w:kern w:val="0"/>
                <w:sz w:val="26"/>
                <w:szCs w:val="22"/>
                <w:lang w:val="ru-RU" w:eastAsia="en-US" w:bidi="ar-SA"/>
              </w:rPr>
              <w:t>» июня 2026 г. до 16 ч. 00 мин.</w:t>
            </w:r>
          </w:p>
          <w:p>
            <w:pPr>
              <w:pStyle w:val="Style30"/>
              <w:widowControl w:val="false"/>
              <w:suppressAutoHyphens w:val="true"/>
              <w:spacing w:before="60" w:after="60"/>
              <w:rPr>
                <w:rStyle w:val="Style11"/>
              </w:rPr>
            </w:pPr>
            <w:r>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1769"/>
            <w:bookmarkStart w:id="50" w:name="_Ref125361769"/>
            <w:bookmarkEnd w:id="5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39" w:type="dxa"/>
            <w:tcBorders/>
          </w:tcPr>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6606"/>
            <w:bookmarkStart w:id="52" w:name="_Ref125366606"/>
            <w:bookmarkEnd w:id="5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39" w:type="dxa"/>
            <w:tcBorders/>
          </w:tcPr>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533374"/>
            <w:bookmarkStart w:id="54" w:name="_Ref125533374"/>
            <w:bookmarkEnd w:id="5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839"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color w:val="000000"/>
                <w:kern w:val="0"/>
                <w:sz w:val="26"/>
                <w:szCs w:val="22"/>
                <w:lang w:val="ru-RU" w:eastAsia="en-US" w:bidi="ar-SA"/>
              </w:rPr>
              <w:t>ЭДО – СКБ Контур.Диадок,</w:t>
            </w:r>
            <w:r>
              <w:rPr>
                <w:rFonts w:eastAsia="Calibri" w:cs=""/>
                <w:kern w:val="0"/>
                <w:sz w:val="26"/>
                <w:szCs w:val="22"/>
                <w:lang w:val="ru-RU" w:eastAsia="en-US" w:bidi="ar-SA"/>
              </w:rP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39" w:type="dxa"/>
            <w:tcBorders/>
          </w:tcPr>
          <w:p>
            <w:pPr>
              <w:pStyle w:val="Tableheader"/>
              <w:widowControl w:val="false"/>
              <w:spacing w:before="120" w:after="120"/>
              <w:rPr>
                <w:b w:val="false"/>
                <w:sz w:val="26"/>
                <w:szCs w:val="26"/>
              </w:rPr>
            </w:pPr>
            <w:r>
              <w:rPr>
                <w:b w:val="false"/>
                <w:sz w:val="26"/>
                <w:szCs w:val="26"/>
              </w:rPr>
              <w:t>Почтовый адрес: 413865, регион 64, Саратовская область</w:t>
            </w:r>
          </w:p>
          <w:p>
            <w:pPr>
              <w:pStyle w:val="Tableheader"/>
              <w:widowControl w:val="false"/>
              <w:spacing w:before="120" w:after="120"/>
              <w:rPr>
                <w:b w:val="false"/>
                <w:sz w:val="26"/>
                <w:szCs w:val="26"/>
              </w:rPr>
            </w:pPr>
            <w:r>
              <w:rPr>
                <w:b w:val="false"/>
                <w:sz w:val="26"/>
                <w:szCs w:val="26"/>
              </w:rPr>
              <w:t>г. Балаково, Саратовская ГЭС</w:t>
            </w:r>
          </w:p>
          <w:p>
            <w:pPr>
              <w:pStyle w:val="Tableheader"/>
              <w:widowControl w:val="false"/>
              <w:spacing w:before="120" w:after="120"/>
              <w:rPr>
                <w:b w:val="false"/>
                <w:sz w:val="26"/>
                <w:szCs w:val="26"/>
              </w:rPr>
            </w:pPr>
            <w:r>
              <w:rPr>
                <w:b w:val="false"/>
                <w:sz w:val="26"/>
                <w:szCs w:val="26"/>
              </w:rPr>
              <w:t xml:space="preserve">Контактное лицо для приема документов (Ф.И.О.): </w:t>
            </w:r>
          </w:p>
          <w:p>
            <w:pPr>
              <w:pStyle w:val="Tableheader"/>
              <w:widowControl w:val="false"/>
              <w:spacing w:before="120" w:after="120"/>
              <w:rPr>
                <w:b w:val="false"/>
                <w:sz w:val="26"/>
                <w:szCs w:val="26"/>
              </w:rPr>
            </w:pPr>
            <w:r>
              <w:rPr>
                <w:b w:val="false"/>
                <w:sz w:val="26"/>
                <w:szCs w:val="26"/>
              </w:rPr>
              <w:t>Прусакова Анна Федоровна</w:t>
            </w:r>
          </w:p>
          <w:p>
            <w:pPr>
              <w:pStyle w:val="Tableheader"/>
              <w:widowControl w:val="false"/>
              <w:spacing w:before="120" w:after="120"/>
              <w:rPr>
                <w:rStyle w:val="Style21"/>
                <w:i w:val="false"/>
                <w:i w:val="false"/>
                <w:sz w:val="26"/>
                <w:szCs w:val="26"/>
                <w:shd w:fill="auto" w:val="clear"/>
              </w:rPr>
            </w:pPr>
            <w:r>
              <w:rPr>
                <w:b w:val="false"/>
                <w:sz w:val="26"/>
                <w:szCs w:val="26"/>
              </w:rPr>
              <w:t>Контактный телефон+7(8453)49-53-68</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8490"/>
            <w:bookmarkStart w:id="58" w:name="_Ref125368490"/>
            <w:bookmarkEnd w:id="5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0"/>
              <w:widowControl w:val="false"/>
              <w:suppressAutoHyphens w:val="true"/>
              <w:spacing w:before="60" w:after="60"/>
              <w:rPr/>
            </w:pPr>
            <w:r>
              <w:rPr>
                <w:rFonts w:eastAsia="Calibri" w:cs=""/>
                <w:b/>
                <w:bCs/>
                <w:kern w:val="0"/>
                <w:sz w:val="26"/>
                <w:szCs w:val="22"/>
                <w:lang w:val="ru-RU" w:eastAsia="en-US" w:bidi="ar-SA"/>
              </w:rPr>
              <w:t>Внимание</w:t>
            </w:r>
            <w:r>
              <w:rPr>
                <w:rFonts w:eastAsia="Calibri" w:cs=""/>
                <w:kern w:val="0"/>
                <w:sz w:val="26"/>
                <w:szCs w:val="22"/>
                <w:lang w:val="ru-RU" w:eastAsia="en-US" w:bidi="ar-SA"/>
              </w:rPr>
              <w:t xml:space="preserve">! Корректировка пунктов Проекта договора, не допускается. Договор заключается в редакции </w:t>
            </w:r>
            <w:hyperlink w:anchor="Прил02_ПроектДоговора">
              <w:r>
                <w:rPr>
                  <w:rStyle w:val="Style14"/>
                  <w:rFonts w:eastAsia="Calibri" w:cs=""/>
                  <w:kern w:val="0"/>
                  <w:sz w:val="26"/>
                  <w:szCs w:val="22"/>
                  <w:lang w:val="ru-RU" w:eastAsia="en-US" w:bidi="ar-SA"/>
                </w:rPr>
                <w:t>Приложения № 2</w:t>
              </w:r>
            </w:hyperlink>
            <w:r>
              <w:rPr>
                <w:rFonts w:eastAsia="Calibri" w:cs=""/>
                <w:kern w:val="0"/>
                <w:sz w:val="26"/>
                <w:szCs w:val="22"/>
                <w:lang w:val="ru-RU" w:eastAsia="en-US" w:bidi="ar-SA"/>
              </w:rPr>
              <w:t>.</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op w:val="nil"/>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922" w:type="dxa"/>
            <w:gridSpan w:val="2"/>
            <w:tcBorders>
              <w:top w:val="nil"/>
            </w:tcBorders>
          </w:tcPr>
          <w:p>
            <w:pPr>
              <w:pStyle w:val="Normal"/>
              <w:widowControl w:val="false"/>
              <w:spacing w:before="120" w:after="120"/>
              <w:rPr/>
            </w:pPr>
            <w:r>
              <w:rPr>
                <w:b/>
              </w:rPr>
              <w:t>ВНИМАНИЕ!</w:t>
            </w:r>
            <w:r>
              <w:rPr/>
              <w:t xml:space="preserve"> Закупка проводится без переторжки. Участники могут подать ценовые предложения единожды </w:t>
            </w:r>
            <w:r>
              <w:rPr>
                <w:b/>
              </w:rPr>
              <w:t>до срока окончания подачи заявок</w:t>
            </w:r>
            <w:r>
              <w:rPr/>
              <w:t>.</w:t>
            </w:r>
          </w:p>
        </w:tc>
      </w:tr>
    </w:tbl>
    <w:p>
      <w:pPr>
        <w:pStyle w:val="Style24"/>
        <w:rPr/>
      </w:pPr>
      <w:bookmarkStart w:id="59" w:name="_Ref125360073"/>
      <w:bookmarkStart w:id="60" w:name="_Ref125360337"/>
      <w:bookmarkStart w:id="61" w:name="_Toc186224275"/>
      <w:r>
        <w:rPr/>
        <w:t>Общие положения</w:t>
      </w:r>
      <w:bookmarkEnd w:id="59"/>
      <w:bookmarkEnd w:id="60"/>
      <w:bookmarkEnd w:id="61"/>
    </w:p>
    <w:p>
      <w:pPr>
        <w:pStyle w:val="Style25"/>
        <w:rPr/>
      </w:pPr>
      <w:bookmarkStart w:id="62" w:name="_Toc186224276"/>
      <w:r>
        <w:rPr/>
        <w:t>Общие сведения о закупке</w:t>
      </w:r>
      <w:bookmarkEnd w:id="62"/>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3" w:name="_Toc186224277"/>
      <w:r>
        <w:rPr/>
        <w:t>Правовой статус документов</w:t>
      </w:r>
      <w:bookmarkEnd w:id="63"/>
    </w:p>
    <w:p>
      <w:pPr>
        <w:pStyle w:val="Style26"/>
        <w:rPr/>
      </w:pPr>
      <w:r>
        <w:rPr/>
        <w:t>Состязательный отбор не является конкурентной процедурой в соответствии с действующим законопдательством.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5" w:name="_Toc186224278"/>
      <w:bookmarkStart w:id="66" w:name="_Ref125363536"/>
      <w:r>
        <w:rPr/>
        <w:t>Обжалование</w:t>
      </w:r>
      <w:bookmarkEnd w:id="65"/>
      <w:bookmarkEnd w:id="66"/>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7" w:name="_Toc186224279"/>
      <w:bookmarkStart w:id="68" w:name="_Ref125472658"/>
      <w:r>
        <w:rPr/>
        <w:t>Особые положения при проведении закупки с использованием ЭП</w:t>
      </w:r>
      <w:bookmarkEnd w:id="67"/>
      <w:bookmarkEnd w:id="68"/>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6"/>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5"/>
        <w:rPr/>
      </w:pPr>
      <w:bookmarkStart w:id="71" w:name="_Toc186224280"/>
      <w:r>
        <w:rPr/>
        <w:t>Прочие положения</w:t>
      </w:r>
      <w:bookmarkEnd w:id="71"/>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3" w:name="_Toc186224281"/>
      <w:bookmarkStart w:id="74" w:name="_Ref125361210"/>
      <w:r>
        <w:rPr/>
        <w:t>Требования к Участникам</w:t>
      </w:r>
      <w:bookmarkEnd w:id="73"/>
      <w:bookmarkEnd w:id="74"/>
    </w:p>
    <w:p>
      <w:pPr>
        <w:pStyle w:val="Style25"/>
        <w:rPr/>
      </w:pPr>
      <w:bookmarkStart w:id="75" w:name="_Toc186224282"/>
      <w:bookmarkStart w:id="76" w:name="_Ref127524530"/>
      <w:r>
        <w:rPr/>
        <w:t>Общие требования к Участникам</w:t>
      </w:r>
      <w:bookmarkEnd w:id="75"/>
      <w:bookmarkEnd w:id="76"/>
    </w:p>
    <w:p>
      <w:pPr>
        <w:pStyle w:val="Style26"/>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78" w:name="_Ref130305355"/>
      <w:bookmarkStart w:id="79" w:name="_Ref130308062"/>
      <w:bookmarkStart w:id="80" w:name="_Ref130308111"/>
      <w:bookmarkStart w:id="81" w:name="_Ref130308203"/>
      <w:bookmarkStart w:id="82" w:name="_Ref130308255"/>
      <w:bookmarkStart w:id="83" w:name="_Toc186224283"/>
      <w:bookmarkStart w:id="84" w:name="_Ref125361969"/>
      <w:bookmarkStart w:id="85" w:name="_Ref125361976"/>
      <w:r>
        <w:rPr/>
        <w:t>Коллективные участники</w:t>
      </w:r>
      <w:bookmarkEnd w:id="78"/>
      <w:bookmarkEnd w:id="79"/>
      <w:bookmarkEnd w:id="80"/>
      <w:bookmarkEnd w:id="81"/>
      <w:bookmarkEnd w:id="82"/>
      <w:bookmarkEnd w:id="83"/>
      <w:bookmarkEnd w:id="84"/>
      <w:bookmarkEnd w:id="85"/>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6"/>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1" w:name="_Toc186224284"/>
      <w:bookmarkStart w:id="92" w:name="_Ref125361702"/>
      <w:r>
        <w:rPr/>
        <w:t>Генеральные подрядчики</w:t>
      </w:r>
      <w:bookmarkEnd w:id="91"/>
      <w:bookmarkEnd w:id="92"/>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4"/>
          <w:footerReference w:type="default" r:id="rId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spacing w:lineRule="atLeast" w:line="288"/>
        <w:rPr/>
      </w:pPr>
      <w:bookmarkStart w:id="95" w:name="_Toc186224285"/>
      <w:bookmarkStart w:id="96" w:name="_Ref125361211"/>
      <w:bookmarkStart w:id="97" w:name="_Ref125367098"/>
      <w:bookmarkStart w:id="98" w:name="_Ref125367974"/>
      <w:bookmarkStart w:id="99" w:name="_Ref125367107"/>
      <w:r>
        <w:rPr/>
        <w:t>Порядок проведения закупки</w:t>
      </w:r>
      <w:bookmarkEnd w:id="95"/>
      <w:bookmarkEnd w:id="96"/>
      <w:bookmarkEnd w:id="97"/>
      <w:bookmarkEnd w:id="98"/>
      <w:bookmarkEnd w:id="99"/>
    </w:p>
    <w:p>
      <w:pPr>
        <w:pStyle w:val="Style25"/>
        <w:spacing w:lineRule="atLeast" w:line="57"/>
        <w:rPr/>
      </w:pPr>
      <w:bookmarkStart w:id="100" w:name="_Toc186224286"/>
      <w:bookmarkStart w:id="101" w:name="_Ref126141932"/>
      <w:r>
        <w:rPr/>
        <w:t>Общий порядок проведения закупки</w:t>
      </w:r>
      <w:bookmarkStart w:id="102" w:name="_Ref125361211_Копия_1"/>
      <w:bookmarkStart w:id="103" w:name="_Ref125367098_Копия_1"/>
      <w:bookmarkStart w:id="104" w:name="_Ref125367107_Копия_1"/>
      <w:bookmarkStart w:id="105" w:name="_Ref125367974_Копия_1"/>
      <w:bookmarkStart w:id="106" w:name="_Toc186224285_Копия_1"/>
      <w:bookmarkEnd w:id="100"/>
      <w:bookmarkEnd w:id="101"/>
      <w:bookmarkEnd w:id="102"/>
      <w:bookmarkEnd w:id="103"/>
      <w:bookmarkEnd w:id="104"/>
      <w:bookmarkEnd w:id="105"/>
      <w:bookmarkEnd w:id="106"/>
    </w:p>
    <w:p>
      <w:pPr>
        <w:pStyle w:val="Style26"/>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2"/>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keepLines w:val="false"/>
              <w:widowControl w:val="false"/>
              <w:suppressAutoHyphens w:val="true"/>
              <w:spacing w:before="40" w:after="40"/>
              <w:jc w:val="center"/>
              <w:rPr>
                <w:sz w:val="22"/>
                <w:szCs w:val="22"/>
              </w:rPr>
            </w:pPr>
            <w:r>
              <w:rPr>
                <w:rFonts w:eastAsia="Calibri" w:cs=""/>
                <w:b/>
                <w:bCs/>
                <w:kern w:val="0"/>
                <w:sz w:val="22"/>
                <w:szCs w:val="22"/>
                <w:lang w:val="ru-RU" w:eastAsia="en-US" w:bidi="ar-SA"/>
              </w:rPr>
              <w:t>Официальное размещение Извещения и Документации о закупке (подраздел </w:t>
            </w:r>
            <w:r>
              <w:rPr>
                <w:rFonts w:eastAsia="Calibri" w:cs=""/>
                <w:b/>
                <w:bCs/>
                <w:kern w:val="0"/>
                <w:sz w:val="22"/>
                <w:szCs w:val="22"/>
                <w:lang w:val="ru-RU" w:eastAsia="en-US" w:bidi="ar-SA"/>
              </w:rPr>
              <w:fldChar w:fldCharType="begin"/>
            </w:r>
            <w:r>
              <w:rPr>
                <w:sz w:val="22"/>
                <w:b/>
                <w:kern w:val="0"/>
                <w:szCs w:val="22"/>
                <w:bCs/>
                <w:rFonts w:eastAsia="Calibri" w:cs=""/>
                <w:lang w:val="ru-RU" w:eastAsia="en-US" w:bidi="ar-SA"/>
              </w:rPr>
              <w:instrText xml:space="preserve"> REF _Ref130286532 \r \h </w:instrText>
            </w:r>
            <w:r>
              <w:rPr>
                <w:sz w:val="22"/>
                <w:b/>
                <w:kern w:val="0"/>
                <w:szCs w:val="22"/>
                <w:bCs/>
                <w:rFonts w:eastAsia="Calibri" w:cs=""/>
                <w:lang w:val="ru-RU" w:eastAsia="en-US" w:bidi="ar-SA"/>
              </w:rPr>
              <w:fldChar w:fldCharType="separate"/>
            </w:r>
            <w:r>
              <w:rPr>
                <w:sz w:val="22"/>
                <w:b/>
                <w:kern w:val="0"/>
                <w:szCs w:val="22"/>
                <w:bCs/>
                <w:rFonts w:eastAsia="Calibri" w:cs=""/>
                <w:lang w:val="ru-RU" w:eastAsia="en-US" w:bidi="ar-SA"/>
              </w:rPr>
              <w:t>4.2</w:t>
            </w:r>
            <w:r>
              <w:rPr>
                <w:sz w:val="22"/>
                <w:b/>
                <w:kern w:val="0"/>
                <w:szCs w:val="22"/>
                <w:bCs/>
                <w:rFonts w:eastAsia="Calibri" w:cs=""/>
                <w:lang w:val="ru-RU" w:eastAsia="en-US" w:bidi="ar-SA"/>
              </w:rPr>
              <w:fldChar w:fldCharType="end"/>
            </w:r>
            <w:r>
              <w:rPr>
                <w:rFonts w:eastAsia="Calibri" w:cs=""/>
                <w:b/>
                <w:bCs/>
                <w:kern w:val="0"/>
                <w:sz w:val="22"/>
                <w:szCs w:val="22"/>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Подготовка заявки (раздел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_Ref130281199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4.3</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r>
          </w:p>
        </w:tc>
        <w:tc>
          <w:tcPr>
            <w:tcW w:w="2409" w:type="dxa"/>
            <w:vMerge w:val="restart"/>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Предоставление разъяснений положений Документации о закупке</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_Ref130394802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4.4</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c>
          <w:tcPr>
            <w:tcW w:w="2267" w:type="dxa"/>
            <w:vMerge w:val="restart"/>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Внесение изменений в Извещение и (или) Документацию о закупке</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_Ref125362076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4.5</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Отказ от проведения закупки (отмена закупки)</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_Ref126141962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4.16</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Подача заявок и их прием</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_Ref125362119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4.6</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r>
          </w:p>
        </w:tc>
        <w:tc>
          <w:tcPr>
            <w:tcW w:w="3335" w:type="dxa"/>
            <w:gridSpan w:val="2"/>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Изменение и отзыв заявок</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_Ref125362130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4.7</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c>
          <w:tcPr>
            <w:tcW w:w="2409" w:type="dxa"/>
            <w:vMerge w:val="continue"/>
            <w:tcBorders/>
          </w:tcPr>
          <w:p>
            <w:pPr>
              <w:pStyle w:val="Style30"/>
              <w:widowControl w:val="false"/>
              <w:suppressAutoHyphens w:val="true"/>
              <w:spacing w:before="40" w:after="40"/>
              <w:jc w:val="center"/>
              <w:rPr>
                <w:rFonts w:ascii="Times New Roman" w:hAnsi="Times New Roman" w:eastAsia="Calibri" w:cs=""/>
                <w:bCs/>
                <w:kern w:val="0"/>
                <w:sz w:val="20"/>
                <w:szCs w:val="20"/>
                <w:lang w:val="ru-RU" w:eastAsia="en-US" w:bidi="ar-SA"/>
              </w:rPr>
            </w:pPr>
            <w:r>
              <w:rPr>
                <w:rFonts w:eastAsia="Calibri" w:cs=""/>
                <w:bCs/>
                <w:kern w:val="0"/>
                <w:sz w:val="20"/>
                <w:szCs w:val="20"/>
                <w:lang w:val="ru-RU" w:eastAsia="en-US" w:bidi="ar-SA"/>
              </w:rPr>
            </w:r>
          </w:p>
        </w:tc>
        <w:tc>
          <w:tcPr>
            <w:tcW w:w="2267" w:type="dxa"/>
            <w:vMerge w:val="continue"/>
            <w:tcBorders/>
          </w:tcPr>
          <w:p>
            <w:pPr>
              <w:pStyle w:val="Style30"/>
              <w:widowControl w:val="false"/>
              <w:suppressAutoHyphens w:val="true"/>
              <w:spacing w:before="40" w:after="40"/>
              <w:jc w:val="center"/>
              <w:rPr>
                <w:rFonts w:ascii="Times New Roman" w:hAnsi="Times New Roman" w:eastAsia="Calibri" w:cs=""/>
                <w:bCs/>
                <w:kern w:val="0"/>
                <w:sz w:val="20"/>
                <w:szCs w:val="20"/>
                <w:lang w:val="ru-RU" w:eastAsia="en-US" w:bidi="ar-SA"/>
              </w:rPr>
            </w:pPr>
            <w:r>
              <w:rPr>
                <w:rFonts w:eastAsia="Calibri" w:cs=""/>
                <w:bCs/>
                <w:kern w:val="0"/>
                <w:sz w:val="20"/>
                <w:szCs w:val="20"/>
                <w:lang w:val="ru-RU" w:eastAsia="en-US" w:bidi="ar-SA"/>
              </w:rPr>
            </w:r>
          </w:p>
        </w:tc>
        <w:tc>
          <w:tcPr>
            <w:tcW w:w="2230" w:type="dxa"/>
            <w:vMerge w:val="continue"/>
            <w:tcBorders>
              <w:right w:val="nil"/>
            </w:tcBorders>
            <w:vAlign w:val="bottom"/>
          </w:tcPr>
          <w:p>
            <w:pPr>
              <w:pStyle w:val="Style30"/>
              <w:widowControl w:val="false"/>
              <w:suppressAutoHyphens w:val="true"/>
              <w:spacing w:before="40" w:after="40"/>
              <w:jc w:val="center"/>
              <w:rPr>
                <w:rFonts w:ascii="Times New Roman" w:hAnsi="Times New Roman" w:eastAsia="Calibri" w:cs=""/>
                <w:bCs/>
                <w:kern w:val="0"/>
                <w:sz w:val="20"/>
                <w:szCs w:val="20"/>
                <w:lang w:val="ru-RU" w:eastAsia="en-US" w:bidi="ar-SA"/>
              </w:rPr>
            </w:pPr>
            <w:r>
              <w:rPr>
                <w:rFonts w:eastAsia="Calibri" w:cs=""/>
                <w:bCs/>
                <w:kern w:val="0"/>
                <w:sz w:val="20"/>
                <w:szCs w:val="20"/>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18"/>
                <w:szCs w:val="18"/>
                <w:lang w:val="ru-RU" w:eastAsia="en-US" w:bidi="ar-SA"/>
              </w:rPr>
              <w:t>(опциональная процедура закупки)</w:t>
            </w:r>
          </w:p>
        </w:tc>
        <w:tc>
          <w:tcPr>
            <w:tcW w:w="240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1" w:type="dxa"/>
            <w:gridSpan w:val="2"/>
            <w:tcBorders/>
          </w:tcPr>
          <w:p>
            <w:pPr>
              <w:pStyle w:val="Style30"/>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bCs/>
                <w:kern w:val="0"/>
                <w:sz w:val="22"/>
                <w:szCs w:val="22"/>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2"/>
                <w:szCs w:val="22"/>
                <w:lang w:val="ru-RU" w:eastAsia="en-US" w:bidi="ar-SA"/>
              </w:rPr>
              <w:fldChar w:fldCharType="begin"/>
            </w:r>
            <w:r>
              <w:rPr>
                <w:sz w:val="22"/>
                <w:kern w:val="0"/>
                <w:szCs w:val="22"/>
                <w:bCs/>
                <w:rFonts w:eastAsia="Calibri" w:cs=""/>
                <w:lang w:val="ru-RU" w:eastAsia="en-US" w:bidi="ar-SA"/>
              </w:rPr>
              <w:instrText xml:space="preserve"> REF _Ref130985951 \r \h </w:instrText>
            </w:r>
            <w:r>
              <w:rPr>
                <w:sz w:val="22"/>
                <w:kern w:val="0"/>
                <w:szCs w:val="22"/>
                <w:bCs/>
                <w:rFonts w:eastAsia="Calibri" w:cs=""/>
                <w:lang w:val="ru-RU" w:eastAsia="en-US" w:bidi="ar-SA"/>
              </w:rPr>
              <w:fldChar w:fldCharType="separate"/>
            </w:r>
            <w:r>
              <w:rPr>
                <w:sz w:val="22"/>
                <w:kern w:val="0"/>
                <w:szCs w:val="22"/>
                <w:bCs/>
                <w:rFonts w:eastAsia="Calibri" w:cs=""/>
                <w:lang w:val="ru-RU" w:eastAsia="en-US" w:bidi="ar-SA"/>
              </w:rPr>
              <w:t>4.13</w:t>
            </w:r>
            <w:r>
              <w:rPr>
                <w:sz w:val="22"/>
                <w:kern w:val="0"/>
                <w:szCs w:val="22"/>
                <w:bCs/>
                <w:rFonts w:eastAsia="Calibri" w:cs=""/>
                <w:lang w:val="ru-RU" w:eastAsia="en-US" w:bidi="ar-SA"/>
              </w:rPr>
              <w:fldChar w:fldCharType="end"/>
            </w:r>
            <w:r>
              <w:rPr>
                <w:rFonts w:eastAsia="Calibri" w:cs=""/>
                <w:bCs/>
                <w:kern w:val="0"/>
                <w:sz w:val="22"/>
                <w:szCs w:val="22"/>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6"/>
          <w:headerReference w:type="first" r:id="rId7"/>
          <w:footerReference w:type="default" r:id="rId8"/>
          <w:footerReference w:type="first" r:id="rId9"/>
          <w:footnotePr>
            <w:numFmt w:val="decimal"/>
          </w:footnotePr>
          <w:type w:val="nextPage"/>
          <w:pgSz w:orient="landscape" w:w="16838" w:h="11906"/>
          <w:pgMar w:left="851" w:right="851" w:gutter="0" w:header="567" w:top="792" w:footer="567" w:bottom="850"/>
          <w:pgNumType w:fmt="decimal"/>
          <w:formProt w:val="false"/>
          <w:textDirection w:val="lrTb"/>
          <w:docGrid w:type="default" w:linePitch="360" w:charSpace="0"/>
        </w:sectPr>
      </w:pPr>
    </w:p>
    <w:p>
      <w:pPr>
        <w:pStyle w:val="Style25"/>
        <w:rPr/>
      </w:pPr>
      <w:bookmarkStart w:id="107" w:name="_Ref130286532"/>
      <w:bookmarkStart w:id="108" w:name="_Toc186224287"/>
      <w:r>
        <w:rPr/>
        <w:t>Официальное размещение Извещения и Документации о закупке</w:t>
      </w:r>
      <w:bookmarkEnd w:id="107"/>
      <w:bookmarkEnd w:id="108"/>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9" w:name="_Ref125362785"/>
      <w:r>
        <w:rPr/>
        <w:t>Порядок получения информации через ЭП определяется Регламентом ЭП, с использованием которой проводится закупка.</w:t>
      </w:r>
      <w:bookmarkEnd w:id="109"/>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10" w:name="_Toc186224288"/>
      <w:bookmarkStart w:id="111" w:name="_Ref130394681"/>
      <w:bookmarkStart w:id="112" w:name="_Ref130281199"/>
      <w:r>
        <w:rPr/>
        <w:t>Подготовка заявки</w:t>
      </w:r>
      <w:bookmarkEnd w:id="110"/>
      <w:bookmarkEnd w:id="111"/>
      <w:bookmarkEnd w:id="112"/>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13" w:name="_Ref125365866"/>
      <w:bookmarkStart w:id="114"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3"/>
      <w:bookmarkEnd w:id="114"/>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bookmarkStart w:id="115" w:name="_Ref125370708"/>
      <w:bookmarkStart w:id="116"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5"/>
      <w:bookmarkEnd w:id="116"/>
    </w:p>
    <w:p>
      <w:pPr>
        <w:pStyle w:val="Style26"/>
        <w:rPr/>
      </w:pPr>
      <w:bookmarkStart w:id="117"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7"/>
    </w:p>
    <w:p>
      <w:pPr>
        <w:pStyle w:val="Style26"/>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18"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18"/>
    </w:p>
    <w:p>
      <w:pPr>
        <w:pStyle w:val="Style26"/>
        <w:rPr/>
      </w:pPr>
      <w:bookmarkStart w:id="119"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9"/>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20" w:name="_Ref125370398"/>
      <w:bookmarkStart w:id="121" w:name="_Ref125714384"/>
      <w:r>
        <w:rPr/>
        <w:t>противоречия между документами заявки и сведениями, указанными Участником в структурированных формах на ЭП.</w:t>
      </w:r>
      <w:bookmarkEnd w:id="120"/>
      <w:bookmarkEnd w:id="121"/>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22" w:name="_Ref130394785"/>
      <w:bookmarkStart w:id="123" w:name="_Ref130394205"/>
      <w:bookmarkStart w:id="124" w:name="_Ref125366672"/>
      <w:bookmarkStart w:id="125" w:name="_Ref125362071"/>
      <w:bookmarkStart w:id="126" w:name="_Ref125361260"/>
      <w:bookmarkStart w:id="127" w:name="_Toc186224289"/>
      <w:bookmarkStart w:id="128" w:name="_Ref130394802"/>
      <w:r>
        <w:rPr/>
        <w:t>Разъяснение Документации о закупке</w:t>
      </w:r>
      <w:bookmarkEnd w:id="122"/>
      <w:bookmarkEnd w:id="123"/>
      <w:bookmarkEnd w:id="124"/>
      <w:bookmarkEnd w:id="125"/>
      <w:bookmarkEnd w:id="126"/>
      <w:bookmarkEnd w:id="127"/>
      <w:bookmarkEnd w:id="128"/>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9" w:name="_Toc186224290"/>
      <w:bookmarkStart w:id="130" w:name="_Ref125364404"/>
      <w:bookmarkStart w:id="131" w:name="_Ref125363891"/>
      <w:bookmarkStart w:id="132" w:name="_Ref125362076"/>
      <w:r>
        <w:rPr/>
        <w:t>Изменения Извещения и (или) Документации о закупке</w:t>
      </w:r>
      <w:bookmarkEnd w:id="129"/>
      <w:bookmarkEnd w:id="130"/>
      <w:bookmarkEnd w:id="131"/>
      <w:bookmarkEnd w:id="132"/>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33"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33"/>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34"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34"/>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5" w:name="_Toc186224291"/>
      <w:bookmarkStart w:id="136" w:name="_Ref125362119"/>
      <w:r>
        <w:rPr/>
        <w:t>Подача заявок и их прием</w:t>
      </w:r>
      <w:bookmarkEnd w:id="135"/>
      <w:bookmarkEnd w:id="136"/>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7" w:name="_Toc186224292"/>
      <w:bookmarkStart w:id="138" w:name="_Ref125365136"/>
      <w:bookmarkStart w:id="139" w:name="_Ref125363819"/>
      <w:bookmarkStart w:id="140" w:name="_Ref125362192"/>
      <w:bookmarkStart w:id="141" w:name="_Ref125362130"/>
      <w:r>
        <w:rPr/>
        <w:t>Изменение и отзыв заявок</w:t>
      </w:r>
      <w:bookmarkEnd w:id="137"/>
      <w:bookmarkEnd w:id="138"/>
      <w:bookmarkEnd w:id="139"/>
      <w:bookmarkEnd w:id="140"/>
      <w:bookmarkEnd w:id="141"/>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42" w:name="_Ref130221619"/>
      <w:bookmarkStart w:id="143" w:name="_Toc186224293"/>
      <w:bookmarkStart w:id="144" w:name="_Ref125364340"/>
      <w:bookmarkEnd w:id="144"/>
      <w:r>
        <w:rPr/>
        <w:t>Открытие доступа к заявкам</w:t>
      </w:r>
      <w:bookmarkEnd w:id="142"/>
      <w:bookmarkEnd w:id="143"/>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45" w:name="_Toc186224294"/>
      <w:bookmarkStart w:id="146" w:name="_Ref135749133"/>
      <w:bookmarkStart w:id="147" w:name="_Ref125366689"/>
      <w:bookmarkStart w:id="148" w:name="_Ref125362364"/>
      <w:bookmarkStart w:id="149" w:name="_Ref125364340_Копия_1"/>
      <w:bookmarkEnd w:id="149"/>
      <w:r>
        <w:rPr/>
        <w:t>Рассмотрение заявок (отборочная стадия)</w:t>
      </w:r>
      <w:bookmarkEnd w:id="147"/>
      <w:bookmarkEnd w:id="148"/>
      <w:r>
        <w:rPr/>
        <w:t>, в том числе (при необходимости) проведение аккредитации</w:t>
      </w:r>
      <w:bookmarkEnd w:id="145"/>
      <w:bookmarkEnd w:id="146"/>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50"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50"/>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51" w:name="_Ref125551524"/>
      <w:r>
        <w:rPr/>
        <w:t>решение о проведении или непроведении переторжки,</w:t>
      </w:r>
      <w:bookmarkEnd w:id="151"/>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52" w:name="_Ref125362425"/>
      <w:bookmarkStart w:id="153" w:name="_Ref125362381"/>
      <w:bookmarkStart w:id="154" w:name="_Ref125362464"/>
      <w:bookmarkStart w:id="155" w:name="_Ref125362610"/>
      <w:bookmarkStart w:id="156" w:name="_Toc186224295"/>
      <w:r>
        <w:rPr/>
        <w:t>Дополнительные запросы разъяснений заявок</w:t>
      </w:r>
      <w:bookmarkEnd w:id="152"/>
      <w:bookmarkEnd w:id="153"/>
      <w:bookmarkEnd w:id="154"/>
      <w:bookmarkEnd w:id="155"/>
      <w:bookmarkEnd w:id="156"/>
    </w:p>
    <w:p>
      <w:pPr>
        <w:pStyle w:val="Style26"/>
        <w:rPr/>
      </w:pPr>
      <w:bookmarkStart w:id="157"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7"/>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8"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8"/>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59" w:name="_Toc186224296"/>
      <w:bookmarkStart w:id="160" w:name="_Ref127536359"/>
      <w:bookmarkStart w:id="161" w:name="_Ref125362537"/>
      <w:bookmarkStart w:id="162" w:name="_Ref125362430"/>
      <w:r>
        <w:rPr/>
        <w:t>Переторжка</w:t>
      </w:r>
      <w:bookmarkEnd w:id="159"/>
      <w:bookmarkEnd w:id="160"/>
      <w:bookmarkEnd w:id="161"/>
      <w:bookmarkEnd w:id="162"/>
    </w:p>
    <w:p>
      <w:pPr>
        <w:pStyle w:val="Style26"/>
        <w:rPr/>
      </w:pPr>
      <w:r>
        <w:rPr/>
        <w:t>Нормы настоящего подраздела применяются в случае проведения процедуры переторжки.</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63"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63"/>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64" w:name="_Ref136244167"/>
      <w:r>
        <w:rPr/>
        <w:t>Документы заявки, подлежащие корректировке по результатам переторжки:</w:t>
      </w:r>
      <w:bookmarkEnd w:id="164"/>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65" w:name="_Ref130376111"/>
      <w:r>
        <w:rPr/>
        <w:t>иной документ, указанный в протоколе закупки (которым назначена переторжка), связанный с предметом проводимой переторжки.</w:t>
      </w:r>
      <w:bookmarkEnd w:id="165"/>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6" w:name="_Ref125365335"/>
      <w:bookmarkStart w:id="167" w:name="_Ref125362626"/>
      <w:bookmarkStart w:id="168" w:name="_Toc186224297"/>
      <w:bookmarkStart w:id="169" w:name="_Ref125369308"/>
      <w:bookmarkStart w:id="170" w:name="_Ref125369041"/>
      <w:bookmarkStart w:id="171" w:name="_Ref125366534"/>
      <w:bookmarkStart w:id="172" w:name="_Ref125365519"/>
      <w:r>
        <w:rPr/>
        <w:t>Оценка и сопоставление заявок</w:t>
      </w:r>
      <w:bookmarkEnd w:id="166"/>
      <w:bookmarkEnd w:id="167"/>
      <w:bookmarkEnd w:id="168"/>
      <w:bookmarkEnd w:id="169"/>
      <w:bookmarkEnd w:id="170"/>
      <w:bookmarkEnd w:id="171"/>
      <w:bookmarkEnd w:id="172"/>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73" w:name="_Ref130985951"/>
      <w:bookmarkStart w:id="174" w:name="_Ref132894106"/>
      <w:bookmarkStart w:id="175" w:name="_Ref132894111"/>
      <w:bookmarkStart w:id="176" w:name="_Ref186128193"/>
      <w:bookmarkStart w:id="177" w:name="_Toc186224298"/>
      <w:bookmarkStart w:id="178" w:name="_Ref125370507"/>
      <w:bookmarkStart w:id="179" w:name="_Ref130458671"/>
      <w:bookmarkStart w:id="180" w:name="_Ref125366064"/>
      <w:bookmarkStart w:id="181" w:name="_Ref125369991"/>
      <w:r>
        <w:rPr/>
        <w:t>Применение законодательства о национальном режиме</w:t>
      </w:r>
      <w:bookmarkEnd w:id="173"/>
      <w:bookmarkEnd w:id="174"/>
      <w:bookmarkEnd w:id="175"/>
      <w:bookmarkEnd w:id="176"/>
      <w:bookmarkEnd w:id="177"/>
      <w:bookmarkEnd w:id="178"/>
      <w:bookmarkEnd w:id="179"/>
      <w:bookmarkEnd w:id="180"/>
      <w:bookmarkEnd w:id="181"/>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82" w:name="_Toc186224299"/>
      <w:bookmarkStart w:id="183" w:name="_Ref125367242"/>
      <w:bookmarkStart w:id="184" w:name="_Ref125366091"/>
      <w:bookmarkStart w:id="185" w:name="_Ref125362658"/>
      <w:r>
        <w:rPr/>
        <w:t>Подведение итогов закупки (определение Победителя)</w:t>
      </w:r>
      <w:bookmarkEnd w:id="182"/>
      <w:bookmarkEnd w:id="183"/>
      <w:bookmarkEnd w:id="184"/>
      <w:bookmarkEnd w:id="185"/>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6"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6"/>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7" w:name="_Ref125364187"/>
      <w:bookmarkStart w:id="188" w:name="_Ref125364149"/>
      <w:bookmarkStart w:id="189" w:name="_Toc186224300"/>
      <w:bookmarkStart w:id="190" w:name="_Ref125365305"/>
      <w:bookmarkStart w:id="191" w:name="_Ref125366796"/>
      <w:bookmarkStart w:id="192" w:name="_Ref125366631"/>
      <w:bookmarkStart w:id="193" w:name="_Ref125365570"/>
      <w:r>
        <w:rPr/>
        <w:t>Признание закупки несостоявшейся</w:t>
      </w:r>
      <w:bookmarkEnd w:id="187"/>
      <w:bookmarkEnd w:id="188"/>
      <w:bookmarkEnd w:id="189"/>
      <w:bookmarkEnd w:id="190"/>
      <w:bookmarkEnd w:id="191"/>
      <w:bookmarkEnd w:id="192"/>
      <w:bookmarkEnd w:id="193"/>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94" w:name="_Toc186224301"/>
      <w:bookmarkStart w:id="195" w:name="_Ref126141962"/>
      <w:r>
        <w:rPr/>
        <w:t>Отказ от проведения закупки</w:t>
      </w:r>
      <w:bookmarkEnd w:id="195"/>
      <w:r>
        <w:rPr/>
        <w:t xml:space="preserve"> (отмена закупки)</w:t>
      </w:r>
      <w:bookmarkEnd w:id="194"/>
    </w:p>
    <w:p>
      <w:pPr>
        <w:pStyle w:val="Style26"/>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6" w:name="_Toc186224302"/>
      <w:bookmarkStart w:id="197" w:name="_Ref130455226"/>
      <w:r>
        <w:rPr/>
        <w:t>Особенности проведения закупки с необходимостью обеспечения заявки</w:t>
      </w:r>
      <w:bookmarkEnd w:id="196"/>
      <w:bookmarkEnd w:id="197"/>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198"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8"/>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199" w:name="_Ref149317414"/>
      <w:bookmarkStart w:id="200" w:name="_Toc186224303"/>
      <w:bookmarkStart w:id="201" w:name="_Ref130225422"/>
      <w:r>
        <w:rPr/>
        <w:t>Особенности проведения многолотовой закупки</w:t>
      </w:r>
      <w:bookmarkEnd w:id="199"/>
      <w:bookmarkEnd w:id="200"/>
      <w:bookmarkEnd w:id="201"/>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202" w:name="_Toc186224304"/>
      <w:bookmarkStart w:id="203" w:name="_Ref125550863"/>
      <w:r>
        <w:rPr/>
        <w:t>Особенности проведения закупки с возможностью подачи альтернативных предложений</w:t>
      </w:r>
      <w:bookmarkEnd w:id="202"/>
      <w:bookmarkEnd w:id="203"/>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5"/>
        <w:rPr/>
      </w:pPr>
      <w:bookmarkStart w:id="204" w:name="_Toc186224305"/>
      <w:bookmarkStart w:id="205" w:name="_Ref125366312"/>
      <w:r>
        <w:rPr/>
        <w:t>Особенности проведения закупки с выбором нескольких победителей</w:t>
      </w:r>
      <w:bookmarkEnd w:id="204"/>
      <w:bookmarkEnd w:id="205"/>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Количество победителей, которое намерен определить Организатор по итогам проведения закупки в рамках одного лота, указано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keepNext w:val="true"/>
        <w:rPr/>
      </w:pPr>
      <w:r>
        <w:rPr/>
        <w:t>В случае намерения Организатора выбрать нескольких Победителей, может быть предусмотрен один из следующих механизмов:</w:t>
      </w:r>
    </w:p>
    <w:p>
      <w:pPr>
        <w:pStyle w:val="Style27"/>
        <w:rPr/>
      </w:pPr>
      <w:bookmarkStart w:id="206" w:name="_Ref125367291"/>
      <w:r>
        <w:rPr/>
        <w:t>выбор нескольких Победителей с целью распределения по частям общего объема потребности Заказчика между Победителями – в этом случае Участник вправе подать заявку как на весь объем лота, так и на его часть;</w:t>
      </w:r>
      <w:bookmarkEnd w:id="206"/>
    </w:p>
    <w:p>
      <w:pPr>
        <w:pStyle w:val="Style27"/>
        <w:rPr/>
      </w:pPr>
      <w:bookmarkStart w:id="207" w:name="_Ref125367298"/>
      <w:r>
        <w:rPr/>
        <w:t>выбор нескольких Победителей с целью заключения договоров на</w:t>
      </w:r>
      <w:r>
        <w:rPr>
          <w:lang w:val="en-US"/>
        </w:rPr>
        <w:t> </w:t>
      </w:r>
      <w:r>
        <w:rPr/>
        <w:t>одинаковый объем потребности с каждым из Победителей в целях последующего распределения фактического объема поставок продукции в ходе исполнения обязательств по заключенным договорам – в этом случае у Заказчика отсутствует обязанность произвести полную выборку продукции, указанную в договоре, заключаемом с каждым Победителем.</w:t>
      </w:r>
      <w:bookmarkEnd w:id="207"/>
    </w:p>
    <w:p>
      <w:pPr>
        <w:pStyle w:val="Style26"/>
        <w:rPr/>
      </w:pPr>
      <w:r>
        <w:rPr/>
        <w:t>Конкретный механизм выбора нескольких Победителей и правила распределения объемов продукции среди них установлены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 xml:space="preserve">Заказчик вправе в одностороннем порядке расторгнуть заключенный договор с любым Победителем в случае ненадлежащего исполнения последним принятых на себя обязательств в соответствии с условиями </w:t>
      </w:r>
      <w:hyperlink w:anchor="Прил02_ПроектДоговора">
        <w:r>
          <w:rPr>
            <w:rStyle w:val="Style14"/>
          </w:rPr>
          <w:t>Проекта договора (Приложение № 2)</w:t>
        </w:r>
      </w:hyperlink>
      <w:r>
        <w:rPr/>
        <w:t>.</w:t>
      </w:r>
    </w:p>
    <w:p>
      <w:pPr>
        <w:pStyle w:val="Style26"/>
        <w:rPr/>
      </w:pPr>
      <w:r>
        <w:rPr/>
        <w:t>Порядок определения нескольких Победителей, установленный в подразделе </w:t>
      </w:r>
      <w:r>
        <w:rPr/>
        <w:fldChar w:fldCharType="begin"/>
      </w:r>
      <w:r>
        <w:rPr/>
        <w:instrText xml:space="preserve"> REF _Ref125359973 \r \h </w:instrText>
      </w:r>
      <w:r>
        <w:rPr/>
        <w:fldChar w:fldCharType="separate"/>
      </w:r>
      <w:r>
        <w:rPr/>
        <w:t>1.2</w:t>
      </w:r>
      <w:r>
        <w:rPr/>
        <w:fldChar w:fldCharType="end"/>
      </w:r>
      <w:r>
        <w:rPr/>
        <w:t>, является приоритетным по отношении к общему порядку определения Победителя, предусмотренному в подразделе </w:t>
      </w:r>
      <w:r>
        <w:rPr/>
        <w:fldChar w:fldCharType="begin"/>
      </w:r>
      <w:r>
        <w:rPr/>
        <w:instrText xml:space="preserve"> REF _Ref125367242 \w \h </w:instrText>
      </w:r>
      <w:r>
        <w:rPr/>
        <w:fldChar w:fldCharType="separate"/>
      </w:r>
      <w:r>
        <w:rPr/>
        <w:t>4.14</w:t>
      </w:r>
      <w:r>
        <w:rPr/>
        <w:fldChar w:fldCharType="end"/>
      </w:r>
      <w:r>
        <w:rPr/>
        <w:t>.</w:t>
      </w:r>
    </w:p>
    <w:p>
      <w:pPr>
        <w:pStyle w:val="Style24"/>
        <w:rPr/>
      </w:pPr>
      <w:bookmarkStart w:id="208" w:name="_Toc186224306"/>
      <w:bookmarkStart w:id="209" w:name="_Ref126142429"/>
      <w:bookmarkStart w:id="210" w:name="_Ref130224037"/>
      <w:bookmarkStart w:id="211" w:name="_Ref125362671"/>
      <w:bookmarkStart w:id="212" w:name="_Ref125361212"/>
      <w:bookmarkStart w:id="213" w:name="_Ref125363439"/>
      <w:bookmarkStart w:id="214" w:name="_Ref125366769"/>
      <w:bookmarkStart w:id="215" w:name="_Ref125367083"/>
      <w:bookmarkStart w:id="216" w:name="_Ref125367087"/>
      <w:r>
        <w:rPr/>
        <w:t>Порядок заключения Договора</w:t>
      </w:r>
      <w:bookmarkEnd w:id="208"/>
      <w:bookmarkEnd w:id="209"/>
      <w:bookmarkEnd w:id="210"/>
      <w:bookmarkEnd w:id="211"/>
      <w:bookmarkEnd w:id="212"/>
      <w:bookmarkEnd w:id="213"/>
      <w:bookmarkEnd w:id="214"/>
      <w:bookmarkEnd w:id="215"/>
      <w:bookmarkEnd w:id="216"/>
    </w:p>
    <w:p>
      <w:pPr>
        <w:pStyle w:val="Style25"/>
        <w:rPr/>
      </w:pPr>
      <w:bookmarkStart w:id="217" w:name="_Toc186224307"/>
      <w:bookmarkStart w:id="218" w:name="_Ref139028625"/>
      <w:r>
        <w:rPr/>
        <w:t>Общие положения</w:t>
      </w:r>
      <w:bookmarkEnd w:id="217"/>
      <w:bookmarkEnd w:id="218"/>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5"/>
        <w:rPr/>
      </w:pPr>
      <w:bookmarkStart w:id="219" w:name="_Ref135736094"/>
      <w:bookmarkStart w:id="220" w:name="_Ref125368755"/>
      <w:bookmarkStart w:id="221" w:name="_Ref125366947"/>
      <w:bookmarkStart w:id="222" w:name="_Toc186224308"/>
      <w:bookmarkStart w:id="223" w:name="_Ref138232981"/>
      <w:r>
        <w:rPr/>
        <w:t>Заключение Договора</w:t>
      </w:r>
      <w:bookmarkEnd w:id="219"/>
      <w:bookmarkEnd w:id="220"/>
      <w:bookmarkEnd w:id="221"/>
      <w:bookmarkEnd w:id="222"/>
      <w:bookmarkEnd w:id="223"/>
    </w:p>
    <w:p>
      <w:pPr>
        <w:pStyle w:val="Style26"/>
        <w:rPr/>
      </w:pPr>
      <w:bookmarkStart w:id="224" w:name="_Ref130293821"/>
      <w:bookmarkStart w:id="225"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24"/>
      <w:bookmarkEnd w:id="225"/>
    </w:p>
    <w:p>
      <w:pPr>
        <w:pStyle w:val="Style26"/>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6"/>
        <w:rPr/>
      </w:pPr>
      <w:bookmarkStart w:id="226"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26"/>
    </w:p>
    <w:p>
      <w:pPr>
        <w:pStyle w:val="Style26"/>
        <w:keepNext w:val="true"/>
        <w:rPr/>
      </w:pPr>
      <w:bookmarkStart w:id="227"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27"/>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28"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28"/>
      <w:r>
        <w:rPr/>
        <w:t>.</w:t>
      </w:r>
    </w:p>
    <w:p>
      <w:pPr>
        <w:pStyle w:val="Style26"/>
        <w:keepNext w:val="true"/>
        <w:rPr/>
      </w:pPr>
      <w:bookmarkStart w:id="229"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9"/>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30"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30"/>
    </w:p>
    <w:p>
      <w:pPr>
        <w:pStyle w:val="Style28"/>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31"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31"/>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32"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32"/>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33"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33"/>
    </w:p>
    <w:p>
      <w:pPr>
        <w:pStyle w:val="Style26"/>
        <w:keepNext w:val="true"/>
        <w:rPr/>
      </w:pPr>
      <w:r>
        <w:rPr/>
        <w:t>Если Договор заключается в электронной форме:</w:t>
      </w:r>
    </w:p>
    <w:p>
      <w:pPr>
        <w:pStyle w:val="Style27"/>
        <w:rPr/>
      </w:pPr>
      <w:bookmarkStart w:id="234"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34"/>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35" w:name="_Toc186224309"/>
      <w:bookmarkStart w:id="236" w:name="_Ref125552570"/>
      <w:r>
        <w:rPr/>
        <w:t>Преддоговорные переговоры</w:t>
      </w:r>
      <w:bookmarkEnd w:id="235"/>
      <w:bookmarkEnd w:id="236"/>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bookmarkStart w:id="237" w:name="_Toc186224310"/>
      <w:bookmarkStart w:id="238" w:name="_Ref125367068"/>
      <w:r>
        <w:rPr/>
        <w:t>Уклонение Победителя от заключения Договора</w:t>
      </w:r>
      <w:bookmarkEnd w:id="237"/>
      <w:bookmarkEnd w:id="238"/>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39" w:name="_Ref125370741"/>
      <w:bookmarkStart w:id="240" w:name="Прил01_ТехТребования"/>
      <w:bookmarkStart w:id="241" w:name="_Ref125370732"/>
      <w:bookmarkStart w:id="242" w:name="_Ref125363016"/>
      <w:bookmarkStart w:id="243" w:name="_Ref125363023"/>
      <w:bookmarkStart w:id="244" w:name="_Ref125363034"/>
      <w:bookmarkStart w:id="245" w:name="_Ref125363600"/>
      <w:bookmarkStart w:id="246" w:name="_Ref125370746"/>
      <w:bookmarkStart w:id="247" w:name="_Ref125370750"/>
      <w:bookmarkStart w:id="248" w:name="_Ref125370843"/>
      <w:bookmarkStart w:id="249" w:name="_Toc186224311"/>
      <w:bookmarkStart w:id="250" w:name="_Ref125364201"/>
      <w:bookmarkStart w:id="251" w:name="_Ref125364088"/>
      <w:bookmarkStart w:id="252" w:name="_Ref125363752"/>
      <w:r>
        <w:rPr/>
        <w:t>Приложение № 1 – Технические требования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pStyle w:val="Style25"/>
        <w:rPr/>
      </w:pPr>
      <w:bookmarkStart w:id="253" w:name="_Toc186224312"/>
      <w:r>
        <w:rPr/>
        <w:t>Пояснения к Техническим требованиям</w:t>
      </w:r>
      <w:bookmarkEnd w:id="253"/>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54" w:name="_Ref125361746"/>
      <w:bookmarkStart w:id="255" w:name="_Toc186224313"/>
      <w:bookmarkStart w:id="256" w:name="_Ref125363040"/>
      <w:bookmarkStart w:id="257" w:name="_Ref125363605"/>
      <w:bookmarkStart w:id="258" w:name="_Ref125363759"/>
      <w:bookmarkStart w:id="259" w:name="_Ref125364081"/>
      <w:bookmarkStart w:id="260" w:name="_Ref125364206"/>
      <w:bookmarkStart w:id="261" w:name="_Ref125370754"/>
      <w:bookmarkStart w:id="262" w:name="Прил02_ПроектДоговора"/>
      <w:r>
        <w:rPr/>
        <w:t>Приложение № 2 – Проект договора</w:t>
      </w:r>
      <w:bookmarkEnd w:id="254"/>
      <w:bookmarkEnd w:id="255"/>
      <w:bookmarkEnd w:id="256"/>
      <w:bookmarkEnd w:id="257"/>
      <w:bookmarkEnd w:id="258"/>
      <w:bookmarkEnd w:id="259"/>
      <w:bookmarkEnd w:id="260"/>
      <w:bookmarkEnd w:id="261"/>
      <w:bookmarkEnd w:id="262"/>
    </w:p>
    <w:p>
      <w:pPr>
        <w:pStyle w:val="Style25"/>
        <w:rPr/>
      </w:pPr>
      <w:bookmarkStart w:id="263" w:name="_Toc186224314"/>
      <w:r>
        <w:rPr/>
        <w:t>Пояснения к Проекту договора</w:t>
      </w:r>
      <w:bookmarkEnd w:id="263"/>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64" w:name="_Hlk132883778"/>
      <w:r>
        <w:rPr/>
        <w:t>как «Некритичные пункты Проекта договора»</w:t>
      </w:r>
      <w:bookmarkEnd w:id="264"/>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65" w:name="_MON_1736255517"/>
      <w:bookmarkEnd w:id="265"/>
    </w:p>
    <w:p>
      <w:pPr>
        <w:sectPr>
          <w:headerReference w:type="default" r:id="rId12"/>
          <w:headerReference w:type="first" r:id="rId13"/>
          <w:footerReference w:type="default" r:id="rId14"/>
          <w:footerReference w:type="first" r:id="rId1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0"/>
        <w:jc w:val="center"/>
        <w:rPr/>
      </w:pPr>
      <w:r>
        <w:rPr/>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75pt;height:50.25pt;mso-wrap-distance-right:0pt" filled="f" o:ole="">
            <v:imagedata r:id="rId11" o:title=""/>
          </v:shape>
          <o:OLEObject Type="Embed" ProgID="Word.Document.12" ShapeID="ole_rId10" DrawAspect="Icon" ObjectID="_1182360587" r:id="rId10"/>
        </w:object>
      </w:r>
    </w:p>
    <w:p>
      <w:pPr>
        <w:pStyle w:val="Style24"/>
        <w:rPr/>
      </w:pPr>
      <w:bookmarkStart w:id="266" w:name="_Toc186224315"/>
      <w:bookmarkStart w:id="267" w:name="Прил03_ТребованияУчастникам"/>
      <w:bookmarkStart w:id="268" w:name="_Ref125370013"/>
      <w:bookmarkStart w:id="269" w:name="_Ref125365476"/>
      <w:bookmarkStart w:id="270" w:name="_Ref125361908"/>
      <w:bookmarkStart w:id="271" w:name="_Ref125361494"/>
      <w:r>
        <w:rPr/>
        <w:t>Приложение № 3 – Требования к Участникам</w:t>
      </w:r>
      <w:bookmarkEnd w:id="266"/>
      <w:bookmarkEnd w:id="267"/>
      <w:bookmarkEnd w:id="268"/>
      <w:bookmarkEnd w:id="269"/>
      <w:bookmarkEnd w:id="270"/>
      <w:bookmarkEnd w:id="271"/>
    </w:p>
    <w:p>
      <w:pPr>
        <w:pStyle w:val="Style25"/>
        <w:rPr/>
      </w:pPr>
      <w:bookmarkStart w:id="272" w:name="_Toc186224316"/>
      <w:r>
        <w:rPr/>
        <w:t>Пояснения к требованиям к Участникам</w:t>
      </w:r>
      <w:bookmarkEnd w:id="272"/>
    </w:p>
    <w:p>
      <w:pPr>
        <w:pStyle w:val="Style26"/>
        <w:rPr/>
      </w:pPr>
      <w:bookmarkStart w:id="273"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73"/>
    </w:p>
    <w:p>
      <w:pPr>
        <w:pStyle w:val="Style25"/>
        <w:spacing w:before="360" w:after="120"/>
        <w:rPr/>
      </w:pPr>
      <w:bookmarkStart w:id="274" w:name="_Ref125369088"/>
      <w:bookmarkStart w:id="275" w:name="_Ref125368895"/>
      <w:bookmarkStart w:id="276" w:name="_Ref125368812"/>
      <w:bookmarkStart w:id="277" w:name="_Ref125361435"/>
      <w:bookmarkStart w:id="278" w:name="_Ref125361590"/>
      <w:bookmarkStart w:id="279" w:name="_Ref125361617"/>
      <w:bookmarkStart w:id="280" w:name="_Ref125361832"/>
      <w:bookmarkStart w:id="281" w:name="_Ref125366879"/>
      <w:bookmarkStart w:id="282" w:name="_Ref125370058"/>
      <w:bookmarkStart w:id="283" w:name="_Ref125370064"/>
      <w:bookmarkStart w:id="284" w:name="_Ref125370071"/>
      <w:bookmarkStart w:id="285" w:name="_Toc186224317"/>
      <w:bookmarkStart w:id="286" w:name="_Ref125361926"/>
      <w:bookmarkStart w:id="287" w:name="_Ref125361846"/>
      <w:r>
        <w:rPr/>
        <w:t>Обязательные требования</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8" w:name="_Ref125552433"/>
            <w:bookmarkStart w:id="289" w:name="_Ref125552433"/>
            <w:bookmarkEnd w:id="289"/>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3"/>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0" w:name="_Ref139028406"/>
            <w:bookmarkStart w:id="291" w:name="_Ref139028406"/>
            <w:bookmarkEnd w:id="291"/>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2" w:name="_Ref186128496"/>
            <w:bookmarkStart w:id="293" w:name="_Ref186128496"/>
            <w:bookmarkEnd w:id="293"/>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4" w:name="_Ref186128503"/>
            <w:bookmarkStart w:id="295" w:name="_Ref186128503"/>
            <w:bookmarkEnd w:id="295"/>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5"/>
        <w:spacing w:before="360" w:after="120"/>
        <w:rPr/>
      </w:pPr>
      <w:bookmarkStart w:id="296" w:name="_Toc186224318"/>
      <w:bookmarkStart w:id="297" w:name="_Ref125361442"/>
      <w:bookmarkStart w:id="298" w:name="_Ref125361633"/>
      <w:bookmarkStart w:id="299" w:name="_Ref125361671"/>
      <w:bookmarkStart w:id="300" w:name="_Ref125361869"/>
      <w:bookmarkStart w:id="301" w:name="_Ref125361937"/>
      <w:bookmarkStart w:id="302" w:name="_Ref125365459"/>
      <w:bookmarkStart w:id="303" w:name="_Ref125367521"/>
      <w:bookmarkStart w:id="304" w:name="_Ref125367539"/>
      <w:bookmarkStart w:id="305" w:name="_Ref125368818"/>
      <w:bookmarkStart w:id="306" w:name="_Ref125368901"/>
      <w:bookmarkStart w:id="307" w:name="_Ref125368916"/>
      <w:bookmarkStart w:id="308" w:name="_Ref125369099"/>
      <w:bookmarkStart w:id="309" w:name="_Ref125370079"/>
      <w:bookmarkStart w:id="310" w:name="_Ref125709153"/>
      <w:bookmarkStart w:id="311" w:name="_Ref125709250"/>
      <w:bookmarkStart w:id="312" w:name="_Ref125709401"/>
      <w:bookmarkStart w:id="313" w:name="_Ref125709888"/>
      <w:r>
        <w:rPr/>
        <w:t>Специальные требования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sz w:val="24"/>
                <w:szCs w:val="24"/>
              </w:rPr>
            </w:pPr>
            <w:r>
              <w:rPr>
                <w:rFonts w:eastAsia="Calibri" w:cs=""/>
                <w:b/>
                <w:kern w:val="0"/>
                <w:sz w:val="24"/>
                <w:szCs w:val="24"/>
                <w:lang w:val="ru-RU" w:eastAsia="en-US" w:bidi="ar-SA"/>
              </w:rPr>
              <w:t>№</w:t>
            </w:r>
            <w:r>
              <w:rPr>
                <w:rFonts w:eastAsia="Calibri" w:cs=""/>
                <w:b/>
                <w:kern w:val="0"/>
                <w:sz w:val="24"/>
                <w:szCs w:val="24"/>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sz w:val="24"/>
                <w:szCs w:val="24"/>
              </w:rPr>
            </w:pPr>
            <w:r>
              <w:rPr>
                <w:rFonts w:eastAsia="Calibri" w:cs=""/>
                <w:b/>
                <w:kern w:val="0"/>
                <w:sz w:val="24"/>
                <w:szCs w:val="24"/>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sz w:val="24"/>
                <w:szCs w:val="24"/>
              </w:rPr>
            </w:pPr>
            <w:r>
              <w:rPr>
                <w:rFonts w:eastAsia="Calibri" w:cs=""/>
                <w:b/>
                <w:kern w:val="0"/>
                <w:sz w:val="24"/>
                <w:szCs w:val="24"/>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r>
    </w:tbl>
    <w:p>
      <w:pPr>
        <w:pStyle w:val="Style25"/>
        <w:spacing w:before="360" w:after="120"/>
        <w:rPr/>
      </w:pPr>
      <w:bookmarkStart w:id="314" w:name="_Ref125550353"/>
      <w:bookmarkStart w:id="315" w:name="_Ref125553242"/>
      <w:bookmarkStart w:id="316" w:name="_Ref125550270"/>
      <w:bookmarkStart w:id="317" w:name="_Ref125709895"/>
      <w:bookmarkStart w:id="318" w:name="_Ref125553296"/>
      <w:bookmarkStart w:id="319" w:name="_Ref125553475"/>
      <w:bookmarkStart w:id="320" w:name="_Ref125709154"/>
      <w:bookmarkStart w:id="321" w:name="_Ref125553681"/>
      <w:bookmarkStart w:id="322" w:name="_Ref125709256"/>
      <w:bookmarkStart w:id="323" w:name="_Ref125709541"/>
      <w:bookmarkStart w:id="324" w:name="_Toc186224319"/>
      <w:r>
        <w:rPr/>
        <w:t>Квалификационные требования</w:t>
      </w:r>
      <w:bookmarkEnd w:id="314"/>
      <w:bookmarkEnd w:id="315"/>
      <w:bookmarkEnd w:id="316"/>
      <w:bookmarkEnd w:id="317"/>
      <w:bookmarkEnd w:id="318"/>
      <w:bookmarkEnd w:id="319"/>
      <w:bookmarkEnd w:id="320"/>
      <w:bookmarkEnd w:id="321"/>
      <w:bookmarkEnd w:id="322"/>
      <w:bookmarkEnd w:id="323"/>
      <w:bookmarkEnd w:id="324"/>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r>
    </w:tbl>
    <w:p>
      <w:pPr>
        <w:pStyle w:val="Style25"/>
        <w:spacing w:before="360" w:after="120"/>
        <w:rPr/>
      </w:pPr>
      <w:bookmarkStart w:id="325" w:name="_Ref125553703"/>
      <w:bookmarkStart w:id="326" w:name="_Ref125553692"/>
      <w:bookmarkStart w:id="327" w:name="_Ref125553500"/>
      <w:bookmarkStart w:id="328" w:name="_Ref125552455"/>
      <w:bookmarkStart w:id="329" w:name="_Toc186224320"/>
      <w:bookmarkStart w:id="330" w:name="_Ref125709228"/>
      <w:r>
        <w:rPr/>
        <w:t>Дополнительные требования к Коллективным участникам</w:t>
      </w:r>
      <w:bookmarkEnd w:id="325"/>
      <w:bookmarkEnd w:id="326"/>
      <w:bookmarkEnd w:id="327"/>
      <w:bookmarkEnd w:id="328"/>
      <w:bookmarkEnd w:id="329"/>
      <w:bookmarkEnd w:id="330"/>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1" w:name="_Ref125370156"/>
            <w:bookmarkStart w:id="332" w:name="_Ref125370156"/>
            <w:bookmarkEnd w:id="332"/>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3" w:name="_Ref125553738"/>
            <w:bookmarkStart w:id="334" w:name="_Ref125553738"/>
            <w:bookmarkEnd w:id="334"/>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5" w:name="_Ref125370162"/>
            <w:bookmarkStart w:id="336" w:name="_Ref125370162"/>
            <w:bookmarkEnd w:id="336"/>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37" w:name="_Ref125709973"/>
      <w:bookmarkStart w:id="338" w:name="_Toc186224321"/>
      <w:bookmarkStart w:id="339" w:name="_Ref125362031"/>
      <w:bookmarkStart w:id="340" w:name="_Ref125369117"/>
      <w:bookmarkStart w:id="341" w:name="_Ref125370173"/>
      <w:bookmarkStart w:id="342" w:name="_Ref125370180"/>
      <w:bookmarkStart w:id="343" w:name="_Ref125370209"/>
      <w:bookmarkStart w:id="344" w:name="_Ref125709777"/>
      <w:bookmarkStart w:id="345" w:name="_Ref125361823"/>
      <w:r>
        <w:rPr/>
        <w:t>Дополнительные требования к Генеральным подрядчикам</w:t>
      </w:r>
      <w:bookmarkEnd w:id="337"/>
      <w:bookmarkEnd w:id="338"/>
      <w:bookmarkEnd w:id="339"/>
      <w:bookmarkEnd w:id="340"/>
      <w:bookmarkEnd w:id="341"/>
      <w:bookmarkEnd w:id="342"/>
      <w:bookmarkEnd w:id="343"/>
      <w:bookmarkEnd w:id="344"/>
      <w:bookmarkEnd w:id="345"/>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6" w:name="_Ref125370187"/>
            <w:bookmarkStart w:id="347" w:name="_Ref125370187"/>
            <w:bookmarkEnd w:id="347"/>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8" w:name="_Ref125370199"/>
            <w:bookmarkStart w:id="349" w:name="_Ref125370199"/>
            <w:bookmarkEnd w:id="349"/>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0" w:name="_Ref125370193"/>
            <w:bookmarkStart w:id="351" w:name="_Ref125370193"/>
            <w:bookmarkEnd w:id="351"/>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2" w:name="_Ref125553847"/>
            <w:bookmarkStart w:id="353" w:name="_Ref125553847"/>
            <w:bookmarkEnd w:id="353"/>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354" w:name="_Toc186224322"/>
      <w:bookmarkStart w:id="355" w:name="Прил04_ФормыЗаявки"/>
      <w:bookmarkEnd w:id="355"/>
      <w:r>
        <w:rPr/>
        <w:t>Приложение № 4 – Образцы форм документов, включаемых в состав заявки</w:t>
      </w:r>
      <w:bookmarkEnd w:id="354"/>
    </w:p>
    <w:p>
      <w:pPr>
        <w:pStyle w:val="Style25"/>
        <w:rPr/>
      </w:pPr>
      <w:bookmarkStart w:id="356" w:name="_Toc186224323"/>
      <w:r>
        <w:rPr/>
        <w:t>Пояснения к Образцам форм документов, включаемых в состав заявки</w:t>
      </w:r>
      <w:bookmarkEnd w:id="356"/>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57" w:name="_Toc186224324"/>
      <w:bookmarkStart w:id="358" w:name="Прил05_ФормыПобедителя"/>
      <w:bookmarkEnd w:id="358"/>
      <w:r>
        <w:rPr/>
        <w:t>Приложение № 5 – Образцы форм документов, предоставляемых Победителем</w:t>
      </w:r>
      <w:bookmarkEnd w:id="357"/>
    </w:p>
    <w:p>
      <w:pPr>
        <w:pStyle w:val="Style25"/>
        <w:rPr/>
      </w:pPr>
      <w:bookmarkStart w:id="359" w:name="_Toc186224325"/>
      <w:r>
        <w:rPr/>
        <w:t>Пояснения к Образцам форм документов, предоставляемых Победителем</w:t>
      </w:r>
      <w:bookmarkEnd w:id="359"/>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60" w:name="_Toc186224326"/>
      <w:bookmarkStart w:id="361" w:name="_Ref130395470"/>
      <w:r>
        <w:rPr/>
        <w:t>Форма справки «Сведения о цепочке собственников, включая бенефициаров (в том числе конечных)»</w:t>
      </w:r>
      <w:bookmarkEnd w:id="360"/>
      <w:bookmarkEnd w:id="361"/>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62" w:name="_MON_1741074142"/>
    </w:p>
    <w:p>
      <w:pPr>
        <w:pStyle w:val="Style30"/>
        <w:jc w:val="center"/>
        <w:rPr/>
      </w:pPr>
      <w:bookmarkEnd w:id="362"/>
      <w:r>
        <w:rPr/>
        <w:object>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8.75pt;height:50.25pt;mso-wrap-distance-right:0pt" filled="f" o:ole="">
            <v:imagedata r:id="rId21" o:title=""/>
          </v:shape>
          <o:OLEObject Type="Embed" ProgID="Word.Document.12" ShapeID="ole_rId20" DrawAspect="Icon" ObjectID="_143168292" r:id="rId20"/>
        </w:object>
      </w:r>
    </w:p>
    <w:p>
      <w:pPr>
        <w:pStyle w:val="Style25"/>
        <w:rPr/>
      </w:pPr>
      <w:bookmarkStart w:id="363" w:name="_Ref130395475"/>
      <w:bookmarkStart w:id="364" w:name="_Toc186224327"/>
      <w:r>
        <w:rPr/>
        <w:t>Форма «Заверение об обстоятельствах»</w:t>
      </w:r>
      <w:bookmarkEnd w:id="363"/>
      <w:bookmarkEnd w:id="364"/>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65" w:name="_MON_1741074184"/>
    </w:p>
    <w:p>
      <w:pPr>
        <w:pStyle w:val="Style30"/>
        <w:spacing w:before="120" w:after="120"/>
        <w:jc w:val="center"/>
        <w:rPr/>
      </w:pPr>
      <w:bookmarkEnd w:id="365"/>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75pt;height:50.25pt;mso-wrap-distance-right:0pt;mso-wrap-distance-bottom:6pt" filled="f" o:ole="">
            <v:imagedata r:id="rId23" o:title=""/>
          </v:shape>
          <o:OLEObject Type="Embed" ProgID="Word.Document.12" ShapeID="ole_rId22" DrawAspect="Icon" ObjectID="_1252133702" r:id="rId22"/>
        </w:object>
      </w:r>
    </w:p>
    <w:p>
      <w:pPr>
        <w:pStyle w:val="Style24"/>
        <w:rPr/>
      </w:pPr>
      <w:bookmarkStart w:id="366" w:name="_Ref125362900"/>
      <w:bookmarkStart w:id="367" w:name="_Ref125362865"/>
      <w:bookmarkStart w:id="368" w:name="_Toc186224328"/>
      <w:bookmarkStart w:id="369" w:name="Прил06_СоставЗаявки"/>
      <w:bookmarkEnd w:id="369"/>
      <w:r>
        <w:rPr/>
        <w:t>Приложение № 6 – Состав заявки</w:t>
      </w:r>
      <w:bookmarkEnd w:id="366"/>
      <w:bookmarkEnd w:id="367"/>
      <w:bookmarkEnd w:id="368"/>
    </w:p>
    <w:p>
      <w:pPr>
        <w:pStyle w:val="Style25"/>
        <w:rPr/>
      </w:pPr>
      <w:bookmarkStart w:id="370" w:name="_Toc186224329"/>
      <w:r>
        <w:rPr/>
        <w:t>Состав заявки</w:t>
      </w:r>
      <w:bookmarkEnd w:id="370"/>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1" w:name="_Ref130389408"/>
            <w:bookmarkStart w:id="372" w:name="_Ref130389408"/>
            <w:bookmarkEnd w:id="372"/>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3" w:name="_Ref130389413"/>
            <w:bookmarkStart w:id="374" w:name="_Ref130389413"/>
            <w:bookmarkEnd w:id="374"/>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5" w:name="_Ref130389419"/>
            <w:bookmarkStart w:id="376" w:name="_Ref130389419"/>
            <w:bookmarkEnd w:id="376"/>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4"/>
          <w:headerReference w:type="first" r:id="rId25"/>
          <w:footerReference w:type="default" r:id="rId26"/>
          <w:footerReference w:type="first" r:id="rId2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77" w:name="_Toc186224330"/>
      <w:bookmarkStart w:id="378" w:name="_Ref125365264"/>
      <w:bookmarkStart w:id="379" w:name="Прил07_ОтборочныеКритерии"/>
      <w:bookmarkEnd w:id="379"/>
      <w:r>
        <w:rPr/>
        <w:t>Приложение № 7 – Отборочные критерии рассмотрения заявок</w:t>
      </w:r>
      <w:bookmarkEnd w:id="377"/>
      <w:bookmarkEnd w:id="378"/>
    </w:p>
    <w:p>
      <w:pPr>
        <w:pStyle w:val="Style30"/>
        <w:spacing w:before="120" w:after="120"/>
        <w:rPr>
          <w:rStyle w:val="Style11"/>
        </w:rPr>
      </w:pPr>
      <w:r>
        <w:rPr/>
      </w:r>
    </w:p>
    <w:p>
      <w:pPr>
        <w:pStyle w:val="Style25"/>
        <w:spacing w:before="360" w:after="120"/>
        <w:rPr>
          <w:rStyle w:val="Style11"/>
          <w:i w:val="false"/>
          <w:i w:val="false"/>
          <w:iCs w:val="false"/>
          <w:shd w:fill="auto" w:val="clear"/>
        </w:rPr>
      </w:pPr>
      <w:bookmarkStart w:id="380" w:name="_Toc186224331"/>
      <w:r>
        <w:rPr>
          <w:rStyle w:val="Style11"/>
          <w:i w:val="false"/>
          <w:iCs w:val="false"/>
          <w:shd w:fill="auto" w:val="clear"/>
        </w:rPr>
        <w:t>Отборочные критерии рассмотрения заявок</w:t>
      </w:r>
      <w:bookmarkEnd w:id="380"/>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30"/>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30"/>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81" w:name="_Toc186224332"/>
      <w:r>
        <w:rPr>
          <w:rStyle w:val="Style11"/>
          <w:i w:val="false"/>
          <w:iCs w:val="false"/>
          <w:shd w:fill="auto" w:val="clear"/>
        </w:rPr>
        <w:t>Дополнительные критерии проверки заявок на соответствие условиям Документации о закупке</w:t>
      </w:r>
      <w:bookmarkEnd w:id="381"/>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82"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82"/>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28"/>
          <w:headerReference w:type="first" r:id="rId29"/>
          <w:footerReference w:type="default" r:id="rId30"/>
          <w:footerReference w:type="first" r:id="rId3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4"/>
        <w:rPr/>
      </w:pPr>
      <w:bookmarkStart w:id="383" w:name="_Ref125361648"/>
      <w:bookmarkStart w:id="384" w:name="_Ref125368291"/>
      <w:bookmarkStart w:id="385" w:name="_Ref125368184"/>
      <w:bookmarkStart w:id="386" w:name="_Ref125361951"/>
      <w:bookmarkStart w:id="387" w:name="_Ref125366013"/>
      <w:bookmarkStart w:id="388" w:name="_Ref125366280"/>
      <w:bookmarkStart w:id="389" w:name="_Ref125366285"/>
      <w:bookmarkStart w:id="390" w:name="_Ref125368140"/>
      <w:bookmarkStart w:id="391" w:name="_Ref125368150"/>
      <w:bookmarkStart w:id="392" w:name="_Ref125368302"/>
      <w:bookmarkStart w:id="393" w:name="_Ref125368283"/>
      <w:bookmarkStart w:id="394" w:name="_Ref125368165"/>
      <w:bookmarkStart w:id="395" w:name="_Ref125368172"/>
      <w:bookmarkStart w:id="396" w:name="_Toc186224333"/>
      <w:bookmarkStart w:id="397" w:name="_Ref125369438"/>
      <w:bookmarkStart w:id="398" w:name="_Ref125369021"/>
      <w:bookmarkStart w:id="399" w:name="_Ref125368331"/>
      <w:bookmarkStart w:id="400" w:name="_Ref125368313"/>
      <w:bookmarkStart w:id="401" w:name="Прил08_ПорядокОценки"/>
      <w:bookmarkEnd w:id="401"/>
      <w:r>
        <w:rPr/>
        <w:t>Приложение № 8 – Порядок и критерии оценки и сопоставления заявок</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pStyle w:val="Style26"/>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e"/>
        <w:tblW w:w="15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238"/>
        <w:gridCol w:w="1555"/>
        <w:gridCol w:w="1695"/>
        <w:gridCol w:w="1280"/>
        <w:gridCol w:w="1430"/>
        <w:gridCol w:w="1715"/>
        <w:gridCol w:w="1858"/>
        <w:gridCol w:w="4407"/>
      </w:tblGrid>
      <w:tr>
        <w:trPr>
          <w:tblHeader w:val="true"/>
        </w:trPr>
        <w:tc>
          <w:tcPr>
            <w:tcW w:w="1238"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Номер критерия оценки в структуре</w:t>
            </w:r>
          </w:p>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r>
          </w:p>
        </w:tc>
        <w:tc>
          <w:tcPr>
            <w:tcW w:w="1555" w:type="dxa"/>
            <w:vMerge w:val="restart"/>
            <w:tcBorders/>
            <w:shd w:color="auto" w:fill="auto" w:val="clea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Направление оценки заявок</w:t>
            </w:r>
          </w:p>
        </w:tc>
        <w:tc>
          <w:tcPr>
            <w:tcW w:w="1695"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Вид критерия оценки</w:t>
            </w:r>
          </w:p>
        </w:tc>
        <w:tc>
          <w:tcPr>
            <w:tcW w:w="2710" w:type="dxa"/>
            <w:gridSpan w:val="2"/>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Наименование критерия оценки</w:t>
            </w:r>
          </w:p>
        </w:tc>
        <w:tc>
          <w:tcPr>
            <w:tcW w:w="1715"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Наименование критерия оценки</w:t>
            </w:r>
          </w:p>
        </w:tc>
        <w:tc>
          <w:tcPr>
            <w:tcW w:w="1858" w:type="dxa"/>
            <w:vMerge w:val="restart"/>
            <w:tcBorders/>
            <w:shd w:color="auto" w:fill="auto" w:val="clear"/>
            <w:vAlign w:val="center"/>
          </w:tcPr>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t>Содержание частного  критерия оценки</w:t>
            </w:r>
          </w:p>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r>
          </w:p>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r>
          </w:p>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r>
          </w:p>
        </w:tc>
        <w:tc>
          <w:tcPr>
            <w:tcW w:w="4407"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Метод определения предпочтительности</w:t>
            </w:r>
          </w:p>
          <w:p>
            <w:pPr>
              <w:pStyle w:val="Normal"/>
              <w:widowControl w:val="false"/>
              <w:suppressAutoHyphens w:val="true"/>
              <w:spacing w:before="0" w:after="0"/>
              <w:jc w:val="left"/>
              <w:rPr>
                <w:sz w:val="18"/>
                <w:szCs w:val="18"/>
              </w:rPr>
            </w:pPr>
            <w:r>
              <w:rPr>
                <w:rFonts w:eastAsia="Calibri" w:cs="Times New Roman"/>
                <w:i/>
                <w:kern w:val="0"/>
                <w:sz w:val="18"/>
                <w:szCs w:val="18"/>
                <w:lang w:val="ru-RU" w:eastAsia="en-US" w:bidi="ar-SA"/>
              </w:rPr>
              <w:t>(расчеты производятся с точностью до двух знаков после запятой, округление показателей производится до сотых)</w:t>
            </w:r>
          </w:p>
        </w:tc>
      </w:tr>
      <w:tr>
        <w:trPr>
          <w:tblHeader w:val="true"/>
          <w:trHeight w:val="753" w:hRule="atLeast"/>
        </w:trPr>
        <w:tc>
          <w:tcPr>
            <w:tcW w:w="1238"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555"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695"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280" w:type="dxa"/>
            <w:tcBorders/>
            <w:shd w:color="auto" w:fill="auto" w:val="clear"/>
          </w:tcPr>
          <w:p>
            <w:pPr>
              <w:pStyle w:val="Normal"/>
              <w:widowControl w:val="false"/>
              <w:suppressAutoHyphens w:val="true"/>
              <w:spacing w:before="0" w:after="0"/>
              <w:jc w:val="left"/>
              <w:rPr>
                <w:b/>
                <w:bCs/>
                <w:i/>
                <w:i/>
                <w:iCs/>
                <w:sz w:val="16"/>
                <w:szCs w:val="16"/>
              </w:rPr>
            </w:pPr>
            <w:r>
              <w:rPr>
                <w:rFonts w:eastAsia="Calibri" w:cs="Times New Roman"/>
                <w:b/>
                <w:bCs/>
                <w:i/>
                <w:iCs/>
                <w:kern w:val="0"/>
                <w:sz w:val="16"/>
                <w:szCs w:val="16"/>
                <w:lang w:val="ru-RU" w:eastAsia="en-US" w:bidi="ar-SA"/>
              </w:rPr>
              <w:t>критерий оценки первого уровня</w:t>
            </w:r>
          </w:p>
        </w:tc>
        <w:tc>
          <w:tcPr>
            <w:tcW w:w="1430" w:type="dxa"/>
            <w:tcBorders/>
            <w:shd w:color="auto" w:fill="auto" w:val="clear"/>
          </w:tcPr>
          <w:p>
            <w:pPr>
              <w:pStyle w:val="Normal"/>
              <w:widowControl w:val="false"/>
              <w:suppressAutoHyphens w:val="true"/>
              <w:spacing w:before="0" w:after="0"/>
              <w:jc w:val="left"/>
              <w:rPr>
                <w:b/>
                <w:bCs/>
                <w:i/>
                <w:i/>
                <w:iCs/>
                <w:sz w:val="16"/>
                <w:szCs w:val="16"/>
              </w:rPr>
            </w:pPr>
            <w:r>
              <w:rPr>
                <w:rFonts w:eastAsia="Calibri" w:cs="Times New Roman"/>
                <w:b/>
                <w:bCs/>
                <w:i/>
                <w:iCs/>
                <w:kern w:val="0"/>
                <w:sz w:val="16"/>
                <w:szCs w:val="16"/>
                <w:lang w:val="ru-RU" w:eastAsia="en-US" w:bidi="ar-SA"/>
              </w:rPr>
              <w:t>критерий оценки второго уровня</w:t>
            </w:r>
          </w:p>
        </w:tc>
        <w:tc>
          <w:tcPr>
            <w:tcW w:w="1715"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858"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4407"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r>
      <w:tr>
        <w:trPr/>
        <w:tc>
          <w:tcPr>
            <w:tcW w:w="1238"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en-US" w:bidi="ar-SA"/>
              </w:rPr>
              <w:t>1</w:t>
            </w:r>
          </w:p>
        </w:tc>
        <w:tc>
          <w:tcPr>
            <w:tcW w:w="1555"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en-US" w:bidi="ar-SA"/>
              </w:rPr>
              <w:t>ЦЕНА</w:t>
            </w:r>
          </w:p>
        </w:tc>
        <w:tc>
          <w:tcPr>
            <w:tcW w:w="1695"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Ценовой (стоимостной) частный критерий оценки первого уровня</w:t>
            </w:r>
          </w:p>
        </w:tc>
        <w:tc>
          <w:tcPr>
            <w:tcW w:w="1280"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Цена договора</w:t>
            </w:r>
          </w:p>
        </w:tc>
        <w:tc>
          <w:tcPr>
            <w:tcW w:w="1430"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отсутствует</w:t>
            </w:r>
          </w:p>
        </w:tc>
        <w:tc>
          <w:tcPr>
            <w:tcW w:w="1715"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 xml:space="preserve">90% </w:t>
              <w:br/>
              <w:t>(В</w:t>
            </w:r>
            <w:r>
              <w:rPr>
                <w:rFonts w:eastAsia="Calibri" w:cs="Times New Roman" w:eastAsiaTheme="minorHAnsi"/>
                <w:color w:val="auto"/>
                <w:kern w:val="0"/>
                <w:sz w:val="22"/>
                <w:szCs w:val="22"/>
                <w:vertAlign w:val="subscript"/>
                <w:lang w:val="ru-RU" w:eastAsia="en-US" w:bidi="ar-SA"/>
              </w:rPr>
              <w:t>1</w:t>
            </w:r>
            <w:r>
              <w:rPr>
                <w:rFonts w:eastAsia="Calibri" w:cs="Times New Roman"/>
                <w:kern w:val="0"/>
                <w:sz w:val="22"/>
                <w:szCs w:val="22"/>
                <w:lang w:val="ru-RU" w:eastAsia="en-US" w:bidi="ar-SA"/>
              </w:rPr>
              <w:t>= 0,1)</w:t>
            </w:r>
          </w:p>
        </w:tc>
        <w:tc>
          <w:tcPr>
            <w:tcW w:w="1858" w:type="dxa"/>
            <w:tcBorders>
              <w:bottom w:val="single" w:sz="8" w:space="0" w:color="00000A"/>
              <w:right w:val="single" w:sz="8" w:space="0" w:color="00000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Чем меньше цена коммерческого предложения, тем выше предпочтительность</w:t>
            </w:r>
          </w:p>
        </w:tc>
        <w:tc>
          <w:tcPr>
            <w:tcW w:w="4407" w:type="dxa"/>
            <w:tcBorders>
              <w:bottom w:val="single" w:sz="8" w:space="0" w:color="00000A"/>
              <w:right w:val="single" w:sz="8" w:space="0" w:color="00000A"/>
            </w:tcBorders>
            <w:shd w:color="auto" w:fill="auto" w:val="clear"/>
          </w:tcPr>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0" w:after="0"/>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ЦЕНАmin</m:t>
                    </m:r>
                  </m:num>
                  <m:den>
                    <m:r>
                      <w:rPr>
                        <w:rFonts w:ascii="Cambria Math" w:hAnsi="Cambria Math"/>
                      </w:rPr>
                      <m:t xml:space="preserve">ЦЕНАi</m:t>
                    </m:r>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где:</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Б</w:t>
            </w:r>
            <w:r>
              <w:rPr>
                <w:rFonts w:eastAsia="Calibri" w:cs="Times New Roman"/>
                <w:kern w:val="0"/>
                <w:sz w:val="20"/>
                <w:szCs w:val="20"/>
                <w:vertAlign w:val="subscript"/>
                <w:lang w:val="ru-RU" w:eastAsia="en-US" w:bidi="ar-SA"/>
              </w:rPr>
              <w:t>1</w:t>
            </w:r>
            <w:r>
              <w:rPr>
                <w:rFonts w:eastAsia="Calibri" w:cs="Times New Roman"/>
                <w:kern w:val="0"/>
                <w:sz w:val="20"/>
                <w:szCs w:val="20"/>
                <w:lang w:val="ru-RU" w:eastAsia="en-US" w:bidi="ar-SA"/>
              </w:rPr>
              <w:t xml:space="preserve"> – рассчитанная оценка предпочтительности по частному критерию оценки в баллах;</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ЦЕНА</w:t>
            </w:r>
            <w:r>
              <w:rPr>
                <w:rFonts w:eastAsia="Calibri" w:cs="Times New Roman"/>
                <w:i/>
                <w:iCs/>
                <w:kern w:val="0"/>
                <w:sz w:val="20"/>
                <w:szCs w:val="20"/>
                <w:vertAlign w:val="subscript"/>
                <w:lang w:val="en-US" w:eastAsia="en-US" w:bidi="ar-SA"/>
              </w:rPr>
              <w:t>i</w:t>
            </w:r>
            <w:r>
              <w:rPr>
                <w:rFonts w:eastAsia="Calibri" w:cs="Times New Roman"/>
                <w:kern w:val="0"/>
                <w:sz w:val="20"/>
                <w:szCs w:val="20"/>
                <w:lang w:val="ru-RU" w:eastAsia="en-US" w:bidi="ar-SA"/>
              </w:rPr>
              <w:t>  – цена коммерческого предложения (без НДС), указанная в заявке допущенного участника;</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ЦЕНА</w:t>
            </w:r>
            <w:r>
              <w:rPr>
                <w:rFonts w:eastAsia="Calibri" w:cs="Times New Roman"/>
                <w:kern w:val="0"/>
                <w:sz w:val="20"/>
                <w:szCs w:val="20"/>
                <w:vertAlign w:val="subscript"/>
                <w:lang w:val="en-US" w:eastAsia="en-US" w:bidi="ar-SA"/>
              </w:rPr>
              <w:t>min</w:t>
            </w:r>
            <w:r>
              <w:rPr>
                <w:rFonts w:eastAsia="Calibri" w:cs="Times New Roman"/>
                <w:kern w:val="0"/>
                <w:sz w:val="20"/>
                <w:szCs w:val="20"/>
                <w:vertAlign w:val="subscript"/>
                <w:lang w:val="ru-RU" w:eastAsia="en-US" w:bidi="ar-SA"/>
              </w:rPr>
              <w:t xml:space="preserve"> </w:t>
            </w:r>
            <w:r>
              <w:rPr>
                <w:rFonts w:eastAsia="Calibri" w:cs="Times New Roman"/>
                <w:kern w:val="0"/>
                <w:sz w:val="20"/>
                <w:szCs w:val="20"/>
                <w:lang w:val="ru-RU" w:eastAsia="en-US" w:bidi="ar-SA"/>
              </w:rPr>
              <w:t>– минимальная цена коммерческого предложения (без НДС) среди всех допущенных заявок участников;</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Ш – максимально возможный балл (максимальная возможная оценка предпочтительности) по установленной в документации о закупке шкале оценок (Ш = 5).</w:t>
            </w:r>
          </w:p>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true"/>
              <w:spacing w:before="0" w:after="0"/>
              <w:jc w:val="left"/>
              <w:rPr>
                <w:sz w:val="20"/>
                <w:szCs w:val="20"/>
              </w:rPr>
            </w:pPr>
            <w:r>
              <w:rPr>
                <w:rFonts w:eastAsia="Calibri" w:cs="Times New Roman"/>
                <w:kern w:val="0"/>
                <w:sz w:val="18"/>
                <w:szCs w:val="18"/>
                <w:lang w:val="ru-RU" w:eastAsia="en-US" w:bidi="ar-SA"/>
              </w:rPr>
              <w:t>В случае если участник действует по упрощенной системе налогообложения, к таким участникам так же применяется базис сопоставления ценовых (стоимостных)</w:t>
            </w:r>
            <w:r>
              <w:rPr>
                <w:rFonts w:eastAsia="Calibri" w:cs="Times New Roman"/>
                <w:kern w:val="0"/>
                <w:sz w:val="20"/>
                <w:szCs w:val="20"/>
                <w:lang w:val="ru-RU" w:eastAsia="en-US" w:bidi="ar-SA"/>
              </w:rPr>
              <w:t xml:space="preserve"> </w:t>
            </w:r>
            <w:r>
              <w:rPr>
                <w:rFonts w:eastAsia="Calibri" w:cs="Times New Roman"/>
                <w:kern w:val="0"/>
                <w:sz w:val="18"/>
                <w:szCs w:val="18"/>
                <w:lang w:val="ru-RU" w:eastAsia="en-US" w:bidi="ar-SA"/>
              </w:rPr>
              <w:t>предложений - без учета НДС.</w:t>
            </w:r>
          </w:p>
          <w:p>
            <w:pPr>
              <w:pStyle w:val="Normal"/>
              <w:widowControl w:val="false"/>
              <w:suppressAutoHyphens w:val="true"/>
              <w:spacing w:before="0" w:after="0"/>
              <w:jc w:val="left"/>
              <w:rPr>
                <w:b/>
                <w:bCs/>
                <w:i/>
                <w:i/>
                <w:iCs/>
                <w:sz w:val="20"/>
                <w:szCs w:val="20"/>
              </w:rPr>
            </w:pPr>
            <w:r>
              <w:rPr>
                <w:rFonts w:eastAsia="Calibri" w:cs="Times New Roman"/>
                <w:b/>
                <w:bCs/>
                <w:i/>
                <w:iCs/>
                <w:kern w:val="0"/>
                <w:sz w:val="20"/>
                <w:szCs w:val="20"/>
                <w:lang w:val="ru-RU" w:eastAsia="en-US" w:bidi="ar-SA"/>
              </w:rPr>
              <w:t>Шкала оценок от 0 до 5 баллов.</w:t>
            </w:r>
          </w:p>
        </w:tc>
      </w:tr>
      <w:tr>
        <w:trPr/>
        <w:tc>
          <w:tcPr>
            <w:tcW w:w="1238" w:type="dxa"/>
            <w:tcBorders/>
            <w:shd w:color="auto" w:fill="auto" w:val="clear"/>
          </w:tcPr>
          <w:p>
            <w:pPr>
              <w:pStyle w:val="Normal"/>
              <w:widowControl w:val="false"/>
              <w:suppressAutoHyphens w:val="true"/>
              <w:spacing w:before="0" w:after="0"/>
              <w:jc w:val="left"/>
              <w:rPr>
                <w:rFonts w:ascii="Times New Roman" w:hAnsi="Times New Roman" w:cs="Times New Roman"/>
                <w:sz w:val="24"/>
                <w:szCs w:val="24"/>
              </w:rPr>
            </w:pPr>
            <w:r>
              <w:rPr>
                <w:rFonts w:cs="Times New Roman"/>
                <w:kern w:val="0"/>
                <w:sz w:val="24"/>
                <w:szCs w:val="24"/>
                <w:lang w:val="ru-RU" w:eastAsia="en-US" w:bidi="ar-SA"/>
              </w:rPr>
              <w:t>2</w:t>
            </w:r>
          </w:p>
        </w:tc>
        <w:tc>
          <w:tcPr>
            <w:tcW w:w="1555" w:type="dxa"/>
            <w:tcBorders/>
            <w:shd w:color="auto" w:fill="auto" w:val="clear"/>
          </w:tcPr>
          <w:p>
            <w:pPr>
              <w:pStyle w:val="Normal"/>
              <w:widowControl w:val="false"/>
              <w:suppressAutoHyphens w:val="true"/>
              <w:spacing w:before="0" w:after="0"/>
              <w:jc w:val="left"/>
              <w:rPr>
                <w:rFonts w:ascii="Times New Roman" w:hAnsi="Times New Roman" w:cs="Times New Roman"/>
                <w:sz w:val="24"/>
                <w:szCs w:val="24"/>
              </w:rPr>
            </w:pPr>
            <w:r>
              <w:rPr>
                <w:rFonts w:cs="Times New Roman"/>
                <w:kern w:val="0"/>
                <w:sz w:val="24"/>
                <w:szCs w:val="24"/>
                <w:lang w:val="ru-RU" w:eastAsia="en-US" w:bidi="ar-SA"/>
              </w:rPr>
              <w:t>ОРГ</w:t>
            </w:r>
          </w:p>
        </w:tc>
        <w:tc>
          <w:tcPr>
            <w:tcW w:w="1695" w:type="dxa"/>
            <w:tcBorders/>
            <w:shd w:color="auto" w:fill="auto" w:val="clear"/>
          </w:tcPr>
          <w:p>
            <w:pPr>
              <w:pStyle w:val="3"/>
              <w:widowControl w:val="false"/>
              <w:numPr>
                <w:ilvl w:val="7"/>
                <w:numId w:val="2"/>
              </w:numPr>
              <w:suppressAutoHyphens w:val="true"/>
              <w:spacing w:lineRule="auto" w:line="240" w:before="0" w:after="0"/>
              <w:rPr>
                <w:sz w:val="22"/>
                <w:szCs w:val="22"/>
              </w:rPr>
            </w:pPr>
            <w:r>
              <w:rPr>
                <w:rFonts w:eastAsia="Calibri" w:cs="Times New Roman" w:ascii="Times New Roman" w:hAnsi="Times New Roman"/>
                <w:kern w:val="0"/>
                <w:sz w:val="22"/>
                <w:szCs w:val="22"/>
                <w:lang w:val="ru-RU" w:eastAsia="en-US" w:bidi="ar-SA"/>
              </w:rPr>
              <w:t>Неценовой /</w:t>
            </w:r>
          </w:p>
        </w:tc>
        <w:tc>
          <w:tcPr>
            <w:tcW w:w="1280" w:type="dxa"/>
            <w:tcBorders/>
            <w:shd w:color="auto" w:fill="auto" w:val="clear"/>
          </w:tcPr>
          <w:p>
            <w:pPr>
              <w:pStyle w:val="Normal"/>
              <w:widowControl w:val="false"/>
              <w:numPr>
                <w:ilvl w:val="7"/>
                <w:numId w:val="38"/>
              </w:numPr>
              <w:suppressAutoHyphens w:val="true"/>
              <w:spacing w:lineRule="auto" w:line="259" w:before="0" w:after="160"/>
              <w:jc w:val="left"/>
              <w:rPr>
                <w:sz w:val="20"/>
                <w:szCs w:val="20"/>
              </w:rPr>
            </w:pPr>
            <w:r>
              <w:rPr>
                <w:rFonts w:cs="Times New Roman"/>
                <w:sz w:val="20"/>
                <w:szCs w:val="20"/>
              </w:rPr>
              <w:t>Финансовое состояние (устойчивость) Участника</w:t>
            </w:r>
          </w:p>
        </w:tc>
        <w:tc>
          <w:tcPr>
            <w:tcW w:w="1430" w:type="dxa"/>
            <w:tcBorders/>
            <w:shd w:color="auto" w:fill="auto" w:val="clear"/>
          </w:tcPr>
          <w:p>
            <w:pPr>
              <w:pStyle w:val="Normal"/>
              <w:widowControl w:val="false"/>
              <w:suppressAutoHyphens w:val="true"/>
              <w:spacing w:lineRule="auto" w:line="259" w:before="0" w:after="160"/>
              <w:jc w:val="left"/>
              <w:rPr>
                <w:sz w:val="22"/>
                <w:szCs w:val="22"/>
              </w:rPr>
            </w:pPr>
            <w:r>
              <w:rPr>
                <w:rFonts w:eastAsia="Calibri" w:cs="Times New Roman"/>
                <w:kern w:val="0"/>
                <w:sz w:val="22"/>
                <w:szCs w:val="22"/>
                <w:lang w:val="ru-RU" w:eastAsia="en-US" w:bidi="ar-SA"/>
              </w:rPr>
              <w:t>отсутствует</w:t>
            </w:r>
          </w:p>
        </w:tc>
        <w:tc>
          <w:tcPr>
            <w:tcW w:w="1715" w:type="dxa"/>
            <w:tcBorders/>
            <w:shd w:color="auto" w:fill="auto" w:val="clear"/>
          </w:tcPr>
          <w:p>
            <w:pPr>
              <w:pStyle w:val="Normal"/>
              <w:widowControl w:val="false"/>
              <w:suppressAutoHyphens w:val="true"/>
              <w:spacing w:lineRule="auto" w:line="259" w:before="0" w:after="160"/>
              <w:jc w:val="left"/>
              <w:rPr>
                <w:sz w:val="22"/>
                <w:szCs w:val="22"/>
              </w:rPr>
            </w:pPr>
            <w:r>
              <w:rPr>
                <w:rFonts w:eastAsia="Calibri" w:cs="Times New Roman"/>
                <w:kern w:val="0"/>
                <w:sz w:val="22"/>
                <w:szCs w:val="22"/>
                <w:lang w:val="ru-RU" w:eastAsia="en-US" w:bidi="ar-SA"/>
              </w:rPr>
              <w:t>10%</w:t>
              <w:br/>
              <w:t>(В</w:t>
            </w:r>
            <w:r>
              <w:rPr>
                <w:rFonts w:eastAsia="Calibri" w:cs="Times New Roman" w:eastAsiaTheme="minorHAnsi"/>
                <w:color w:val="auto"/>
                <w:kern w:val="0"/>
                <w:sz w:val="22"/>
                <w:szCs w:val="22"/>
                <w:vertAlign w:val="subscript"/>
                <w:lang w:val="ru-RU" w:eastAsia="en-US" w:bidi="ar-SA"/>
              </w:rPr>
              <w:t>2</w:t>
            </w:r>
            <w:r>
              <w:rPr>
                <w:rFonts w:eastAsia="Calibri" w:cs="Times New Roman"/>
                <w:kern w:val="0"/>
                <w:sz w:val="22"/>
                <w:szCs w:val="22"/>
                <w:lang w:val="ru-RU" w:eastAsia="en-US" w:bidi="ar-SA"/>
              </w:rPr>
              <w:t>= 0,1)</w:t>
            </w:r>
          </w:p>
        </w:tc>
        <w:tc>
          <w:tcPr>
            <w:tcW w:w="1858" w:type="dxa"/>
            <w:tcBorders>
              <w:bottom w:val="single" w:sz="8" w:space="0" w:color="00000A"/>
              <w:right w:val="single" w:sz="8" w:space="0" w:color="00000A"/>
            </w:tcBorders>
            <w:shd w:color="auto" w:fill="auto" w:val="clear"/>
          </w:tcPr>
          <w:p>
            <w:pPr>
              <w:pStyle w:val="Normal"/>
              <w:widowControl w:val="false"/>
              <w:suppressAutoHyphens w:val="true"/>
              <w:spacing w:lineRule="auto" w:line="259" w:before="0" w:after="160"/>
              <w:jc w:val="left"/>
              <w:rPr>
                <w:sz w:val="22"/>
                <w:szCs w:val="22"/>
              </w:rPr>
            </w:pPr>
            <w:r>
              <w:rPr>
                <w:rFonts w:cs="Times New Roman"/>
                <w:sz w:val="22"/>
                <w:szCs w:val="22"/>
              </w:rPr>
              <w:t>Чем выше результат оценки финансового состояния (устойчивости) Участника, тем выше предпочтительность</w:t>
            </w:r>
          </w:p>
        </w:tc>
        <w:tc>
          <w:tcPr>
            <w:tcW w:w="4407" w:type="dxa"/>
            <w:tcBorders>
              <w:bottom w:val="single" w:sz="8" w:space="0" w:color="00000A"/>
              <w:right w:val="single" w:sz="8" w:space="0" w:color="00000A"/>
            </w:tcBorders>
            <w:shd w:color="auto" w:fill="auto" w:val="clear"/>
          </w:tcPr>
          <w:p>
            <w:pPr>
              <w:pStyle w:val="Normal"/>
              <w:widowControl w:val="false"/>
              <w:numPr>
                <w:ilvl w:val="7"/>
                <w:numId w:val="39"/>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Расчет оценки предпочтительности по частному критерию по методу «Оценка предпочтительности посредством </w:t>
            </w:r>
            <w:r>
              <w:rPr>
                <w:rFonts w:cs="Times New Roman"/>
                <w:b/>
                <w:bCs/>
                <w:i/>
                <w:iCs/>
                <w:sz w:val="20"/>
                <w:szCs w:val="20"/>
              </w:rPr>
              <w:t>однозначной числовой шкалы измерений»:</w:t>
            </w:r>
          </w:p>
          <w:p>
            <w:pPr>
              <w:pStyle w:val="Normal"/>
              <w:widowControl w:val="false"/>
              <w:numPr>
                <w:ilvl w:val="7"/>
                <w:numId w:val="40"/>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7"/>
                <w:numId w:val="41"/>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 </w:t>
            </w:r>
            <w:r>
              <w:rPr>
                <w:rFonts w:cs="Times New Roman"/>
                <w:b w:val="false"/>
                <w:bCs w:val="false"/>
                <w:i w:val="false"/>
                <w:iCs w:val="false"/>
                <w:sz w:val="20"/>
                <w:szCs w:val="20"/>
              </w:rPr>
              <w:t>порядок проведения оценки финансового состояния (устойчивости) Участника (В Положении об аккредитации используется термин «Заявитель»)установлен Приложением 5 к Положению об аккредитации;</w:t>
            </w:r>
          </w:p>
          <w:p>
            <w:pPr>
              <w:pStyle w:val="Normal"/>
              <w:widowControl w:val="false"/>
              <w:numPr>
                <w:ilvl w:val="7"/>
                <w:numId w:val="42"/>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 </w:t>
            </w:r>
            <w:r>
              <w:rPr>
                <w:rFonts w:cs="Times New Roman"/>
                <w:b w:val="false"/>
                <w:bCs w:val="false"/>
                <w:i w:val="false"/>
                <w:iCs w:val="false"/>
                <w:sz w:val="20"/>
                <w:szCs w:val="20"/>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(https://bo.nalog.ru) за предыдущий отчетный период (год).</w:t>
            </w:r>
          </w:p>
          <w:p>
            <w:pPr>
              <w:pStyle w:val="Normal"/>
              <w:widowControl w:val="false"/>
              <w:numPr>
                <w:ilvl w:val="7"/>
                <w:numId w:val="43"/>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7"/>
                <w:numId w:val="44"/>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w:t>
            </w:r>
            <w:r>
              <w:rPr>
                <w:rFonts w:cs="Times New Roman"/>
                <w:b w:val="false"/>
                <w:bCs w:val="false"/>
                <w:i w:val="false"/>
                <w:iCs w:val="false"/>
                <w:sz w:val="20"/>
                <w:szCs w:val="20"/>
              </w:rPr>
              <w:t>оценки предпочтительности по частному критерию осуществляется в соответствии со шкалой:</w:t>
            </w:r>
          </w:p>
          <w:p>
            <w:pPr>
              <w:pStyle w:val="Normal"/>
              <w:widowControl w:val="false"/>
              <w:numPr>
                <w:ilvl w:val="7"/>
                <w:numId w:val="45"/>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eastAsia="Calibri" w:cs="Times New Roman"/>
                <w:b/>
                <w:bCs/>
                <w:i w:val="false"/>
                <w:iCs w:val="false"/>
                <w:kern w:val="0"/>
                <w:sz w:val="20"/>
                <w:szCs w:val="20"/>
                <w:lang w:val="ru-RU" w:eastAsia="en-US" w:bidi="ar-SA"/>
              </w:rPr>
              <w:t>Б</w:t>
            </w:r>
            <w:r>
              <w:rPr>
                <w:rFonts w:eastAsia="Calibri" w:cs="Times New Roman"/>
                <w:b/>
                <w:bCs/>
                <w:i w:val="false"/>
                <w:iCs w:val="false"/>
                <w:kern w:val="0"/>
                <w:sz w:val="20"/>
                <w:szCs w:val="20"/>
                <w:vertAlign w:val="subscript"/>
                <w:lang w:val="ru-RU" w:eastAsia="en-US" w:bidi="ar-SA"/>
              </w:rPr>
              <w:t>3</w:t>
            </w:r>
            <w:r>
              <w:rPr>
                <w:rFonts w:cs="Times New Roman"/>
                <w:b/>
                <w:bCs/>
                <w:i w:val="false"/>
                <w:iCs w:val="false"/>
                <w:sz w:val="20"/>
                <w:szCs w:val="20"/>
              </w:rPr>
              <w:t xml:space="preserve"> = 0</w:t>
            </w:r>
            <w:r>
              <w:rPr>
                <w:rFonts w:cs="Times New Roman"/>
                <w:b w:val="false"/>
                <w:bCs w:val="false"/>
                <w:i w:val="false"/>
                <w:iCs w:val="false"/>
                <w:sz w:val="20"/>
                <w:szCs w:val="20"/>
              </w:rPr>
              <w:t xml:space="preserve"> Результат оценки финансового состояния (устойчивости): </w:t>
            </w:r>
            <w:r>
              <w:rPr>
                <w:rFonts w:cs="Times New Roman"/>
                <w:b/>
                <w:bCs/>
                <w:i/>
                <w:iCs/>
                <w:sz w:val="20"/>
                <w:szCs w:val="20"/>
              </w:rPr>
              <w:t xml:space="preserve">менее 0,45 </w:t>
            </w:r>
            <w:r>
              <w:rPr>
                <w:rFonts w:cs="Times New Roman"/>
                <w:b w:val="false"/>
                <w:bCs w:val="false"/>
                <w:i w:val="false"/>
                <w:iCs w:val="false"/>
                <w:sz w:val="20"/>
                <w:szCs w:val="20"/>
              </w:rPr>
              <w:t>балла – Кризисное финансовое состояние; или в случае отсутствия исходных данных для оценки финансового состояния Участника, в том числе если он является:</w:t>
            </w:r>
          </w:p>
          <w:p>
            <w:pPr>
              <w:pStyle w:val="Normal"/>
              <w:widowControl w:val="false"/>
              <w:numPr>
                <w:ilvl w:val="7"/>
                <w:numId w:val="46"/>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 </w:t>
            </w:r>
            <w:r>
              <w:rPr>
                <w:rFonts w:cs="Times New Roman"/>
                <w:b w:val="false"/>
                <w:bCs w:val="false"/>
                <w:i w:val="false"/>
                <w:iCs w:val="false"/>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7"/>
                <w:numId w:val="47"/>
              </w:numPr>
              <w:suppressAutoHyphens w:val="true"/>
              <w:spacing w:lineRule="auto" w:line="259" w:before="0" w:after="160"/>
              <w:jc w:val="left"/>
              <w:rPr>
                <w:b w:val="false"/>
                <w:bCs w:val="false"/>
                <w:i w:val="false"/>
                <w:i w:val="false"/>
                <w:iCs w:val="false"/>
              </w:rPr>
            </w:pPr>
            <w:r>
              <w:rPr>
                <w:rFonts w:cs="Times New Roman"/>
                <w:b w:val="false"/>
                <w:bCs w:val="false"/>
                <w:i w:val="false"/>
                <w:iCs w:val="false"/>
                <w:sz w:val="20"/>
                <w:szCs w:val="20"/>
              </w:rPr>
              <w:t xml:space="preserve">– </w:t>
            </w:r>
            <w:r>
              <w:rPr>
                <w:rFonts w:cs="Times New Roman"/>
                <w:b w:val="false"/>
                <w:bCs w:val="false"/>
                <w:i w:val="false"/>
                <w:iCs w:val="false"/>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p>
            <w:pPr>
              <w:pStyle w:val="Normal"/>
              <w:widowControl w:val="false"/>
              <w:numPr>
                <w:ilvl w:val="7"/>
                <w:numId w:val="48"/>
              </w:numPr>
              <w:suppressAutoHyphens w:val="true"/>
              <w:spacing w:lineRule="auto" w:line="259" w:before="0" w:after="160"/>
              <w:jc w:val="left"/>
              <w:rPr>
                <w:b w:val="false"/>
                <w:bCs w:val="false"/>
                <w:i w:val="false"/>
                <w:i w:val="false"/>
                <w:iCs w:val="false"/>
              </w:rPr>
            </w:pPr>
            <w:r>
              <w:rPr>
                <w:rFonts w:cs="Times New Roman"/>
                <w:b/>
                <w:bCs/>
                <w:i/>
                <w:iCs/>
                <w:sz w:val="20"/>
                <w:szCs w:val="20"/>
              </w:rPr>
              <w:t xml:space="preserve">Б </w:t>
            </w:r>
            <w:r>
              <w:rPr>
                <w:rFonts w:eastAsia="Calibri" w:cs="Times New Roman" w:eastAsiaTheme="minorHAnsi"/>
                <w:b/>
                <w:bCs/>
                <w:i/>
                <w:iCs/>
                <w:color w:val="auto"/>
                <w:kern w:val="0"/>
                <w:sz w:val="20"/>
                <w:szCs w:val="20"/>
                <w:vertAlign w:val="subscript"/>
                <w:lang w:val="ru-RU" w:eastAsia="en-US" w:bidi="ar-SA"/>
              </w:rPr>
              <w:t>3</w:t>
            </w:r>
            <w:r>
              <w:rPr>
                <w:rFonts w:cs="Times New Roman"/>
                <w:b/>
                <w:bCs/>
                <w:i/>
                <w:iCs/>
                <w:sz w:val="20"/>
                <w:szCs w:val="20"/>
              </w:rPr>
              <w:t xml:space="preserve"> = 3 </w:t>
            </w:r>
            <w:r>
              <w:rPr>
                <w:rFonts w:cs="Times New Roman"/>
                <w:b w:val="false"/>
                <w:bCs w:val="false"/>
                <w:i w:val="false"/>
                <w:iCs w:val="false"/>
                <w:sz w:val="20"/>
                <w:szCs w:val="20"/>
              </w:rPr>
              <w:t xml:space="preserve">Результат оценки финансового состояния (устойчивости): </w:t>
            </w:r>
            <w:r>
              <w:rPr>
                <w:rFonts w:cs="Times New Roman"/>
                <w:b/>
                <w:bCs/>
                <w:i/>
                <w:iCs/>
                <w:sz w:val="20"/>
                <w:szCs w:val="20"/>
              </w:rPr>
              <w:t xml:space="preserve">от 0,45 </w:t>
            </w:r>
            <w:r>
              <w:rPr>
                <w:rFonts w:cs="Times New Roman"/>
                <w:b w:val="false"/>
                <w:bCs w:val="false"/>
                <w:i w:val="false"/>
                <w:iCs w:val="false"/>
                <w:sz w:val="20"/>
                <w:szCs w:val="20"/>
              </w:rPr>
              <w:t>балла включительно до 0,90 балла включительно – Неустойчивое финансовое состояние;</w:t>
            </w:r>
          </w:p>
          <w:p>
            <w:pPr>
              <w:pStyle w:val="Normal"/>
              <w:widowControl w:val="false"/>
              <w:numPr>
                <w:ilvl w:val="7"/>
                <w:numId w:val="49"/>
              </w:numPr>
              <w:suppressAutoHyphens w:val="true"/>
              <w:spacing w:lineRule="auto" w:line="240" w:before="0" w:after="160"/>
              <w:jc w:val="left"/>
              <w:rPr>
                <w:rFonts w:ascii="Times New Roman" w:hAnsi="Times New Roman" w:cs="Times New Roman"/>
                <w:b w:val="false"/>
                <w:bCs w:val="false"/>
                <w:i w:val="false"/>
                <w:i w:val="false"/>
                <w:iCs w:val="false"/>
                <w:sz w:val="20"/>
                <w:szCs w:val="20"/>
              </w:rPr>
            </w:pPr>
            <w:r>
              <w:rPr>
                <w:rFonts w:cs="Times New Roman"/>
                <w:b/>
                <w:bCs/>
                <w:i/>
                <w:iCs/>
                <w:sz w:val="20"/>
                <w:szCs w:val="20"/>
              </w:rPr>
              <w:t xml:space="preserve">Б </w:t>
            </w:r>
            <w:r>
              <w:rPr>
                <w:rFonts w:eastAsia="Calibri" w:cs="Times New Roman" w:eastAsiaTheme="minorHAnsi"/>
                <w:b/>
                <w:bCs/>
                <w:i/>
                <w:iCs/>
                <w:color w:val="auto"/>
                <w:kern w:val="0"/>
                <w:sz w:val="20"/>
                <w:szCs w:val="20"/>
                <w:vertAlign w:val="subscript"/>
                <w:lang w:val="ru-RU" w:eastAsia="en-US" w:bidi="ar-SA"/>
              </w:rPr>
              <w:t>3</w:t>
            </w:r>
            <w:r>
              <w:rPr>
                <w:rFonts w:cs="Times New Roman"/>
                <w:b/>
                <w:bCs/>
                <w:i/>
                <w:iCs/>
                <w:sz w:val="20"/>
                <w:szCs w:val="20"/>
              </w:rPr>
              <w:t xml:space="preserve"> = 5 </w:t>
            </w:r>
            <w:r>
              <w:rPr>
                <w:rFonts w:cs="Times New Roman"/>
                <w:b w:val="false"/>
                <w:bCs w:val="false"/>
                <w:i w:val="false"/>
                <w:iCs w:val="false"/>
                <w:sz w:val="20"/>
                <w:szCs w:val="20"/>
              </w:rPr>
              <w:t>Результат оценки финансового состояния (устойчивости): более 0,90 балла – Удовлетворительное финансовое состояние.</w:t>
            </w:r>
          </w:p>
          <w:p>
            <w:pPr>
              <w:pStyle w:val="Normal"/>
              <w:widowControl w:val="false"/>
              <w:numPr>
                <w:ilvl w:val="7"/>
                <w:numId w:val="50"/>
              </w:numPr>
              <w:suppressAutoHyphens w:val="true"/>
              <w:spacing w:lineRule="auto" w:line="240" w:before="0" w:after="160"/>
              <w:jc w:val="left"/>
              <w:rPr/>
            </w:pPr>
            <w:r>
              <w:rPr>
                <w:rFonts w:cs="Times New Roman"/>
                <w:b w:val="false"/>
                <w:bCs w:val="false"/>
                <w:i w:val="false"/>
                <w:iCs w:val="false"/>
                <w:sz w:val="20"/>
                <w:szCs w:val="20"/>
              </w:rPr>
              <w:t>где:</w:t>
            </w:r>
          </w:p>
          <w:p>
            <w:pPr>
              <w:pStyle w:val="Normal"/>
              <w:widowControl w:val="false"/>
              <w:numPr>
                <w:ilvl w:val="7"/>
                <w:numId w:val="51"/>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Б </w:t>
            </w:r>
            <w:r>
              <w:rPr>
                <w:rFonts w:eastAsia="Calibri" w:cs="Times New Roman" w:eastAsiaTheme="minorHAnsi"/>
                <w:b w:val="false"/>
                <w:bCs w:val="false"/>
                <w:i w:val="false"/>
                <w:iCs w:val="false"/>
                <w:color w:val="auto"/>
                <w:kern w:val="0"/>
                <w:sz w:val="20"/>
                <w:szCs w:val="20"/>
                <w:vertAlign w:val="subscript"/>
                <w:lang w:val="ru-RU" w:eastAsia="en-US" w:bidi="ar-SA"/>
              </w:rPr>
              <w:t>3</w:t>
            </w:r>
            <w:r>
              <w:rPr>
                <w:rFonts w:cs="Times New Roman"/>
                <w:b w:val="false"/>
                <w:bCs w:val="false"/>
                <w:i w:val="false"/>
                <w:iCs w:val="false"/>
                <w:sz w:val="20"/>
                <w:szCs w:val="20"/>
              </w:rPr>
              <w:t xml:space="preserve"> –рассчитанная оценка предпочтительности по данному частному критерию оценки в баллах.</w:t>
            </w:r>
          </w:p>
          <w:p>
            <w:pPr>
              <w:pStyle w:val="Normal"/>
              <w:widowControl w:val="false"/>
              <w:numPr>
                <w:ilvl w:val="7"/>
                <w:numId w:val="52"/>
              </w:numPr>
              <w:suppressAutoHyphens w:val="true"/>
              <w:spacing w:lineRule="auto" w:line="259" w:before="0" w:after="160"/>
              <w:jc w:val="left"/>
              <w:rPr>
                <w:sz w:val="18"/>
                <w:szCs w:val="18"/>
              </w:rPr>
            </w:pPr>
            <w:r>
              <w:rPr>
                <w:rFonts w:cs="Times New Roman"/>
                <w:b w:val="false"/>
                <w:bCs w:val="false"/>
                <w:i w:val="false"/>
                <w:iCs w:val="false"/>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Normal"/>
              <w:widowControl w:val="false"/>
              <w:numPr>
                <w:ilvl w:val="7"/>
                <w:numId w:val="53"/>
              </w:numPr>
              <w:suppressAutoHyphens w:val="true"/>
              <w:spacing w:lineRule="auto" w:line="259" w:before="0" w:after="160"/>
              <w:jc w:val="left"/>
              <w:rPr>
                <w:sz w:val="18"/>
                <w:szCs w:val="18"/>
              </w:rPr>
            </w:pPr>
            <w:r>
              <w:rPr>
                <w:rFonts w:cs="Times New Roman"/>
                <w:b w:val="false"/>
                <w:bCs w:val="false"/>
                <w:i w:val="false"/>
                <w:iCs w:val="false"/>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w:t>
            </w:r>
            <w:r>
              <w:rPr>
                <w:rFonts w:cs="Times New Roman"/>
                <w:b w:val="false"/>
                <w:bCs w:val="false"/>
                <w:i w:val="false"/>
                <w:iCs w:val="false"/>
                <w:sz w:val="18"/>
                <w:szCs w:val="18"/>
                <w:shd w:fill="FFFF00" w:val="clear"/>
              </w:rPr>
              <w:t xml:space="preserve"> </w:t>
            </w:r>
            <w:r>
              <w:rPr>
                <w:rFonts w:cs="Times New Roman"/>
                <w:b w:val="false"/>
                <w:bCs w:val="false"/>
                <w:i w:val="false"/>
                <w:iCs w:val="false"/>
                <w:sz w:val="18"/>
                <w:szCs w:val="18"/>
                <w:shd w:fill="auto" w:val="clear"/>
              </w:rPr>
              <w:t>(форма No 11 Приложения 4 к ДоЗ)</w:t>
            </w:r>
          </w:p>
          <w:p>
            <w:pPr>
              <w:pStyle w:val="Normal"/>
              <w:widowControl w:val="false"/>
              <w:numPr>
                <w:ilvl w:val="7"/>
                <w:numId w:val="54"/>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shd w:fill="FFFF00" w:val="clear"/>
              </w:rPr>
              <w:t xml:space="preserve"> </w:t>
            </w:r>
            <w:r>
              <w:rPr>
                <w:rFonts w:eastAsia="Calibri" w:cs="Times New Roman" w:eastAsiaTheme="minorHAnsi"/>
                <w:b/>
                <w:bCs/>
                <w:i/>
                <w:iCs/>
                <w:color w:val="auto"/>
                <w:kern w:val="0"/>
                <w:sz w:val="18"/>
                <w:szCs w:val="18"/>
                <w:lang w:val="ru-RU" w:eastAsia="en-US" w:bidi="ar-SA"/>
              </w:rPr>
              <w:t>Шкала оценок от 0 до 5 баллов.</w:t>
            </w:r>
          </w:p>
        </w:tc>
      </w:tr>
      <w:tr>
        <w:trPr/>
        <w:tc>
          <w:tcPr>
            <w:tcW w:w="4488" w:type="dxa"/>
            <w:gridSpan w:val="3"/>
            <w:tcBorders/>
            <w:shd w:color="auto" w:fill="auto" w:val="clear"/>
          </w:tcPr>
          <w:p>
            <w:pPr>
              <w:pStyle w:val="Normal"/>
              <w:widowControl w:val="false"/>
              <w:suppressAutoHyphens w:val="true"/>
              <w:spacing w:before="0" w:after="0"/>
              <w:jc w:val="left"/>
              <w:rPr>
                <w:rFonts w:ascii="Times New Roman" w:hAnsi="Times New Roman" w:cs="Times New Roman"/>
                <w:b/>
                <w:bCs/>
                <w:i/>
                <w:i/>
                <w:iCs/>
                <w:sz w:val="24"/>
                <w:szCs w:val="24"/>
              </w:rPr>
            </w:pPr>
            <w:r>
              <w:rPr>
                <w:rFonts w:cs="Times New Roman"/>
                <w:b/>
                <w:bCs/>
                <w:i/>
                <w:iCs/>
                <w:sz w:val="24"/>
                <w:szCs w:val="24"/>
              </w:rPr>
              <w:t>Итоговая оценка предпочтительности заявок</w:t>
            </w:r>
          </w:p>
        </w:tc>
        <w:tc>
          <w:tcPr>
            <w:tcW w:w="10690" w:type="dxa"/>
            <w:gridSpan w:val="5"/>
            <w:tcBorders>
              <w:bottom w:val="single" w:sz="8" w:space="0" w:color="00000A"/>
              <w:right w:val="single" w:sz="8" w:space="0" w:color="00000A"/>
            </w:tcBorders>
            <w:shd w:color="auto" w:fill="auto" w:val="clear"/>
          </w:tcPr>
          <w:p>
            <w:pPr>
              <w:pStyle w:val="Normal"/>
              <w:widowControl w:val="false"/>
              <w:numPr>
                <w:ilvl w:val="6"/>
                <w:numId w:val="55"/>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 xml:space="preserve">Расчет итоговой оценки предпочтительности </w:t>
            </w:r>
            <w:r>
              <w:rPr>
                <w:rFonts w:eastAsia="Calibri" w:cs="Times New Roman"/>
                <w:b w:val="false"/>
                <w:bCs w:val="false"/>
                <w:i w:val="false"/>
                <w:iCs w:val="false"/>
                <w:kern w:val="0"/>
                <w:sz w:val="20"/>
                <w:szCs w:val="20"/>
                <w:lang w:val="en-US" w:eastAsia="en-US" w:bidi="ar-SA"/>
              </w:rPr>
              <w:t>i</w:t>
            </w:r>
            <w:r>
              <w:rPr>
                <w:rFonts w:eastAsia="Calibri" w:cs="Times New Roman"/>
                <w:b w:val="false"/>
                <w:bCs w:val="false"/>
                <w:i w:val="false"/>
                <w:iCs w:val="false"/>
                <w:kern w:val="0"/>
                <w:sz w:val="20"/>
                <w:szCs w:val="20"/>
                <w:lang w:val="ru-RU" w:eastAsia="en-US" w:bidi="ar-SA"/>
              </w:rPr>
              <w:t>-ой заявки:</w:t>
            </w:r>
          </w:p>
          <w:p>
            <w:pPr>
              <w:pStyle w:val="Normal"/>
              <w:widowControl w:val="false"/>
              <w:numPr>
                <w:ilvl w:val="0"/>
                <w:numId w:val="0"/>
              </w:numPr>
              <w:suppressAutoHyphens w:val="true"/>
              <w:spacing w:lineRule="auto" w:line="259" w:before="0" w:after="160"/>
              <w:ind w:left="0" w:hanging="0"/>
              <w:jc w:val="left"/>
              <w:rPr>
                <w:sz w:val="22"/>
                <w:szCs w:val="22"/>
              </w:rPr>
            </w:pPr>
            <w:r>
              <w:rPr>
                <w:rFonts w:eastAsia="Calibri" w:cs="Times New Roman"/>
                <w:b w:val="false"/>
                <w:bCs w:val="false"/>
                <w:i w:val="false"/>
                <w:iCs w:val="false"/>
                <w:kern w:val="0"/>
                <w:sz w:val="22"/>
                <w:szCs w:val="22"/>
                <w:lang w:val="ru-RU" w:eastAsia="en-US" w:bidi="ar-SA"/>
              </w:rPr>
              <w:t>Б</w:t>
            </w:r>
            <w:r>
              <w:rPr>
                <w:rFonts w:eastAsia="Calibri" w:cs="Times New Roman"/>
                <w:b/>
                <w:bCs/>
                <w:i/>
                <w:iCs/>
                <w:kern w:val="0"/>
                <w:sz w:val="22"/>
                <w:szCs w:val="22"/>
                <w:vertAlign w:val="subscript"/>
                <w:lang w:val="ru-RU" w:eastAsia="en-US" w:bidi="ar-SA"/>
              </w:rPr>
              <w:t xml:space="preserve">итог </w:t>
            </w:r>
            <w:r>
              <w:rPr>
                <w:rFonts w:eastAsia="Calibri" w:cs="Times New Roman"/>
                <w:b/>
                <w:bCs/>
                <w:i/>
                <w:iCs/>
                <w:kern w:val="0"/>
                <w:position w:val="0"/>
                <w:sz w:val="22"/>
                <w:sz w:val="22"/>
                <w:szCs w:val="22"/>
                <w:vertAlign w:val="baseline"/>
                <w:lang w:val="ru-RU" w:eastAsia="en-US" w:bidi="ar-SA"/>
              </w:rPr>
              <w:t>=</w:t>
            </w:r>
            <w:r>
              <w:rPr>
                <w:rFonts w:eastAsia="Calibri" w:cs="Times New Roman"/>
                <w:b w:val="false"/>
                <w:bCs w:val="false"/>
                <w:i w:val="false"/>
                <w:iCs w:val="false"/>
                <w:kern w:val="0"/>
                <w:position w:val="0"/>
                <w:sz w:val="22"/>
                <w:sz w:val="22"/>
                <w:szCs w:val="22"/>
                <w:vertAlign w:val="baseline"/>
                <w:lang w:val="ru-RU" w:eastAsia="en-US" w:bidi="ar-SA"/>
              </w:rPr>
              <w:t>Б</w:t>
            </w:r>
            <w:r>
              <w:rPr>
                <w:rFonts w:eastAsia="Calibri" w:cs="Times New Roman"/>
                <w:b w:val="false"/>
                <w:bCs w:val="false"/>
                <w:i w:val="false"/>
                <w:iCs w:val="false"/>
                <w:kern w:val="0"/>
                <w:sz w:val="22"/>
                <w:szCs w:val="22"/>
                <w:vertAlign w:val="subscript"/>
                <w:lang w:val="ru-RU" w:eastAsia="en-US" w:bidi="ar-SA"/>
              </w:rPr>
              <w:t>1</w:t>
            </w:r>
            <w:r>
              <w:rPr>
                <w:rFonts w:eastAsia="Calibri" w:cs="Times New Roman" w:ascii="Carlito" w:hAnsi="Carlito"/>
                <w:b w:val="false"/>
                <w:bCs w:val="false"/>
                <w:i w:val="false"/>
                <w:iCs w:val="false"/>
                <w:kern w:val="0"/>
                <w:position w:val="0"/>
                <w:sz w:val="22"/>
                <w:sz w:val="22"/>
                <w:szCs w:val="22"/>
                <w:vertAlign w:val="baseline"/>
                <w:lang w:val="ru-RU" w:eastAsia="en-US" w:bidi="ar-SA"/>
              </w:rPr>
              <w:t>х</w:t>
            </w:r>
            <w:r>
              <w:rPr>
                <w:rFonts w:eastAsia="Calibri" w:cs="Times New Roman"/>
                <w:b w:val="false"/>
                <w:bCs w:val="false"/>
                <w:i w:val="false"/>
                <w:iCs w:val="false"/>
                <w:kern w:val="0"/>
                <w:position w:val="0"/>
                <w:sz w:val="22"/>
                <w:sz w:val="22"/>
                <w:szCs w:val="22"/>
                <w:vertAlign w:val="baseline"/>
                <w:lang w:val="ru-RU" w:eastAsia="en-US" w:bidi="ar-SA"/>
              </w:rPr>
              <w:t xml:space="preserve"> В</w:t>
            </w:r>
            <w:r>
              <w:rPr>
                <w:rFonts w:eastAsia="Calibri" w:cs="Times New Roman"/>
                <w:b w:val="false"/>
                <w:bCs w:val="false"/>
                <w:i w:val="false"/>
                <w:iCs w:val="false"/>
                <w:kern w:val="0"/>
                <w:sz w:val="22"/>
                <w:szCs w:val="22"/>
                <w:vertAlign w:val="subscript"/>
                <w:lang w:val="ru-RU" w:eastAsia="en-US" w:bidi="ar-SA"/>
              </w:rPr>
              <w:t>1</w:t>
            </w:r>
            <w:r>
              <w:rPr>
                <w:rFonts w:eastAsia="Calibri" w:cs="Times New Roman"/>
                <w:b w:val="false"/>
                <w:bCs w:val="false"/>
                <w:i w:val="false"/>
                <w:iCs w:val="false"/>
                <w:kern w:val="0"/>
                <w:position w:val="0"/>
                <w:sz w:val="22"/>
                <w:sz w:val="22"/>
                <w:szCs w:val="22"/>
                <w:vertAlign w:val="baseline"/>
                <w:lang w:val="ru-RU" w:eastAsia="en-US" w:bidi="ar-SA"/>
              </w:rPr>
              <w:t>+ Б</w:t>
            </w:r>
            <w:r>
              <w:rPr>
                <w:rFonts w:eastAsia="Calibri" w:cs="Times New Roman"/>
                <w:b w:val="false"/>
                <w:bCs w:val="false"/>
                <w:i w:val="false"/>
                <w:iCs w:val="false"/>
                <w:kern w:val="0"/>
                <w:sz w:val="22"/>
                <w:szCs w:val="22"/>
                <w:vertAlign w:val="subscript"/>
                <w:lang w:val="ru-RU" w:eastAsia="en-US" w:bidi="ar-SA"/>
              </w:rPr>
              <w:t xml:space="preserve">2  </w:t>
            </w:r>
            <w:r>
              <w:rPr>
                <w:rFonts w:eastAsia="Calibri" w:cs="Times New Roman" w:ascii="Carlito" w:hAnsi="Carlito"/>
                <w:b w:val="false"/>
                <w:bCs w:val="false"/>
                <w:i w:val="false"/>
                <w:iCs w:val="false"/>
                <w:kern w:val="0"/>
                <w:position w:val="0"/>
                <w:sz w:val="22"/>
                <w:sz w:val="22"/>
                <w:szCs w:val="22"/>
                <w:vertAlign w:val="baseline"/>
                <w:lang w:val="ru-RU" w:eastAsia="en-US" w:bidi="ar-SA"/>
              </w:rPr>
              <w:t>х</w:t>
            </w:r>
            <w:r>
              <w:rPr>
                <w:rFonts w:eastAsia="Calibri" w:cs="Times New Roman"/>
                <w:b w:val="false"/>
                <w:bCs w:val="false"/>
                <w:i w:val="false"/>
                <w:iCs w:val="false"/>
                <w:kern w:val="0"/>
                <w:position w:val="0"/>
                <w:sz w:val="22"/>
                <w:sz w:val="22"/>
                <w:szCs w:val="22"/>
                <w:vertAlign w:val="baseline"/>
                <w:lang w:val="ru-RU" w:eastAsia="en-US" w:bidi="ar-SA"/>
              </w:rPr>
              <w:t xml:space="preserve"> В</w:t>
            </w:r>
            <w:r>
              <w:rPr>
                <w:rFonts w:eastAsia="Calibri" w:cs="Times New Roman"/>
                <w:b w:val="false"/>
                <w:bCs w:val="false"/>
                <w:i w:val="false"/>
                <w:iCs w:val="false"/>
                <w:kern w:val="0"/>
                <w:sz w:val="22"/>
                <w:szCs w:val="22"/>
                <w:vertAlign w:val="subscript"/>
                <w:lang w:val="ru-RU" w:eastAsia="en-US" w:bidi="ar-SA"/>
              </w:rPr>
              <w:t>2</w:t>
            </w:r>
          </w:p>
          <w:p>
            <w:pPr>
              <w:pStyle w:val="Normal"/>
              <w:widowControl w:val="false"/>
              <w:numPr>
                <w:ilvl w:val="6"/>
                <w:numId w:val="56"/>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где:</w:t>
            </w:r>
          </w:p>
          <w:p>
            <w:pPr>
              <w:pStyle w:val="Normal"/>
              <w:widowControl w:val="false"/>
              <w:numPr>
                <w:ilvl w:val="6"/>
                <w:numId w:val="57"/>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Б</w:t>
            </w:r>
            <w:r>
              <w:rPr>
                <w:rFonts w:eastAsia="Calibri" w:cs="Times New Roman"/>
                <w:b w:val="false"/>
                <w:bCs w:val="false"/>
                <w:i w:val="false"/>
                <w:iCs w:val="false"/>
                <w:kern w:val="0"/>
                <w:sz w:val="20"/>
                <w:szCs w:val="20"/>
                <w:vertAlign w:val="subscript"/>
                <w:lang w:val="ru-RU" w:eastAsia="en-US" w:bidi="ar-SA"/>
              </w:rPr>
              <w:t>ИТОГ</w:t>
            </w:r>
            <w:r>
              <w:rPr>
                <w:rFonts w:eastAsia="Calibri" w:cs="Times New Roman"/>
                <w:b w:val="false"/>
                <w:bCs w:val="false"/>
                <w:i w:val="false"/>
                <w:iCs w:val="false"/>
                <w:kern w:val="0"/>
                <w:sz w:val="20"/>
                <w:szCs w:val="20"/>
                <w:vertAlign w:val="subscript"/>
                <w:lang w:val="en-US" w:eastAsia="en-US" w:bidi="ar-SA"/>
              </w:rPr>
              <w:t>i</w:t>
            </w:r>
            <w:r>
              <w:rPr>
                <w:rFonts w:eastAsia="Calibri" w:cs="Times New Roman"/>
                <w:b w:val="false"/>
                <w:bCs w:val="false"/>
                <w:i w:val="false"/>
                <w:iCs w:val="false"/>
                <w:kern w:val="0"/>
                <w:sz w:val="20"/>
                <w:szCs w:val="20"/>
                <w:lang w:val="ru-RU" w:eastAsia="en-US" w:bidi="ar-SA"/>
              </w:rPr>
              <w:tab/>
              <w:t>–</w:t>
              <w:tab/>
              <w:t xml:space="preserve">рассчитанная итоговая оценка предпочтительности </w:t>
            </w:r>
            <w:r>
              <w:rPr>
                <w:rFonts w:eastAsia="Calibri" w:cs="Times New Roman"/>
                <w:b w:val="false"/>
                <w:bCs w:val="false"/>
                <w:i w:val="false"/>
                <w:iCs w:val="false"/>
                <w:kern w:val="0"/>
                <w:sz w:val="20"/>
                <w:szCs w:val="20"/>
                <w:lang w:val="en-US" w:eastAsia="en-US" w:bidi="ar-SA"/>
              </w:rPr>
              <w:t>i</w:t>
            </w:r>
            <w:r>
              <w:rPr>
                <w:rFonts w:eastAsia="Calibri" w:cs="Times New Roman"/>
                <w:b w:val="false"/>
                <w:bCs w:val="false"/>
                <w:i w:val="false"/>
                <w:iCs w:val="false"/>
                <w:kern w:val="0"/>
                <w:sz w:val="20"/>
                <w:szCs w:val="20"/>
                <w:lang w:val="ru-RU" w:eastAsia="en-US" w:bidi="ar-SA"/>
              </w:rPr>
              <w:t>-ой заявки в баллах (шкала оценок от 0 до 5 баллов);</w:t>
            </w:r>
          </w:p>
          <w:p>
            <w:pPr>
              <w:pStyle w:val="Normal"/>
              <w:widowControl w:val="false"/>
              <w:numPr>
                <w:ilvl w:val="6"/>
                <w:numId w:val="58"/>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Б</w:t>
            </w:r>
            <w:r>
              <w:rPr>
                <w:rFonts w:eastAsia="Calibri" w:cs="Times New Roman"/>
                <w:b w:val="false"/>
                <w:bCs w:val="false"/>
                <w:i w:val="false"/>
                <w:iCs w:val="false"/>
                <w:kern w:val="0"/>
                <w:sz w:val="20"/>
                <w:szCs w:val="20"/>
                <w:vertAlign w:val="subscript"/>
                <w:lang w:val="ru-RU" w:eastAsia="en-US" w:bidi="ar-SA"/>
              </w:rPr>
              <w:t>1</w:t>
            </w:r>
            <w:r>
              <w:rPr>
                <w:rFonts w:eastAsia="Calibri" w:cs="Times New Roman"/>
                <w:b w:val="false"/>
                <w:bCs w:val="false"/>
                <w:i w:val="false"/>
                <w:iCs w:val="false"/>
                <w:kern w:val="0"/>
                <w:sz w:val="20"/>
                <w:szCs w:val="20"/>
                <w:lang w:val="ru-RU" w:eastAsia="en-US" w:bidi="ar-SA"/>
              </w:rPr>
              <w:tab/>
              <w:t>–</w:t>
              <w:tab/>
              <w:t>рассчитанная оценка предпочтительности по первому критерию оценки первого уровня в баллах;</w:t>
            </w:r>
          </w:p>
          <w:p>
            <w:pPr>
              <w:pStyle w:val="Normal"/>
              <w:widowControl w:val="false"/>
              <w:numPr>
                <w:ilvl w:val="6"/>
                <w:numId w:val="59"/>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В</w:t>
            </w:r>
            <w:r>
              <w:rPr>
                <w:rFonts w:eastAsia="Calibri" w:cs="Times New Roman"/>
                <w:b w:val="false"/>
                <w:bCs w:val="false"/>
                <w:i w:val="false"/>
                <w:iCs w:val="false"/>
                <w:kern w:val="0"/>
                <w:sz w:val="20"/>
                <w:szCs w:val="20"/>
                <w:vertAlign w:val="subscript"/>
                <w:lang w:val="ru-RU" w:eastAsia="en-US" w:bidi="ar-SA"/>
              </w:rPr>
              <w:t>1</w:t>
            </w:r>
            <w:r>
              <w:rPr>
                <w:rFonts w:eastAsia="Calibri" w:cs="Times New Roman"/>
                <w:b w:val="false"/>
                <w:bCs w:val="false"/>
                <w:i w:val="false"/>
                <w:iCs w:val="false"/>
                <w:kern w:val="0"/>
                <w:position w:val="0"/>
                <w:sz w:val="20"/>
                <w:sz w:val="20"/>
                <w:szCs w:val="20"/>
                <w:vertAlign w:val="baseline"/>
                <w:lang w:val="ru-RU" w:eastAsia="en-US" w:bidi="ar-SA"/>
              </w:rPr>
              <w:t xml:space="preserve"> =0,9</w:t>
            </w:r>
          </w:p>
          <w:p>
            <w:pPr>
              <w:pStyle w:val="Normal"/>
              <w:widowControl w:val="false"/>
              <w:numPr>
                <w:ilvl w:val="6"/>
                <w:numId w:val="60"/>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Б</w:t>
            </w:r>
            <w:r>
              <w:rPr>
                <w:rFonts w:eastAsia="Calibri" w:cs="Times New Roman"/>
                <w:b w:val="false"/>
                <w:bCs w:val="false"/>
                <w:i w:val="false"/>
                <w:iCs w:val="false"/>
                <w:kern w:val="0"/>
                <w:sz w:val="20"/>
                <w:szCs w:val="20"/>
                <w:vertAlign w:val="subscript"/>
                <w:lang w:val="ru-RU" w:eastAsia="en-US" w:bidi="ar-SA"/>
              </w:rPr>
              <w:t>2</w:t>
            </w:r>
            <w:r>
              <w:rPr>
                <w:rFonts w:eastAsia="Calibri" w:cs="Times New Roman"/>
                <w:b w:val="false"/>
                <w:bCs w:val="false"/>
                <w:i w:val="false"/>
                <w:iCs w:val="false"/>
                <w:kern w:val="0"/>
                <w:sz w:val="20"/>
                <w:szCs w:val="20"/>
                <w:lang w:val="ru-RU" w:eastAsia="en-US" w:bidi="ar-SA"/>
              </w:rPr>
              <w:tab/>
              <w:t>–</w:t>
              <w:tab/>
              <w:t>рассчитанная оценка предпочтительности по второму критерию оценки первого уровня в баллах;</w:t>
            </w:r>
          </w:p>
          <w:p>
            <w:pPr>
              <w:pStyle w:val="Normal"/>
              <w:widowControl w:val="false"/>
              <w:numPr>
                <w:ilvl w:val="6"/>
                <w:numId w:val="61"/>
              </w:numPr>
              <w:suppressAutoHyphens w:val="true"/>
              <w:spacing w:lineRule="auto" w:line="259" w:before="0" w:after="160"/>
              <w:ind w:left="204" w:hanging="141"/>
              <w:jc w:val="left"/>
              <w:rPr>
                <w:b w:val="false"/>
                <w:bCs w:val="false"/>
                <w:i w:val="false"/>
                <w:i w:val="false"/>
                <w:iCs w:val="false"/>
              </w:rPr>
            </w:pPr>
            <w:r>
              <w:rPr>
                <w:rFonts w:eastAsia="Calibri" w:cs="Times New Roman"/>
                <w:b w:val="false"/>
                <w:bCs w:val="false"/>
                <w:i w:val="false"/>
                <w:iCs w:val="false"/>
                <w:kern w:val="0"/>
                <w:sz w:val="20"/>
                <w:szCs w:val="20"/>
                <w:lang w:val="ru-RU" w:eastAsia="en-US" w:bidi="ar-SA"/>
              </w:rPr>
              <w:t>В</w:t>
            </w:r>
            <w:r>
              <w:rPr>
                <w:rFonts w:eastAsia="Calibri" w:cs="Times New Roman"/>
                <w:b w:val="false"/>
                <w:bCs w:val="false"/>
                <w:i w:val="false"/>
                <w:iCs w:val="false"/>
                <w:kern w:val="0"/>
                <w:sz w:val="20"/>
                <w:szCs w:val="20"/>
                <w:vertAlign w:val="subscript"/>
                <w:lang w:val="ru-RU" w:eastAsia="en-US" w:bidi="ar-SA"/>
              </w:rPr>
              <w:t>2 =</w:t>
            </w:r>
            <w:r>
              <w:rPr>
                <w:rFonts w:eastAsia="Calibri" w:cs="Times New Roman"/>
                <w:b w:val="false"/>
                <w:bCs w:val="false"/>
                <w:i w:val="false"/>
                <w:iCs w:val="false"/>
                <w:kern w:val="0"/>
                <w:position w:val="0"/>
                <w:sz w:val="20"/>
                <w:sz w:val="20"/>
                <w:szCs w:val="20"/>
                <w:vertAlign w:val="baseline"/>
                <w:lang w:val="ru-RU" w:eastAsia="en-US" w:bidi="ar-SA"/>
              </w:rPr>
              <w:t>0,1</w:t>
            </w:r>
          </w:p>
        </w:tc>
      </w:tr>
    </w:tbl>
    <w:p>
      <w:pPr>
        <w:pStyle w:val="Normal"/>
        <w:rPr/>
      </w:pPr>
      <w:r>
        <w:rPr/>
      </w:r>
    </w:p>
    <w:p>
      <w:pPr>
        <w:pStyle w:val="Style26"/>
        <w:rPr/>
      </w:pPr>
      <w:bookmarkStart w:id="402" w:name="_GoBack"/>
      <w:bookmarkEnd w:id="402"/>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2"/>
          <w:headerReference w:type="first" r:id="rId33"/>
          <w:footerReference w:type="default" r:id="rId34"/>
          <w:footerReference w:type="first" r:id="rId3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4"/>
        <w:rPr/>
      </w:pPr>
      <w:bookmarkStart w:id="403" w:name="_Ref125360420"/>
      <w:bookmarkStart w:id="404" w:name="Прил09_ОбоснованиеНМЦ"/>
      <w:bookmarkStart w:id="405" w:name="_Toc186224336"/>
      <w:bookmarkStart w:id="406" w:name="_Toc136261689"/>
      <w:bookmarkStart w:id="407" w:name="_Toc136261691"/>
      <w:bookmarkStart w:id="408" w:name="_Toc136261766"/>
      <w:bookmarkStart w:id="409" w:name="_Toc136261769"/>
      <w:bookmarkStart w:id="410" w:name="_Toc136249261"/>
      <w:bookmarkStart w:id="411" w:name="_Toc136261690"/>
      <w:bookmarkStart w:id="412" w:name="_Toc136261767"/>
      <w:bookmarkStart w:id="413" w:name="_Toc136249262"/>
      <w:bookmarkStart w:id="414" w:name="_Toc136249260"/>
      <w:bookmarkStart w:id="415" w:name="_Toc136261768"/>
      <w:bookmarkStart w:id="416" w:name="_Toc136249263"/>
      <w:bookmarkStart w:id="417" w:name="_Toc136261692"/>
      <w:bookmarkEnd w:id="406"/>
      <w:bookmarkEnd w:id="407"/>
      <w:bookmarkEnd w:id="408"/>
      <w:bookmarkEnd w:id="409"/>
      <w:bookmarkEnd w:id="410"/>
      <w:bookmarkEnd w:id="411"/>
      <w:bookmarkEnd w:id="412"/>
      <w:bookmarkEnd w:id="413"/>
      <w:bookmarkEnd w:id="414"/>
      <w:bookmarkEnd w:id="415"/>
      <w:bookmarkEnd w:id="416"/>
      <w:bookmarkEnd w:id="417"/>
      <w:r>
        <w:rPr/>
        <w:t>Приложение № 9 – Обоснование НМЦ</w:t>
      </w:r>
      <w:bookmarkEnd w:id="403"/>
      <w:bookmarkEnd w:id="404"/>
      <w:bookmarkEnd w:id="405"/>
    </w:p>
    <w:p>
      <w:pPr>
        <w:pStyle w:val="Style25"/>
        <w:rPr/>
      </w:pPr>
      <w:bookmarkStart w:id="418" w:name="_Toc186224337"/>
      <w:r>
        <w:rPr/>
        <w:t>Пояснения к Обоснованию НМЦ</w:t>
      </w:r>
      <w:bookmarkEnd w:id="418"/>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419" w:name="_Toc186224338"/>
      <w:bookmarkStart w:id="420" w:name="Прил10_ЗаявкаНаАккредитацию"/>
      <w:bookmarkEnd w:id="420"/>
      <w:r>
        <w:rPr/>
        <w:t>Приложение № 10 – Форма Заявки на аккредитацию</w:t>
      </w:r>
      <w:bookmarkEnd w:id="419"/>
    </w:p>
    <w:p>
      <w:pPr>
        <w:pStyle w:val="Style25"/>
        <w:rPr/>
      </w:pPr>
      <w:bookmarkStart w:id="421" w:name="_Toc186224339"/>
      <w:r>
        <w:rPr/>
        <w:t>Пояснения к форме Заявки на аккредитацию</w:t>
      </w:r>
      <w:bookmarkEnd w:id="421"/>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w:object>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78pt;height:50.25pt;mso-wrap-distance-right:0pt" filled="f" o:ole="">
            <v:imagedata r:id="rId37" o:title=""/>
          </v:shape>
          <o:OLEObject Type="Embed" ProgID="Excel.Sheet.12" ShapeID="ole_rId36" DrawAspect="Icon" ObjectID="_572126516" r:id="rId36"/>
        </w:object>
      </w:r>
    </w:p>
    <w:sectPr>
      <w:headerReference w:type="default" r:id="rId38"/>
      <w:headerReference w:type="first" r:id="rId39"/>
      <w:footerReference w:type="default" r:id="rId40"/>
      <w:footerReference w:type="first" r:id="rId4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Carlito">
    <w:altName w:val="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52237940"/>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08186204"/>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34351164"/>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6677692"/>
    </w:sdtPr>
    <w:sdtContent>
      <w:p>
        <w:pPr>
          <w:pStyle w:val="Footer"/>
          <w:spacing w:before="120" w:after="0"/>
          <w:rPr/>
        </w:pPr>
        <w:r>
          <w:rPr/>
          <w:fldChar w:fldCharType="begin"/>
        </w:r>
        <w:r>
          <w:rPr/>
          <w:instrText xml:space="preserve"> PAGE </w:instrText>
        </w:r>
        <w:r>
          <w:rPr/>
          <w:fldChar w:fldCharType="separate"/>
        </w:r>
        <w:r>
          <w:rPr/>
          <w:t>79</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43998422"/>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5894271"/>
    </w:sdtPr>
    <w:sdtContent>
      <w:p>
        <w:pPr>
          <w:pStyle w:val="Footer"/>
          <w:spacing w:before="120" w:after="0"/>
          <w:rPr/>
        </w:pPr>
        <w:r>
          <w:rPr/>
          <w:fldChar w:fldCharType="begin"/>
        </w:r>
        <w:r>
          <w:rPr/>
          <w:instrText xml:space="preserve"> PAGE </w:instrText>
        </w:r>
        <w:r>
          <w:rPr/>
          <w:fldChar w:fldCharType="separate"/>
        </w:r>
        <w:r>
          <w:rPr/>
          <w:t>53</w:t>
        </w:r>
        <w:r>
          <w:rPr/>
          <w:fldChar w:fldCharType="end"/>
        </w:r>
        <w:r>
          <w:rPr/>
          <w:t>отказ</w:t>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88453311"/>
    </w:sdtPr>
    <w:sdtContent>
      <w:p>
        <w:pPr>
          <w:pStyle w:val="Footer"/>
          <w:spacing w:before="120" w:after="0"/>
          <w:rPr/>
        </w:pPr>
        <w:r>
          <w:rPr/>
          <w:fldChar w:fldCharType="begin"/>
        </w:r>
        <w:r>
          <w:rPr/>
          <w:instrText xml:space="preserve"> PAGE </w:instrText>
        </w:r>
        <w:r>
          <w:rPr/>
          <w:fldChar w:fldCharType="separate"/>
        </w:r>
        <w:r>
          <w:rPr/>
          <w:t>59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30292633"/>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4.13.5.</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https://minfin.gov.ru/ru/perfomance/tax_relations/policy/bankwarranty/</w:t>
      </w:r>
    </w:p>
  </w:footnote>
  <w:footnote w:id="12">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2"/>
        <w:spacing w:before="80" w:after="0"/>
        <w:ind w:left="567" w:hanging="567"/>
        <w:jc w:val="both"/>
        <w:rPr/>
      </w:pPr>
      <w:r>
        <w:rPr>
          <w:rStyle w:val="Style13"/>
        </w:rPr>
        <w:footnoteRef/>
      </w:r>
      <w:bookmarkStart w:id="422"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22"/>
    </w:p>
  </w:footnote>
  <w:footnote w:id="15">
    <w:p>
      <w:pPr>
        <w:pStyle w:val="Style32"/>
        <w:spacing w:before="80" w:after="0"/>
        <w:ind w:left="567" w:hanging="567"/>
        <w:jc w:val="both"/>
        <w:rPr/>
      </w:pPr>
      <w:r>
        <w:rPr>
          <w:rStyle w:val="Style13"/>
        </w:rPr>
        <w:footnoteRef/>
      </w:r>
      <w:bookmarkStart w:id="423" w:name="_Hlk139028803_Копия_1_Копия_1_Копия_1_Ко"/>
      <w:bookmarkStart w:id="424"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23"/>
      <w:bookmarkEnd w:id="424"/>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sz w:val="18"/>
        <w:szCs w:val="18"/>
      </w:rPr>
    </w:pPr>
    <w:r>
      <w:rPr>
        <w:sz w:val="18"/>
        <w:szCs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7">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9">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0">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1">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2">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7">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9">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0">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1">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2">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7">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39">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0">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1">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2">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3">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4">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5">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6">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7">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8">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9">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0">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1">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2">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3">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4">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5">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6">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7">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8">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59">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60">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61">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startOverride w:val="1"/>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1134" w:hanging="0"/>
        </w:pPr>
        <w:rPr/>
      </w:lvl>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name w:val="Ссылка указателя"/>
    <w:qFormat/>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character" w:styleId="Style21">
    <w:name w:val="комментарий"/>
    <w:qFormat/>
    <w:rPr>
      <w:b/>
      <w:i/>
      <w:shd w:fill="FFFF99" w:val="clear"/>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Tableheader">
    <w:name w:val="Table_header"/>
    <w:basedOn w:val="Normal"/>
    <w:qFormat/>
    <w:pPr/>
    <w:rPr>
      <w:b/>
      <w:sz w:val="20"/>
      <w:szCs w:val="24"/>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paragraph" w:styleId="3">
    <w:name w:val="УРОВЕНЬ_Абзац_тип3"/>
    <w:basedOn w:val="ListParagraph"/>
    <w:qFormat/>
    <w:pPr>
      <w:spacing w:lineRule="exact" w:line="360" w:before="120" w:after="0"/>
      <w:contextualSpacing w:val="false"/>
      <w:jc w:val="both"/>
    </w:pPr>
    <w:rPr>
      <w:rFonts w:ascii="Calibri" w:hAnsi="Calibri"/>
      <w:sz w:val="26"/>
      <w:szCs w:val="2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mailto:DemchenkoMS@rushydro.ru"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package" Target="embeddings/oleObject1.docx"/><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package" Target="embeddings/oleObject2.docx"/><Relationship Id="rId21" Type="http://schemas.openxmlformats.org/officeDocument/2006/relationships/image" Target="media/image2.wmf"/><Relationship Id="rId22" Type="http://schemas.openxmlformats.org/officeDocument/2006/relationships/package" Target="embeddings/oleObject3.docx"/><Relationship Id="rId23" Type="http://schemas.openxmlformats.org/officeDocument/2006/relationships/image" Target="media/image3.wmf"/><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header" Target="header12.xml"/><Relationship Id="rId33" Type="http://schemas.openxmlformats.org/officeDocument/2006/relationships/header" Target="header13.xml"/><Relationship Id="rId34" Type="http://schemas.openxmlformats.org/officeDocument/2006/relationships/footer" Target="footer12.xml"/><Relationship Id="rId35" Type="http://schemas.openxmlformats.org/officeDocument/2006/relationships/footer" Target="footer13.xml"/><Relationship Id="rId36" Type="http://schemas.openxmlformats.org/officeDocument/2006/relationships/package" Target="embeddings/oleObject4.xlsx"/><Relationship Id="rId37" Type="http://schemas.openxmlformats.org/officeDocument/2006/relationships/image" Target="media/image4.wmf"/><Relationship Id="rId38" Type="http://schemas.openxmlformats.org/officeDocument/2006/relationships/header" Target="header14.xml"/><Relationship Id="rId39" Type="http://schemas.openxmlformats.org/officeDocument/2006/relationships/header" Target="header15.xml"/><Relationship Id="rId40" Type="http://schemas.openxmlformats.org/officeDocument/2006/relationships/footer" Target="footer14.xml"/><Relationship Id="rId41" Type="http://schemas.openxmlformats.org/officeDocument/2006/relationships/footer" Target="footer15.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EA78-67BE-4F9F-A3C1-C98635A4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2220</TotalTime>
  <Application>AlterOffice/3.4.0.9$Linux_X86_64 LibreOffice_project/b8daf9e823b1a5463a2f48435ddc2e8696e7d4fc</Application>
  <AppVersion>15.0000</AppVersion>
  <Pages>79</Pages>
  <Words>19033</Words>
  <Characters>132879</Characters>
  <CharactersWithSpaces>150324</CharactersWithSpaces>
  <Paragraphs>1106</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demchenkoms@corp.gidroogk.com</cp:lastModifiedBy>
  <cp:lastPrinted>2025-01-15T09:41:35Z</cp:lastPrinted>
  <dcterms:modified xsi:type="dcterms:W3CDTF">2026-05-29T14:25:21Z</dcterms:modified>
  <cp:revision>190</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