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«Утверждаю»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Исполнительный директор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АО «Загорская ГАЭС-2»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 А.Н. Болотов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Технические требования </w:t>
      </w:r>
    </w:p>
    <w:tbl>
      <w:tblPr>
        <w:tblW w:w="9952" w:type="dxa"/>
        <w:jc w:val="left"/>
        <w:tblInd w:w="7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952"/>
      </w:tblGrid>
      <w:tr>
        <w:trPr/>
        <w:tc>
          <w:tcPr>
            <w:tcW w:w="995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eastAsia="en-US" w:bidi="ar-SA"/>
              </w:rPr>
              <w:t>О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КПД2 52.10.19.900 Хранение энергетического оборудования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Liberation Serif;Times New Roman" w:cs="Liberation Serif;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eastAsia="Calibri"/>
          <w:b/>
          <w:i/>
          <w:i/>
          <w:sz w:val="26"/>
          <w:szCs w:val="26"/>
        </w:rPr>
      </w:pPr>
      <w:r>
        <w:rPr>
          <w:rFonts w:eastAsia="Calibri" w:ascii="Times New Roman" w:hAnsi="Times New Roman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</w:t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Times New Roman" w:hAnsi="Times New Roman"/>
          <w:b w:val="false"/>
          <w:i/>
          <w:i/>
          <w:sz w:val="26"/>
          <w:szCs w:val="26"/>
        </w:rPr>
      </w:pPr>
      <w:r>
        <w:rPr>
          <w:rFonts w:ascii="Times New Roman" w:hAnsi="Times New Roman"/>
          <w:b w:val="false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1. Общие сведения</w:t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  <w:tab/>
        <w:t>Обозначения и сокращения</w:t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  <w:tab/>
        <w:t>Наименование Услуг</w:t>
        <w:tab/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  <w:tab/>
        <w:t xml:space="preserve">Цель оказания Услуг </w:t>
        <w:tab/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  <w:tab/>
        <w:t xml:space="preserve">Существующее положение </w:t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  <w:tab/>
        <w:t xml:space="preserve">Информация, предоставляемая Поклажедателем </w:t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Иные требования и сведения общего характера</w:t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  <w:tab/>
        <w:t>Требования к Услугам</w:t>
        <w:tab/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  <w:tab/>
        <w:t>Требования к объемам и срокам оказания Услуг</w:t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</w:t>
        <w:tab/>
        <w:t>Требования к перечню и объему Услуг</w:t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1. Перечень и объем оказываемых Услуг</w:t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2.2.1.</w:t>
        <w:tab/>
        <w:t>Требования к срокам оказания Услуг</w:t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2. Требования к срокам оказания Услуг</w:t>
        <w:tab/>
        <w:tab/>
        <w:tab/>
        <w:tab/>
        <w:tab/>
        <w:tab/>
        <w:t>3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  <w:tab/>
        <w:t>Требования к качеству Услуг</w:t>
        <w:tab/>
        <w:tab/>
        <w:tab/>
        <w:tab/>
        <w:tab/>
        <w:tab/>
        <w:tab/>
        <w:tab/>
        <w:t>4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 3. Требования к качеству Услуг</w:t>
        <w:tab/>
        <w:tab/>
        <w:tab/>
        <w:tab/>
        <w:tab/>
        <w:tab/>
        <w:tab/>
        <w:t>4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  <w:tab/>
        <w:t>Требования к документации по ценообразованию на этапе заключения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договора</w:t>
        <w:tab/>
        <w:tab/>
        <w:tab/>
        <w:tab/>
        <w:tab/>
        <w:tab/>
        <w:tab/>
        <w:tab/>
        <w:tab/>
        <w:tab/>
        <w:tab/>
        <w:tab/>
        <w:t>7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  <w:tab/>
        <w:t>Приложения</w:t>
      </w:r>
      <w:r>
        <w:rPr>
          <w:rFonts w:ascii="Times New Roman" w:hAnsi="Times New Roman"/>
          <w:b/>
          <w:sz w:val="26"/>
          <w:szCs w:val="26"/>
        </w:rPr>
        <w:tab/>
        <w:tab/>
        <w:tab/>
        <w:tab/>
        <w:tab/>
        <w:tab/>
        <w:tab/>
        <w:tab/>
        <w:tab/>
        <w:tab/>
        <w:tab/>
        <w:t>7</w:t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 Общие сведения</w:t>
      </w:r>
    </w:p>
    <w:p>
      <w:pPr>
        <w:pStyle w:val="ListParagraph"/>
        <w:numPr>
          <w:ilvl w:val="0"/>
          <w:numId w:val="3"/>
        </w:numPr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Основные термины и определения</w:t>
      </w:r>
    </w:p>
    <w:p>
      <w:pPr>
        <w:pStyle w:val="BodyText"/>
        <w:numPr>
          <w:ilvl w:val="0"/>
        </w:numPr>
        <w:spacing w:lineRule="auto" w:line="240"/>
        <w:jc w:val="both"/>
        <w:rPr/>
      </w:pPr>
      <w:r>
        <w:rPr>
          <w:rStyle w:val="Strong"/>
          <w:rFonts w:cs="Times New Roman" w:ascii="Times New Roman" w:hAnsi="Times New Roman"/>
          <w:color w:val="333333"/>
          <w:sz w:val="26"/>
          <w:szCs w:val="26"/>
        </w:rPr>
        <w:t xml:space="preserve">Хранитель 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 — это лицо, которое обеспечивает сохранность имущества и возвращает его в установленный срок согласно условиям договора.</w:t>
      </w:r>
    </w:p>
    <w:p>
      <w:pPr>
        <w:pStyle w:val="ListParagraph"/>
        <w:ind w:left="170" w:right="0" w:hanging="17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333333"/>
          <w:sz w:val="26"/>
          <w:szCs w:val="26"/>
        </w:rPr>
        <w:t>Поклажедатель 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- это</w:t>
      </w:r>
      <w:r>
        <w:rPr>
          <w:rFonts w:cs="Times New Roman" w:ascii="Times New Roman" w:hAnsi="Times New Roman"/>
          <w:b/>
          <w:bCs/>
          <w:color w:val="333333"/>
          <w:sz w:val="26"/>
          <w:szCs w:val="26"/>
        </w:rPr>
        <w:t> 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лицо (физическое или юридическое), которое производит передачу своей либо чужой вещи на хранение в соответствии с договором хранения.</w:t>
      </w:r>
    </w:p>
    <w:p>
      <w:pPr>
        <w:pStyle w:val="ListParagraph"/>
        <w:numPr>
          <w:ilvl w:val="0"/>
          <w:numId w:val="3"/>
        </w:numPr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 xml:space="preserve">Наименование </w:t>
      </w:r>
      <w:r>
        <w:rPr>
          <w:rFonts w:cs="Times New Roman" w:ascii="Times New Roman" w:hAnsi="Times New Roman"/>
          <w:b/>
          <w:bCs/>
          <w:sz w:val="26"/>
          <w:szCs w:val="26"/>
        </w:rPr>
        <w:t>Услуг</w:t>
      </w:r>
    </w:p>
    <w:p>
      <w:pPr>
        <w:pStyle w:val="ListParagraph"/>
        <w:numPr>
          <w:ilvl w:val="0"/>
        </w:numPr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kern w:val="0"/>
          <w:sz w:val="26"/>
          <w:szCs w:val="26"/>
          <w:lang w:eastAsia="en-US" w:bidi="ar-SA"/>
        </w:rPr>
        <w:t>О</w:t>
      </w:r>
      <w:r>
        <w:rPr>
          <w:rFonts w:eastAsia="Liberation Serif;Times New Roman" w:cs="Times New Roman" w:ascii="Times New Roman" w:hAnsi="Times New Roman"/>
          <w:color w:val="000000"/>
          <w:sz w:val="26"/>
          <w:szCs w:val="26"/>
        </w:rPr>
        <w:t>КПД2 52.10.19.900 Хранение энергетического оборудования</w:t>
      </w:r>
    </w:p>
    <w:p>
      <w:pPr>
        <w:pStyle w:val="ListParagraph"/>
        <w:numPr>
          <w:ilvl w:val="0"/>
          <w:numId w:val="3"/>
        </w:numPr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 xml:space="preserve">Цель </w:t>
      </w:r>
      <w:r>
        <w:rPr>
          <w:rFonts w:cs="Times New Roman" w:ascii="Times New Roman" w:hAnsi="Times New Roman"/>
          <w:b/>
          <w:bCs/>
          <w:sz w:val="26"/>
          <w:szCs w:val="26"/>
        </w:rPr>
        <w:t>оказания Услуг</w:t>
      </w:r>
    </w:p>
    <w:p>
      <w:pPr>
        <w:pStyle w:val="Normal"/>
        <w:widowControl w:val="false"/>
        <w:numPr>
          <w:ilvl w:val="0"/>
        </w:numPr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 xml:space="preserve">Целью оказания Услуг по хранению энергетического оборудования (далее - «Имущество») в неотапливаемом помещении (далее- «Услуги») является обеспечение сохранности Имущества на охраняемой территории в крытом помещении, обеспечивающем его защиту от проникновения атмосферных осадков и солнечной радиации, а также воздействия грунтовых вод. 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>Помещение должно находиться в радиусе не более 10 км от монтажной площадки строящейся Загорской ГАЭС-2, иметь свободный подъезд  для автотранспорта круглый год.</w:t>
      </w:r>
    </w:p>
    <w:p>
      <w:pPr>
        <w:pStyle w:val="ListParagraph"/>
        <w:numPr>
          <w:ilvl w:val="0"/>
          <w:numId w:val="3"/>
        </w:numPr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>Существующее положение</w:t>
      </w:r>
    </w:p>
    <w:p>
      <w:pPr>
        <w:pStyle w:val="Normal"/>
        <w:widowControl w:val="false"/>
        <w:numPr>
          <w:ilvl w:val="0"/>
        </w:numPr>
        <w:tabs>
          <w:tab w:val="clear" w:pos="709"/>
          <w:tab w:val="left" w:pos="426" w:leader="none"/>
        </w:tabs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 xml:space="preserve">Имущество передаётся на хранение  в исправной таре и (или) упаковке, обеспечивающей его полную сохранность и целостность. Планируемая занимаемая площадь составит </w:t>
      </w:r>
      <w:r>
        <w:rPr>
          <w:rFonts w:eastAsia="Calibri" w:cs="Times New Roman" w:ascii="Times New Roman" w:hAnsi="Times New Roman"/>
          <w:sz w:val="26"/>
          <w:szCs w:val="26"/>
          <w:lang w:eastAsia="x-none"/>
        </w:rPr>
        <w:t>400</w:t>
      </w:r>
      <w:r>
        <w:rPr>
          <w:rFonts w:eastAsia="Calibri" w:cs="Times New Roman" w:ascii="Times New Roman" w:hAnsi="Times New Roman"/>
          <w:sz w:val="26"/>
          <w:szCs w:val="26"/>
          <w:lang w:eastAsia="x-none"/>
        </w:rPr>
        <w:t xml:space="preserve"> м².</w:t>
      </w:r>
    </w:p>
    <w:p>
      <w:pPr>
        <w:pStyle w:val="ListParagraph"/>
        <w:numPr>
          <w:ilvl w:val="0"/>
          <w:numId w:val="3"/>
        </w:numPr>
        <w:ind w:left="851" w:right="0" w:hanging="567"/>
        <w:jc w:val="both"/>
        <w:rPr>
          <w:rFonts w:ascii="Times New Roman" w:hAnsi="Times New Roman"/>
          <w:sz w:val="26"/>
          <w:szCs w:val="26"/>
        </w:rPr>
      </w:pPr>
      <w:bookmarkStart w:id="0" w:name="_Hlk49857604"/>
      <w:r>
        <w:rPr>
          <w:rFonts w:cs="Times New Roman" w:ascii="Times New Roman" w:hAnsi="Times New Roman"/>
          <w:b/>
          <w:bCs/>
          <w:sz w:val="26"/>
          <w:szCs w:val="26"/>
        </w:rPr>
        <w:t>Информация, предоставляемая Поклажедателем</w:t>
      </w:r>
      <w:bookmarkEnd w:id="0"/>
    </w:p>
    <w:p>
      <w:pPr>
        <w:pStyle w:val="Normal"/>
        <w:numPr>
          <w:ilvl w:val="0"/>
        </w:numPr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Поклажедатель предоставит Хранителю имеющуюся в наличии техническую или иную документацию и информацию, необходимую Хранителю для выполнения обязательств по Договору.</w:t>
      </w:r>
    </w:p>
    <w:p>
      <w:pPr>
        <w:pStyle w:val="ListParagraph"/>
        <w:numPr>
          <w:ilvl w:val="0"/>
          <w:numId w:val="3"/>
        </w:numPr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>Иные требования и сведения общего характера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</w:p>
    <w:p>
      <w:pPr>
        <w:pStyle w:val="Normal"/>
        <w:numPr>
          <w:ilvl w:val="0"/>
        </w:numPr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оказании Услуг должны выполняться все требования правил техники безопасности, правил пожарной безопасности и правил технической эксплуатации электрических станций и сетей.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разрешения допуска на предприятие и оформления пропусков Поклажедатель должен предоставить Хранителю список специалистов, которые будут уполномочены контролировать оказание Услуг с указанием Ф.И.О., занимаемой должности или квалификации.</w:t>
      </w:r>
    </w:p>
    <w:p>
      <w:pPr>
        <w:pStyle w:val="Normal"/>
        <w:ind w:left="0" w:righ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2. Требования</w:t>
      </w:r>
      <w:r>
        <w:rPr>
          <w:rFonts w:ascii="Times New Roman" w:hAnsi="Times New Roman"/>
          <w:b/>
          <w:iCs/>
          <w:sz w:val="26"/>
          <w:szCs w:val="26"/>
          <w:lang w:val="x-none"/>
        </w:rPr>
        <w:t xml:space="preserve"> к </w:t>
      </w:r>
      <w:r>
        <w:rPr>
          <w:rFonts w:ascii="Times New Roman" w:hAnsi="Times New Roman"/>
          <w:b/>
          <w:iCs/>
          <w:sz w:val="26"/>
          <w:szCs w:val="26"/>
        </w:rPr>
        <w:t>Услугам</w:t>
      </w:r>
    </w:p>
    <w:p>
      <w:pPr>
        <w:pStyle w:val="ListParagraph"/>
        <w:numPr>
          <w:ilvl w:val="0"/>
          <w:numId w:val="4"/>
        </w:numPr>
        <w:ind w:left="851" w:right="0" w:hanging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x-none"/>
        </w:rPr>
        <w:t xml:space="preserve">Требования к объемам и срокам </w:t>
      </w:r>
      <w:r>
        <w:rPr>
          <w:rFonts w:ascii="Times New Roman" w:hAnsi="Times New Roman"/>
          <w:b/>
          <w:bCs/>
          <w:sz w:val="26"/>
          <w:szCs w:val="26"/>
        </w:rPr>
        <w:t>оказания Услуг</w:t>
      </w:r>
    </w:p>
    <w:p>
      <w:pPr>
        <w:pStyle w:val="ListParagraph"/>
        <w:numPr>
          <w:ilvl w:val="0"/>
          <w:numId w:val="5"/>
        </w:numPr>
        <w:ind w:left="1247" w:right="0" w:hanging="6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перечню и объему Услуг</w:t>
      </w:r>
    </w:p>
    <w:p>
      <w:pPr>
        <w:pStyle w:val="Normal"/>
        <w:numPr>
          <w:ilvl w:val="0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x-none"/>
        </w:rPr>
        <w:t>Таблица 1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  <w:lang w:val="x-none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Перечень и объем оказываемых Услуг</w:t>
      </w:r>
    </w:p>
    <w:tbl>
      <w:tblPr>
        <w:tblW w:w="935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824"/>
        <w:gridCol w:w="2092"/>
        <w:gridCol w:w="175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ind w:left="0" w:right="0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Liberation Serif;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Хранение энергетического оборудования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eastAsia="en-US" w:bidi="ar-SA"/>
              </w:rPr>
              <w:t>О</w:t>
            </w:r>
            <w:r>
              <w:rPr>
                <w:rFonts w:eastAsia="Liberation Serif;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КПД2 52.10.19.900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2.2.1. 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2. </w:t>
      </w:r>
      <w:bookmarkStart w:id="1" w:name="_Hlk50465284"/>
      <w:r>
        <w:rPr>
          <w:rFonts w:ascii="Times New Roman" w:hAnsi="Times New Roman"/>
          <w:sz w:val="26"/>
          <w:szCs w:val="26"/>
        </w:rPr>
        <w:t xml:space="preserve">Требования </w:t>
      </w:r>
      <w:r>
        <w:rPr>
          <w:rFonts w:ascii="Times New Roman" w:hAnsi="Times New Roman"/>
          <w:sz w:val="26"/>
          <w:szCs w:val="26"/>
          <w:lang w:val="ru-RU"/>
        </w:rPr>
        <w:t>к</w:t>
      </w:r>
      <w:r>
        <w:rPr>
          <w:rFonts w:ascii="Times New Roman" w:hAnsi="Times New Roman"/>
          <w:sz w:val="26"/>
          <w:szCs w:val="26"/>
        </w:rPr>
        <w:t xml:space="preserve"> срокам </w:t>
      </w:r>
      <w:bookmarkEnd w:id="1"/>
      <w:r>
        <w:rPr>
          <w:rFonts w:ascii="Times New Roman" w:hAnsi="Times New Roman"/>
          <w:sz w:val="26"/>
          <w:szCs w:val="26"/>
          <w:lang w:val="ru-RU"/>
        </w:rPr>
        <w:t>оказания услуг</w:t>
      </w:r>
    </w:p>
    <w:tbl>
      <w:tblPr>
        <w:tblW w:w="97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040"/>
        <w:gridCol w:w="2324"/>
        <w:gridCol w:w="2455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eastAsia="Liberation Serif;Times New Roman" w:cs="Liberation Serif;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услуг/ этапа услуг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Требования к началу срока оказания услуг/ этапа услуг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59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rPr/>
            </w:pPr>
            <w:r>
              <w:rPr>
                <w:rStyle w:val="Style9"/>
                <w:rFonts w:eastAsia="Liberation Serif;Times New Roman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 xml:space="preserve">Хранение энергетического оборудования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О</w:t>
            </w:r>
            <w:r>
              <w:rPr>
                <w:rStyle w:val="Style9"/>
                <w:rFonts w:eastAsia="Liberation Serif;Times New Roman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КПД2 52.10.19.900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keepNext w:val="false"/>
              <w:widowControl w:val="false"/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keepNext w:val="false"/>
              <w:widowControl w:val="false"/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34" w:gutter="0" w:header="567" w:top="1129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ListParagraph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x-none"/>
        </w:rPr>
        <w:t xml:space="preserve">3.1. </w:t>
      </w:r>
      <w:r>
        <w:rPr>
          <w:rFonts w:eastAsia="Calibri" w:ascii="Times New Roman" w:hAnsi="Times New Roman"/>
          <w:b/>
          <w:bCs/>
          <w:sz w:val="26"/>
          <w:szCs w:val="26"/>
          <w:lang w:val="x-none" w:eastAsia="x-none"/>
        </w:rPr>
        <w:t xml:space="preserve">Требования к </w:t>
      </w:r>
      <w:r>
        <w:rPr>
          <w:rFonts w:eastAsia="Calibri" w:ascii="Times New Roman" w:hAnsi="Times New Roman"/>
          <w:b/>
          <w:bCs/>
          <w:sz w:val="26"/>
          <w:szCs w:val="26"/>
          <w:lang w:eastAsia="x-none"/>
        </w:rPr>
        <w:t>качеству Услуг</w:t>
      </w:r>
      <w:r>
        <w:rPr>
          <w:rFonts w:eastAsia="Calibri" w:ascii="Times New Roman" w:hAnsi="Times New Roman"/>
          <w:b/>
          <w:bCs/>
          <w:sz w:val="26"/>
          <w:szCs w:val="26"/>
          <w:lang w:val="x-none" w:eastAsia="x-none"/>
        </w:rPr>
        <w:t xml:space="preserve"> </w:t>
      </w:r>
    </w:p>
    <w:p>
      <w:pPr>
        <w:pStyle w:val="Normal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Наименование Услуг:</w:t>
        <w:tab/>
      </w:r>
      <w:r>
        <w:rPr>
          <w:rFonts w:eastAsia="Liberation Serif;Times New Roman" w:cs="Times New Roman" w:ascii="Times New Roman" w:hAnsi="Times New Roman"/>
          <w:color w:val="000000"/>
          <w:sz w:val="26"/>
          <w:szCs w:val="26"/>
        </w:rPr>
        <w:t>Хранение энергетического оборудования</w:t>
      </w:r>
    </w:p>
    <w:p>
      <w:pPr>
        <w:pStyle w:val="Normal"/>
        <w:jc w:val="right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  <w:lang w:val="x-none" w:eastAsia="x-none"/>
        </w:rPr>
        <w:t xml:space="preserve">Таблица 3. Требования к </w:t>
      </w:r>
      <w:r>
        <w:rPr>
          <w:rFonts w:eastAsia="Calibri" w:ascii="Times New Roman" w:hAnsi="Times New Roman"/>
          <w:b/>
          <w:sz w:val="26"/>
          <w:szCs w:val="26"/>
          <w:lang w:eastAsia="x-none"/>
        </w:rPr>
        <w:t>качеству Услуг</w:t>
      </w:r>
      <w:r>
        <w:rPr>
          <w:rFonts w:eastAsia="Calibri" w:ascii="Times New Roman" w:hAnsi="Times New Roman"/>
          <w:b/>
          <w:sz w:val="26"/>
          <w:szCs w:val="26"/>
          <w:lang w:val="x-none" w:eastAsia="x-none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551"/>
        <w:gridCol w:w="11406"/>
      </w:tblGrid>
      <w:tr>
        <w:trPr>
          <w:trHeight w:val="138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№</w:t>
            </w:r>
            <w:r>
              <w:rPr>
                <w:rFonts w:eastAsia="Liberation Serif;Times New Roman" w:cs="Liberation Serif;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Наименование параметра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>
        <w:trPr>
          <w:trHeight w:val="562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оказанию Услуг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Общие требования к оказанию Услуг</w:t>
            </w:r>
          </w:p>
        </w:tc>
      </w:tr>
      <w:tr>
        <w:trPr>
          <w:trHeight w:val="3321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Соблюдение норм и правил нормативно-технических документов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При оказании Услуг Хранитель должен руководствоваться национальными, отраслевыми и корпоративными нормативно-техническими документами:</w:t>
            </w:r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-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Приказ Минтруда России от 27.11.2020 N 833н Об утверждении Правил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hyperlink r:id="rId4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Приложение. 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- ГОСТ 12.1.004-91. Система стандартов безопасности труда. Пожарная безопасность. Общие требования.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СНиП 12-03-2001</w:t>
              <w:tab/>
              <w:t>Безопасность труда в строительстве. Часть 1. Общие требования.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СНиП 12-04-2002</w:t>
              <w:tab/>
              <w:t>Безопасность труда в строительстве. Часть 2. Строительное производство.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Федеральный закон от 10.01.2002 № 7-ФЗ «Об охране окружающей среды».</w:t>
            </w:r>
          </w:p>
          <w:p>
            <w:pPr>
              <w:pStyle w:val="Normal"/>
              <w:widowControl w:val="false"/>
              <w:numPr>
                <w:ilvl w:val="0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способам оказания Услуг</w:t>
            </w:r>
          </w:p>
        </w:tc>
      </w:tr>
      <w:tr>
        <w:trPr>
          <w:trHeight w:val="322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  <w:t>Требования к о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казанию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При оказании Услуг Хранитель  выполняет следующие операции: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</w:rPr>
              <w:t xml:space="preserve">- принимает на хранение Имущество 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x-none"/>
              </w:rPr>
              <w:t>согласно «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Перечню оборудования, передаваемого на хранение» (Приложение №1 к Техническим требованиям);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обеспечивает следующие условия хранения Имущества: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x-none"/>
              </w:rPr>
              <w:t>крытое помещение, обеспечивающее защиту Имущества от проникновения атмосферных осадков и солнечной радиации, а также воздействия грунтовых вод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обеспечивает допуск на территорию склада сотрудников и транспорт по письменной заявке Поклажедателя;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возвращает по первому требованию Поклажедателя</w:t>
            </w:r>
            <w:r>
              <w:rPr>
                <w:rFonts w:cs="Times New Roman" w:ascii="Times New Roman" w:hAnsi="Times New Roman"/>
                <w:color w:val="C9211E"/>
                <w:sz w:val="26"/>
                <w:szCs w:val="26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принятое на хранение Имущество.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Организационно-технические мероприятия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Для разрешения допуска на предприятие и оформления пропусков Поклажедатель должен предоставить Хранителю список специалистов, которые будут уполномочены контролировать оказание Услуг с указанием Ф.И.О., занимаемой должности или квалификации.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Оборудование и материалы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Хранитель должен оказать Услуги с применением собственных материалов, в соответствии с настоящим Заданием на оказание Услуг.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персоналу Хранителя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Квалификация персонала Хранителя</w:t>
            </w:r>
          </w:p>
        </w:tc>
        <w:tc>
          <w:tcPr>
            <w:tcW w:w="1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Оказание Услуг силами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оказание Услуг.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результатам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Результат оказания Услуг</w:t>
            </w:r>
          </w:p>
        </w:tc>
        <w:tc>
          <w:tcPr>
            <w:tcW w:w="1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Услуга считается выполненной после подписания Поклажедателем и Хранителем  Акта об оказании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информационной безопасности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Информационная безопасность должна обеспечиваться в соответствии с Федеральными законами № 152 от 27.07.2006 «О персональных данных».</w:t>
            </w:r>
          </w:p>
        </w:tc>
      </w:tr>
      <w:tr>
        <w:trPr>
          <w:trHeight w:val="2370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информационной безопасности результата оказанных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Любая информация, полученная Хранителем в ходе ознакомления с объемом оказываемых Услуг, к которой относится и вся информация о производственных активах Поклажедателя, содержание которых Хранитель получит или может получить в ходе оказания Услуг, является собственностью Поклажедателя и не может передаваться третьим лицам, использоваться в своих целях, распространяться или тиражироваться любыми способами без письменного разрешения Хранителя.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Хранитель обязан выполнять в полном объеме требования Поклажедателя к информационной безопасности.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Хранителю запрещается передавать иным лицам, кроме полномочных представителей Поклажедателя, технические характеристики оборудования.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Документы, передаваемые Поклажедателю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 Акт об оказании Услуг на бумажном носителе в 3-х экземплярах;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 счет на оплату;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-счет-фактура.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настоящего Задания на оказание Услуг)</w:t>
            </w:r>
          </w:p>
        </w:tc>
      </w:tr>
      <w:tr>
        <w:trPr>
          <w:trHeight w:val="194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x-none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6"/>
                <w:szCs w:val="26"/>
                <w:lang w:val="ru-RU" w:eastAsia="ru-RU" w:bidi="ar-SA"/>
              </w:rPr>
              <w:t>При оказании Услуг соблюдение норм и правил нормативно-технических документов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Организация оказания Услуг должна соответствовать требованиям:</w:t>
            </w:r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- </w:t>
            </w:r>
            <w:hyperlink r:id="rId5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Приказа Минтруда России от 27.11.2020 N 833н Об утверждении Правил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hyperlink r:id="rId6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Приложение. 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- ГОСТ 12.1.004-91. Система стандартов безопасности труда. Пожарная безопасность. Общие требования.</w:t>
            </w:r>
          </w:p>
        </w:tc>
      </w:tr>
      <w:tr>
        <w:trPr>
          <w:trHeight w:val="529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Хранителю и его обязательствам, влияющим на исполнение Договора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x-none"/>
              </w:rPr>
              <w:t>4.1.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В случае привлечения к оказанию Услуг соисполнителей, Хранитель обязан представить Поклажедателю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357" w:right="0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4. Требования к документации по ценообразованию на этапе заключения договора.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4.1. Стоимость оказания Услуг определяется на этапе заключения договора, путем подписания Сторонами  Протокола соглашения о договорной цене по форме Приложения №1.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1. Форма Протокола соглашения о договорной цене.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60" w:after="0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Заместитель исполнительного директора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-главный инженер</w:t>
        <w:tab/>
        <w:t xml:space="preserve">АО </w:t>
      </w:r>
      <w:r>
        <w:rPr>
          <w:rFonts w:eastAsia="Arial Unicode MS;Yu Gothic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«Загорская ГАЭС-2»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 xml:space="preserve">    М.М. Нурмагомедов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Начальник отдела ценообразования и </w:t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>приемки выполненных работ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АО «Загорская ГАЭС-2» </w:t>
        <w:tab/>
        <w:tab/>
        <w:tab/>
        <w:tab/>
        <w:tab/>
        <w:tab/>
        <w:tab/>
        <w:t xml:space="preserve">         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Т.К. Шишмарова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both"/>
        <w:rPr/>
      </w:pPr>
      <w:r>
        <w:rPr>
          <w:rStyle w:val="Style9"/>
          <w:rFonts w:cs="Times New Roman" w:ascii="Times New Roman" w:hAnsi="Times New Roman"/>
          <w:b w:val="false"/>
          <w:i w:val="false"/>
          <w:sz w:val="26"/>
          <w:szCs w:val="26"/>
          <w:shd w:fill="auto" w:val="clear"/>
        </w:rPr>
        <w:t xml:space="preserve">Ведущий инженер ОКО АО </w:t>
      </w:r>
      <w:r>
        <w:rPr>
          <w:rStyle w:val="Style9"/>
          <w:rFonts w:eastAsia="Arial Unicode MS;Yu Gothic" w:cs="Times New Roman" w:ascii="Times New Roman" w:hAnsi="Times New Roman"/>
          <w:b w:val="false"/>
          <w:i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«Загорская ГАЭС-2»</w:t>
      </w:r>
      <w:r>
        <w:rPr>
          <w:rStyle w:val="Style9"/>
          <w:rFonts w:cs="Times New Roman" w:ascii="Times New Roman" w:hAnsi="Times New Roman"/>
          <w:b w:val="false"/>
          <w:i w:val="false"/>
          <w:sz w:val="26"/>
          <w:szCs w:val="26"/>
          <w:shd w:fill="auto" w:val="clear"/>
        </w:rPr>
        <w:tab/>
        <w:tab/>
        <w:t xml:space="preserve">                         В.В. Касаткин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Приложение №1</w:t>
      </w:r>
    </w:p>
    <w:p>
      <w:pPr>
        <w:pStyle w:val="Normal"/>
        <w:jc w:val="right"/>
        <w:rPr/>
      </w:pPr>
      <w:r>
        <w:rPr>
          <w:rStyle w:val="Style15"/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Style15"/>
          <w:rFonts w:ascii="Times New Roman" w:hAnsi="Times New Roman"/>
          <w:sz w:val="26"/>
          <w:szCs w:val="26"/>
        </w:rPr>
        <w:t xml:space="preserve">к  Техническим требованиям </w:t>
      </w:r>
    </w:p>
    <w:p>
      <w:pPr>
        <w:pStyle w:val="Normal"/>
        <w:jc w:val="right"/>
        <w:rPr>
          <w:rStyle w:val="Style15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ПРОТОКОЛ (форма)</w:t>
      </w:r>
    </w:p>
    <w:p>
      <w:pPr>
        <w:pStyle w:val="Normal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соглашения о договорной цене</w:t>
      </w:r>
    </w:p>
    <w:p>
      <w:pPr>
        <w:pStyle w:val="Normal"/>
        <w:keepNext w:val="true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на оказание услуг по хранению имущества</w:t>
      </w:r>
    </w:p>
    <w:p>
      <w:pPr>
        <w:pStyle w:val="Normal"/>
        <w:keepNext w:val="true"/>
        <w:spacing w:lineRule="exact" w:line="3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overflowPunct w:val="false"/>
        <w:spacing w:before="57" w:after="0"/>
        <w:ind w:left="0" w:righ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Мы, нижеподписавшиеся, от лица Поклажедателя  ___________________________</w:t>
      </w:r>
    </w:p>
    <w:p>
      <w:pPr>
        <w:pStyle w:val="Normal"/>
        <w:spacing w:before="57" w:after="0"/>
        <w:jc w:val="both"/>
        <w:rPr/>
      </w:pPr>
      <w:r>
        <w:rPr>
          <w:rStyle w:val="Style15"/>
          <w:rFonts w:ascii="Times New Roman" w:hAnsi="Times New Roman"/>
          <w:sz w:val="26"/>
          <w:szCs w:val="26"/>
        </w:rPr>
        <w:t>и</w:t>
      </w:r>
      <w:r>
        <w:rPr>
          <w:rStyle w:val="Style15"/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Style w:val="Style15"/>
          <w:rFonts w:ascii="Times New Roman" w:hAnsi="Times New Roman"/>
          <w:sz w:val="26"/>
          <w:szCs w:val="26"/>
        </w:rPr>
        <w:t>от лица Хранителя _______________________________ удостоверяем, что сторонами достигнуто соглашение о величине цены:</w:t>
      </w:r>
    </w:p>
    <w:p>
      <w:pPr>
        <w:pStyle w:val="Normal"/>
        <w:tabs>
          <w:tab w:val="clear" w:pos="709"/>
          <w:tab w:val="left" w:pos="400" w:leader="none"/>
        </w:tabs>
        <w:overflowPunct w:val="false"/>
        <w:spacing w:before="113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Стоимость услуг за хранение Имущества </w:t>
      </w:r>
      <w:r>
        <w:rPr>
          <w:rStyle w:val="Style15"/>
          <w:rFonts w:ascii="Times New Roman" w:hAnsi="Times New Roman"/>
          <w:b/>
          <w:bCs/>
          <w:color w:val="000000"/>
          <w:sz w:val="26"/>
          <w:szCs w:val="26"/>
        </w:rPr>
        <w:t>в неотапливаемом помещении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</w:t>
        <w:br/>
        <w:t>1-го м</w:t>
      </w:r>
      <w:r>
        <w:rPr>
          <w:rStyle w:val="Style15"/>
          <w:rFonts w:ascii="Times New Roman" w:hAnsi="Times New Roman"/>
          <w:color w:val="000000"/>
          <w:position w:val="7"/>
          <w:sz w:val="26"/>
          <w:szCs w:val="26"/>
        </w:rPr>
        <w:t>2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в </w:t>
      </w:r>
      <w:r>
        <w:rPr>
          <w:rStyle w:val="Style15"/>
          <w:rFonts w:ascii="Times New Roman" w:hAnsi="Times New Roman"/>
          <w:color w:val="000000"/>
          <w:sz w:val="26"/>
          <w:szCs w:val="26"/>
          <w:lang w:val="en-US"/>
        </w:rPr>
        <w:t>|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>сутки, согласно Протоколу соглашения о договорной цене составляет</w:t>
      </w:r>
      <w:r>
        <w:rPr>
          <w:rStyle w:val="Style15"/>
          <w:rFonts w:ascii="Times New Roman" w:hAnsi="Times New Roman"/>
          <w:color w:val="000000"/>
          <w:sz w:val="26"/>
          <w:szCs w:val="26"/>
          <w:shd w:fill="auto" w:val="clear"/>
          <w:lang w:val="en-US"/>
        </w:rPr>
        <w:t xml:space="preserve"> ___________________, без учета НДС, при этом НДС составляет ___% - _________________ руб., итого с НДС — __________________ руб.</w:t>
      </w:r>
    </w:p>
    <w:p>
      <w:pPr>
        <w:pStyle w:val="BodyText"/>
        <w:tabs>
          <w:tab w:val="clear" w:pos="709"/>
          <w:tab w:val="left" w:pos="400" w:leader="none"/>
        </w:tabs>
        <w:overflowPunct w:val="false"/>
        <w:spacing w:lineRule="auto" w:line="240" w:before="113" w:after="0"/>
        <w:ind w:left="0" w:righ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 xml:space="preserve">Предельная стоимость оказываемых услуг по Договору за весь период хранения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в неотапливаемом помещении</w:t>
      </w:r>
      <w:r>
        <w:rPr>
          <w:rFonts w:ascii="Times New Roman" w:hAnsi="Times New Roman"/>
          <w:color w:val="000000"/>
          <w:sz w:val="26"/>
          <w:szCs w:val="26"/>
        </w:rPr>
        <w:t xml:space="preserve"> составляет ________________________руб. без учета НДС, кроме того НДС-___%- ____________________________________, итого с НДС — _______________________________ руб.</w:t>
      </w:r>
    </w:p>
    <w:p>
      <w:pPr>
        <w:pStyle w:val="BodyText"/>
        <w:tabs>
          <w:tab w:val="clear" w:pos="709"/>
          <w:tab w:val="left" w:pos="400" w:leader="none"/>
        </w:tabs>
        <w:overflowPunct w:val="false"/>
        <w:spacing w:lineRule="auto" w:line="240" w:before="57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overflowPunct w:val="false"/>
        <w:spacing w:before="57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sz w:val="26"/>
          <w:szCs w:val="26"/>
        </w:rPr>
        <w:t xml:space="preserve"> </w:t>
      </w:r>
      <w:r>
        <w:rPr>
          <w:rStyle w:val="Style15"/>
          <w:rFonts w:ascii="Times New Roman" w:hAnsi="Times New Roman"/>
          <w:sz w:val="26"/>
          <w:szCs w:val="26"/>
        </w:rPr>
        <w:t>Настоящий протокол является основанием для проведения взаимных расчетов и платежей между Хранителем и Поклажедателем.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285"/>
        <w:gridCol w:w="4875"/>
      </w:tblGrid>
      <w:tr>
        <w:trPr>
          <w:trHeight w:val="57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                              </w:t>
            </w: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Style w:val="Style15"/>
                <w:rFonts w:cs="Times New Roman" w:ascii="Times New Roman" w:hAnsi="Times New Roman"/>
                <w:sz w:val="26"/>
                <w:szCs w:val="26"/>
              </w:rPr>
              <w:t>Хранителя</w:t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Style w:val="Style15"/>
                <w:rFonts w:cs="Times New Roman" w:ascii="Times New Roman" w:hAnsi="Times New Roman"/>
                <w:sz w:val="26"/>
                <w:szCs w:val="26"/>
              </w:rPr>
              <w:t>Поклажедателя</w:t>
            </w:r>
          </w:p>
        </w:tc>
      </w:tr>
      <w:tr>
        <w:trPr>
          <w:trHeight w:val="792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  /_______________/</w:t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Style w:val="Style1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_____________________ /____________/</w:t>
            </w:r>
          </w:p>
        </w:tc>
      </w:tr>
      <w:tr>
        <w:trPr>
          <w:trHeight w:val="57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tabs>
                <w:tab w:val="clear" w:pos="709"/>
              </w:tabs>
              <w:snapToGrid w:val="false"/>
              <w:spacing w:lineRule="auto" w:line="240" w:before="0" w:after="0"/>
              <w:ind w:left="747" w:right="0" w:hanging="5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spacing w:lineRule="auto" w:line="312"/>
        <w:jc w:val="right"/>
        <w:rPr>
          <w:rFonts w:ascii="Times New Roman" w:hAnsi="Times New Roman" w:eastAsia="F"/>
          <w:iCs/>
          <w:sz w:val="26"/>
          <w:szCs w:val="26"/>
          <w:lang w:eastAsia="en-US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2.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7"/>
  <w:displayBackgroundShape/>
  <w:trackRevisions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 Unicode MS;Yu Gothic" w:cs="Arial Unicode MS;Yu Gothic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spacing w:before="120" w:after="60"/>
      <w:jc w:val="center"/>
      <w:outlineLvl w:val="2"/>
    </w:pPr>
    <w:rPr>
      <w:rFonts w:eastAsia="Calibri"/>
      <w:b/>
      <w:sz w:val="24"/>
      <w:szCs w:val="24"/>
      <w:lang w:val="x-none"/>
    </w:rPr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4z0">
    <w:name w:val="WW8Num4z0"/>
    <w:qFormat/>
    <w:rPr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7z0">
    <w:name w:val="WW8Num7z0"/>
    <w:qFormat/>
    <w:rPr>
      <w:b w:val="false"/>
      <w:bCs w:val="false"/>
      <w:sz w:val="24"/>
      <w:szCs w:val="24"/>
    </w:rPr>
  </w:style>
  <w:style w:type="character" w:styleId="WW8Num7z2">
    <w:name w:val="WW8Num7z2"/>
    <w:qFormat/>
    <w:rPr>
      <w:b w:val="false"/>
      <w:sz w:val="24"/>
      <w:szCs w:val="24"/>
    </w:rPr>
  </w:style>
  <w:style w:type="character" w:styleId="WW8Num8z0">
    <w:name w:val="WW8Num8z0"/>
    <w:qFormat/>
    <w:rPr>
      <w:rFonts w:ascii="Symbol" w:hAnsi="Symbol" w:cs="Symbol"/>
      <w:sz w:val="24"/>
      <w:szCs w:val="24"/>
    </w:rPr>
  </w:style>
  <w:style w:type="character" w:styleId="WW8Num9z0">
    <w:name w:val="WW8Num9z0"/>
    <w:qFormat/>
    <w:rPr>
      <w:u w:val="non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WW-">
    <w:name w:val="WW-Символ концевой сноски"/>
    <w:qFormat/>
    <w:rPr/>
  </w:style>
  <w:style w:type="character" w:styleId="FootnoteReference2">
    <w:name w:val="Footnote Reference2"/>
    <w:qFormat/>
    <w:rPr>
      <w:vertAlign w:val="superscript"/>
    </w:rPr>
  </w:style>
  <w:style w:type="character" w:styleId="LineNumber">
    <w:name w:val="Line Number"/>
    <w:rPr/>
  </w:style>
  <w:style w:type="character" w:styleId="EndnoteReference1">
    <w:name w:val="Endnote Reference1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Style9">
    <w:name w:val="комментарий"/>
    <w:qFormat/>
    <w:rPr>
      <w:b/>
      <w:i/>
      <w:shd w:fill="FFFF99" w:val="clear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1">
    <w:name w:val="Знак сноски1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10">
    <w:name w:val="Footnote Reference10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EndnoteReference10">
    <w:name w:val="Endnote Reference10"/>
    <w:qFormat/>
    <w:rPr>
      <w:vertAlign w:val="superscript"/>
    </w:rPr>
  </w:style>
  <w:style w:type="character" w:styleId="FootnoteReference12">
    <w:name w:val="Footnote Reference12"/>
    <w:qFormat/>
    <w:rPr>
      <w:vertAlign w:val="superscript"/>
    </w:rPr>
  </w:style>
  <w:style w:type="character" w:styleId="EndnoteReference11">
    <w:name w:val="Endnote Reference11"/>
    <w:qFormat/>
    <w:rPr>
      <w:vertAlign w:val="superscript"/>
    </w:rPr>
  </w:style>
  <w:style w:type="character" w:styleId="FootnoteReference13">
    <w:name w:val="Footnote Reference13"/>
    <w:qFormat/>
    <w:rPr>
      <w:vertAlign w:val="superscript"/>
    </w:rPr>
  </w:style>
  <w:style w:type="character" w:styleId="EndnoteReference12">
    <w:name w:val="Endnote Reference12"/>
    <w:qFormat/>
    <w:rPr>
      <w:vertAlign w:val="superscript"/>
    </w:rPr>
  </w:style>
  <w:style w:type="character" w:styleId="FootnoteReference14">
    <w:name w:val="Footnote Reference14"/>
    <w:qFormat/>
    <w:rPr>
      <w:vertAlign w:val="superscript"/>
    </w:rPr>
  </w:style>
  <w:style w:type="character" w:styleId="EndnoteReference13">
    <w:name w:val="Endnote Reference13"/>
    <w:qFormat/>
    <w:rPr>
      <w:vertAlign w:val="superscript"/>
    </w:rPr>
  </w:style>
  <w:style w:type="character" w:styleId="FootnoteReference15">
    <w:name w:val="Footnote Reference15"/>
    <w:qFormat/>
    <w:rPr>
      <w:vertAlign w:val="superscript"/>
    </w:rPr>
  </w:style>
  <w:style w:type="character" w:styleId="EndnoteReference14">
    <w:name w:val="Endnote Reference14"/>
    <w:qFormat/>
    <w:rPr>
      <w:vertAlign w:val="superscript"/>
    </w:rPr>
  </w:style>
  <w:style w:type="character" w:styleId="FootnoteReference16">
    <w:name w:val="Footnote Reference16"/>
    <w:qFormat/>
    <w:rPr>
      <w:vertAlign w:val="superscript"/>
    </w:rPr>
  </w:style>
  <w:style w:type="character" w:styleId="EndnoteReference15">
    <w:name w:val="Endnote Reference15"/>
    <w:qFormat/>
    <w:rPr>
      <w:vertAlign w:val="superscript"/>
    </w:rPr>
  </w:style>
  <w:style w:type="character" w:styleId="FootnoteReference17">
    <w:name w:val="Footnote Reference17"/>
    <w:qFormat/>
    <w:rPr>
      <w:vertAlign w:val="superscript"/>
    </w:rPr>
  </w:style>
  <w:style w:type="character" w:styleId="EndnoteReference16">
    <w:name w:val="Endnote Reference16"/>
    <w:qFormat/>
    <w:rPr>
      <w:vertAlign w:val="superscript"/>
    </w:rPr>
  </w:style>
  <w:style w:type="character" w:styleId="FootnoteReference18">
    <w:name w:val="Footnote Reference18"/>
    <w:qFormat/>
    <w:rPr>
      <w:vertAlign w:val="superscript"/>
    </w:rPr>
  </w:style>
  <w:style w:type="character" w:styleId="EndnoteReference17">
    <w:name w:val="Endnote Reference17"/>
    <w:qFormat/>
    <w:rPr>
      <w:vertAlign w:val="superscript"/>
    </w:rPr>
  </w:style>
  <w:style w:type="character" w:styleId="FootnoteReference19">
    <w:name w:val="Footnote Reference19"/>
    <w:qFormat/>
    <w:rPr>
      <w:vertAlign w:val="superscript"/>
    </w:rPr>
  </w:style>
  <w:style w:type="character" w:styleId="EndnoteReference18">
    <w:name w:val="Endnote Reference18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20">
    <w:name w:val="Footnote Reference20"/>
    <w:qFormat/>
    <w:rPr>
      <w:vertAlign w:val="superscript"/>
    </w:rPr>
  </w:style>
  <w:style w:type="character" w:styleId="EndnoteReference19">
    <w:name w:val="Endnote Reference19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otnoteReference21">
    <w:name w:val="Footnote Reference2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>
    <w:name w:val="Знак примечания1"/>
    <w:qFormat/>
    <w:rPr>
      <w:b/>
      <w:bCs/>
      <w:sz w:val="16"/>
      <w:szCs w:val="16"/>
    </w:rPr>
  </w:style>
  <w:style w:type="character" w:styleId="Style10">
    <w:name w:val="Текст примечания Знак"/>
    <w:qFormat/>
    <w:rPr>
      <w:rFonts w:ascii="Liberation Serif;Times New Roman" w:hAnsi="Liberation Serif;Times New Roman" w:eastAsia="Arial Unicode MS;Yu Gothic" w:cs="Mangal"/>
      <w:b w:val="false"/>
      <w:bCs w:val="false"/>
      <w:kern w:val="2"/>
      <w:sz w:val="24"/>
      <w:szCs w:val="18"/>
      <w:lang w:eastAsia="zh-CN" w:bidi="hi-IN"/>
    </w:rPr>
  </w:style>
  <w:style w:type="character" w:styleId="Style11">
    <w:name w:val="Тема примечания Знак"/>
    <w:qFormat/>
    <w:rPr>
      <w:rFonts w:ascii="Liberation Serif;Times New Roman" w:hAnsi="Liberation Serif;Times New Roman" w:eastAsia="Arial Unicode MS;Yu Gothic" w:cs="Mangal"/>
      <w:b/>
      <w:bCs/>
      <w:kern w:val="2"/>
      <w:sz w:val="24"/>
      <w:szCs w:val="18"/>
      <w:lang w:eastAsia="zh-CN" w:bidi="hi-IN"/>
    </w:rPr>
  </w:style>
  <w:style w:type="character" w:styleId="Style12">
    <w:name w:val="Текст выноски Знак"/>
    <w:qFormat/>
    <w:rPr>
      <w:rFonts w:ascii="Segoe UI" w:hAnsi="Segoe UI" w:eastAsia="Arial Unicode MS;Yu Gothic" w:cs="Mangal"/>
      <w:b w:val="false"/>
      <w:bCs w:val="false"/>
      <w:kern w:val="2"/>
      <w:sz w:val="18"/>
      <w:szCs w:val="16"/>
      <w:lang w:eastAsia="zh-CN" w:bidi="hi-IN"/>
    </w:rPr>
  </w:style>
  <w:style w:type="character" w:styleId="Style13">
    <w:name w:val="Знак примечания"/>
    <w:qFormat/>
    <w:rPr>
      <w:b/>
      <w:bCs/>
      <w:sz w:val="16"/>
      <w:szCs w:val="16"/>
    </w:rPr>
  </w:style>
  <w:style w:type="character" w:styleId="Style14">
    <w:name w:val="Знак сноски"/>
    <w:qFormat/>
    <w:rPr>
      <w:vertAlign w:val="superscript"/>
    </w:rPr>
  </w:style>
  <w:style w:type="character" w:styleId="FootnoteReference22">
    <w:name w:val="Footnote Reference22"/>
    <w:qFormat/>
    <w:rPr>
      <w:vertAlign w:val="superscript"/>
    </w:rPr>
  </w:style>
  <w:style w:type="character" w:styleId="EndnoteReference20">
    <w:name w:val="Endnote Reference20"/>
    <w:qFormat/>
    <w:rPr>
      <w:vertAlign w:val="superscript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Yu Gothic" w:cs="Arial Unicode MS;Yu Gothic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Yu Gothic" w:cs="Arial Unicode MS;Yu Gothic"/>
      <w:sz w:val="28"/>
      <w:szCs w:val="28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/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itle">
    <w:name w:val="Title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21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15">
    <w:name w:val="Текст сноски1"/>
    <w:basedOn w:val="Normal"/>
    <w:qFormat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16">
    <w:name w:val="Текст примечания1"/>
    <w:basedOn w:val="Normal"/>
    <w:qFormat/>
    <w:pPr/>
    <w:rPr>
      <w:rFonts w:cs="Mangal"/>
      <w:sz w:val="20"/>
      <w:szCs w:val="18"/>
    </w:rPr>
  </w:style>
  <w:style w:type="paragraph" w:styleId="Style24">
    <w:name w:val="Тема примечания"/>
    <w:basedOn w:val="16"/>
    <w:next w:val="16"/>
    <w:qFormat/>
    <w:pPr/>
    <w:rPr>
      <w:b/>
      <w:bCs/>
    </w:rPr>
  </w:style>
  <w:style w:type="paragraph" w:styleId="Style25">
    <w:name w:val="Текст выноски"/>
    <w:basedOn w:val="Normal"/>
    <w:qFormat/>
    <w:pPr/>
    <w:rPr>
      <w:rFonts w:ascii="Segoe UI" w:hAnsi="Segoe UI" w:cs="Mangal"/>
      <w:sz w:val="18"/>
      <w:szCs w:val="16"/>
    </w:rPr>
  </w:style>
  <w:style w:type="paragraph" w:styleId="Style26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 Unicode MS;Yu Gothic" w:cs="Mangal"/>
      <w:color w:val="auto"/>
      <w:kern w:val="2"/>
      <w:sz w:val="24"/>
      <w:szCs w:val="21"/>
      <w:lang w:val="ru-RU" w:eastAsia="zh-CN" w:bidi="hi-IN"/>
    </w:rPr>
  </w:style>
  <w:style w:type="paragraph" w:styleId="Style27">
    <w:name w:val="Текст примечания"/>
    <w:basedOn w:val="Normal"/>
    <w:qFormat/>
    <w:pPr/>
    <w:rPr>
      <w:rFonts w:cs="Mangal;Courier New"/>
      <w:sz w:val="20"/>
      <w:szCs w:val="18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udact.ru/law/prikaz-mintruda-rossii-ot-27112020-n-833n/" TargetMode="External"/><Relationship Id="rId4" Type="http://schemas.openxmlformats.org/officeDocument/2006/relationships/hyperlink" Target="https://sudact.ru/law/prikaz-mintruda-rossii-ot-27112020-n-833n/prilozhenie/" TargetMode="External"/><Relationship Id="rId5" Type="http://schemas.openxmlformats.org/officeDocument/2006/relationships/hyperlink" Target="https://sudact.ru/law/prikaz-mintruda-rossii-ot-27112020-n-833n/" TargetMode="External"/><Relationship Id="rId6" Type="http://schemas.openxmlformats.org/officeDocument/2006/relationships/hyperlink" Target="https://sudact.ru/law/prikaz-mintruda-rossii-ot-27112020-n-833n/prilozhenie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AlterOffice/3.4.0.9$Linux_X86_64 LibreOffice_project/b8daf9e823b1a5463a2f48435ddc2e8696e7d4fc</Application>
  <AppVersion>15.0000</AppVersion>
  <Pages>9</Pages>
  <Words>1242</Words>
  <Characters>8824</Characters>
  <CharactersWithSpaces>10202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2024-02-26T09:08:00Z</dcterms:created>
  <dc:creator>Валерий Викторович Касаткин</dc:creator>
  <dc:description/>
  <dc:language>ru-RU</dc:language>
  <cp:lastModifiedBy/>
  <cp:lastPrinted>2024-08-07T14:53:00Z</cp:lastPrinted>
  <dcterms:modified xsi:type="dcterms:W3CDTF">2026-05-29T15:49:08Z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