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УТВЕРЖДАЮ</w:t>
      </w:r>
    </w:p>
    <w:p>
      <w:pPr>
        <w:pStyle w:val="Normal"/>
        <w:keepNext w:val="true"/>
        <w:keepLines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И.о. </w:t>
      </w:r>
      <w:r>
        <w:rPr>
          <w:b/>
          <w:bCs/>
          <w:sz w:val="24"/>
          <w:szCs w:val="24"/>
        </w:rPr>
        <w:t xml:space="preserve">директора  Центрального филиала </w:t>
      </w:r>
    </w:p>
    <w:p>
      <w:pPr>
        <w:pStyle w:val="Normal"/>
        <w:keepNext w:val="true"/>
        <w:keepLines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АО «ТК РусГидро»</w:t>
      </w:r>
    </w:p>
    <w:p>
      <w:pPr>
        <w:pStyle w:val="Normal"/>
        <w:keepNext w:val="true"/>
        <w:keepLines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</w:t>
      </w:r>
      <w:r>
        <w:rPr>
          <w:b/>
          <w:bCs/>
          <w:sz w:val="24"/>
          <w:szCs w:val="24"/>
        </w:rPr>
        <w:t>Н.А. Андреев</w:t>
      </w:r>
    </w:p>
    <w:p>
      <w:pPr>
        <w:pStyle w:val="Normal"/>
        <w:keepNext w:val="true"/>
        <w:keepLines/>
        <w:jc w:val="right"/>
        <w:rPr/>
      </w:pPr>
      <w:r>
        <w:rPr>
          <w:b/>
          <w:bCs/>
          <w:sz w:val="24"/>
          <w:szCs w:val="24"/>
        </w:rPr>
        <w:t>«____»________________2026 г.</w:t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76" w:before="120" w:after="120"/>
        <w:jc w:val="center"/>
        <w:rPr>
          <w:rFonts w:ascii="Times New Roman" w:hAnsi="Times New Roman"/>
          <w:b w:val="false"/>
          <w:bCs w:val="false"/>
          <w:color w:val="auto"/>
          <w:sz w:val="28"/>
          <w:szCs w:val="28"/>
        </w:rPr>
      </w:pPr>
      <w:r>
        <w:rPr>
          <w:rFonts w:eastAsia="Calibri" w:ascii="Times New Roman" w:hAnsi="Times New Roman"/>
          <w:b w:val="false"/>
          <w:bCs w:val="false"/>
          <w:color w:val="auto"/>
          <w:sz w:val="28"/>
          <w:szCs w:val="28"/>
        </w:rPr>
        <w:t xml:space="preserve">«ОКПД2: 49.41.19.900 Перевозка </w:t>
      </w:r>
      <w:r>
        <w:rPr>
          <w:rFonts w:eastAsia="Calibri" w:ascii="Times New Roman" w:hAnsi="Times New Roman"/>
          <w:b w:val="false"/>
          <w:bCs w:val="false"/>
          <w:color w:val="auto"/>
          <w:sz w:val="28"/>
          <w:szCs w:val="28"/>
        </w:rPr>
        <w:t>бульдозера автомобильным транспортом</w:t>
      </w:r>
      <w:r>
        <w:rPr>
          <w:rFonts w:eastAsia="Calibri" w:ascii="Times New Roman" w:hAnsi="Times New Roman"/>
          <w:b w:val="false"/>
          <w:bCs w:val="false"/>
          <w:color w:val="auto"/>
          <w:sz w:val="28"/>
          <w:szCs w:val="28"/>
        </w:rPr>
        <w:t xml:space="preserve"> по маршруту </w:t>
      </w:r>
      <w:r>
        <w:rPr>
          <w:rFonts w:eastAsia="Calibri" w:ascii="Times New Roman" w:hAnsi="Times New Roman"/>
          <w:b w:val="false"/>
          <w:bCs w:val="false"/>
          <w:caps w:val="false"/>
          <w:smallCaps w:val="false"/>
          <w:color w:val="auto"/>
          <w:spacing w:val="0"/>
          <w:sz w:val="28"/>
          <w:szCs w:val="28"/>
        </w:rPr>
        <w:t> </w:t>
      </w:r>
      <w:r>
        <w:rPr>
          <w:rFonts w:eastAsia="Calibri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sz w:val="28"/>
          <w:szCs w:val="28"/>
        </w:rPr>
        <w:t xml:space="preserve">Республика Хакасия, г. Саяногорск, пгт. Черемушки </w:t>
      </w:r>
      <w:r>
        <w:rPr>
          <w:rFonts w:eastAsia="Calibri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sz w:val="28"/>
          <w:szCs w:val="28"/>
        </w:rPr>
        <w:t xml:space="preserve">- </w:t>
      </w:r>
      <w:r>
        <w:rPr>
          <w:rFonts w:eastAsia="Calibri" w:ascii="Times New Roman" w:hAnsi="Times New Roman"/>
          <w:b w:val="false"/>
          <w:bCs w:val="false"/>
          <w:color w:val="auto"/>
          <w:sz w:val="28"/>
          <w:szCs w:val="28"/>
        </w:rPr>
        <w:t xml:space="preserve">Московская обл., Сергиево-Посадский </w:t>
      </w:r>
      <w:r>
        <w:rPr>
          <w:rFonts w:eastAsia="Calibri" w:ascii="Times New Roman" w:hAnsi="Times New Roman"/>
          <w:b w:val="false"/>
          <w:bCs w:val="false"/>
          <w:color w:val="auto"/>
          <w:sz w:val="28"/>
          <w:szCs w:val="28"/>
        </w:rPr>
        <w:t>городской округ</w:t>
      </w:r>
      <w:r>
        <w:rPr>
          <w:rFonts w:eastAsia="Calibri" w:ascii="Times New Roman" w:hAnsi="Times New Roman"/>
          <w:b w:val="false"/>
          <w:bCs w:val="false"/>
          <w:color w:val="auto"/>
          <w:sz w:val="28"/>
          <w:szCs w:val="28"/>
        </w:rPr>
        <w:t xml:space="preserve">, </w:t>
      </w:r>
      <w:r>
        <w:rPr>
          <w:rFonts w:eastAsia="Calibri" w:ascii="Times New Roman" w:hAnsi="Times New Roman"/>
          <w:b w:val="false"/>
          <w:bCs w:val="false"/>
          <w:color w:val="auto"/>
          <w:sz w:val="28"/>
          <w:szCs w:val="28"/>
        </w:rPr>
        <w:t>пгт</w:t>
      </w:r>
      <w:r>
        <w:rPr>
          <w:rFonts w:eastAsia="Calibri" w:ascii="Times New Roman" w:hAnsi="Times New Roman"/>
          <w:b w:val="false"/>
          <w:bCs w:val="false"/>
          <w:color w:val="auto"/>
          <w:sz w:val="28"/>
          <w:szCs w:val="28"/>
        </w:rPr>
        <w:t xml:space="preserve">.Богородское </w:t>
      </w:r>
      <w:r>
        <w:rPr>
          <w:rFonts w:eastAsia="Calibri" w:ascii="Times New Roman" w:hAnsi="Times New Roman"/>
          <w:b w:val="false"/>
          <w:bCs w:val="false"/>
          <w:i w:val="false"/>
          <w:iCs w:val="false"/>
          <w:color w:val="auto"/>
          <w:sz w:val="28"/>
          <w:szCs w:val="28"/>
        </w:rPr>
        <w:t>для нужд Центрального филиала АО «ТК РусГидро»»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76" w:before="120" w:after="120"/>
        <w:jc w:val="center"/>
        <w:rPr>
          <w:rFonts w:eastAsia="Calibri"/>
          <w:i w:val="false"/>
          <w:i w:val="false"/>
          <w:iCs w:val="false"/>
        </w:rPr>
      </w:pPr>
      <w:r>
        <w:rPr>
          <w:rFonts w:ascii="Times New Roman" w:hAnsi="Times New Roman"/>
          <w:b w:val="false"/>
          <w:bCs w:val="false"/>
          <w:color w:val="auto"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76" w:before="120" w:after="120"/>
        <w:jc w:val="center"/>
        <w:rPr>
          <w:rFonts w:eastAsia="Calibri"/>
          <w:i w:val="false"/>
          <w:i w:val="false"/>
          <w:iCs w:val="false"/>
        </w:rPr>
      </w:pPr>
      <w:r>
        <w:rPr>
          <w:rFonts w:ascii="Times New Roman" w:hAnsi="Times New Roman"/>
          <w:b w:val="false"/>
          <w:bCs w:val="false"/>
          <w:color w:val="auto"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76" w:before="120" w:after="120"/>
        <w:jc w:val="center"/>
        <w:rPr>
          <w:rFonts w:eastAsia="Calibri"/>
          <w:i w:val="false"/>
          <w:i w:val="false"/>
          <w:iCs w:val="false"/>
        </w:rPr>
      </w:pPr>
      <w:r>
        <w:rPr>
          <w:rFonts w:ascii="Times New Roman" w:hAnsi="Times New Roman"/>
          <w:b w:val="false"/>
          <w:bCs w:val="false"/>
          <w:color w:val="auto"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76" w:before="120" w:after="120"/>
        <w:jc w:val="center"/>
        <w:rPr>
          <w:rFonts w:ascii="Times New Roman" w:hAnsi="Times New Roman"/>
          <w:b w:val="false"/>
          <w:bCs w:val="false"/>
          <w:color w:val="auto"/>
          <w:sz w:val="28"/>
          <w:szCs w:val="28"/>
        </w:rPr>
      </w:pPr>
      <w:r>
        <w:rPr>
          <w:rFonts w:eastAsia="Calibri" w:ascii="Times New Roman" w:hAnsi="Times New Roman"/>
          <w:b w:val="false"/>
          <w:bCs w:val="false"/>
          <w:i w:val="false"/>
          <w:iCs w:val="false"/>
          <w:color w:val="auto"/>
          <w:sz w:val="28"/>
          <w:szCs w:val="28"/>
        </w:rPr>
        <w:t>Лот_____________________________</w:t>
      </w:r>
    </w:p>
    <w:p>
      <w:pPr>
        <w:pStyle w:val="Normal"/>
        <w:keepNext w:val="true"/>
        <w:keepLines/>
        <w:spacing w:lineRule="auto" w:line="276"/>
        <w:jc w:val="center"/>
        <w:rPr>
          <w:rFonts w:ascii="Times New Roman" w:hAnsi="Times New Roman" w:eastAsia="Calibri"/>
          <w:b w:val="false"/>
          <w:bCs w:val="false"/>
          <w:i/>
          <w:i/>
          <w:color w:val="auto"/>
          <w:sz w:val="28"/>
          <w:szCs w:val="28"/>
        </w:rPr>
      </w:pPr>
      <w:r>
        <w:rPr>
          <w:rFonts w:eastAsia="Calibri" w:ascii="Times New Roman" w:hAnsi="Times New Roman"/>
          <w:b w:val="false"/>
          <w:bCs w:val="false"/>
          <w:i/>
          <w:color w:val="auto"/>
          <w:sz w:val="28"/>
          <w:szCs w:val="28"/>
        </w:rPr>
      </w:r>
    </w:p>
    <w:p>
      <w:pPr>
        <w:pStyle w:val="Normal"/>
        <w:keepNext w:val="true"/>
        <w:keepLines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p>
      <w:pPr>
        <w:pStyle w:val="Normal"/>
        <w:jc w:val="center"/>
        <w:rPr>
          <w:b/>
        </w:rPr>
      </w:pPr>
      <w:r>
        <w:rPr>
          <w:b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709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125378691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_Toc125378691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25378692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_Toc125378692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25378693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_Toc125378693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25378694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_Toc125378694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5378696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_Toc125378696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1. Перечень объектов заказчика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25378697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_Toc125378697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709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5378698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_Toc125378698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25378699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объемам и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_Toc125378699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25378700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перечню и объему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_Toc125378700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537870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_Toc125378701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25378702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_Toc125378702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537870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_Toc125378703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25378704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_Toc125378704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709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5378714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_Toc125378714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709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5378715">
            <w:r>
              <w:rPr>
                <w:webHidden/>
                <w:rStyle w:val="Style14"/>
                <w:vanish w:val="false"/>
              </w:rPr>
              <w:t>4.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iCs/>
              </w:rPr>
              <w:t>Приложения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_Toc125378715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9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Heading2"/>
        <w:numPr>
          <w:ilvl w:val="0"/>
          <w:numId w:val="0"/>
        </w:numPr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0" w:name="_Toc125378691"/>
      <w:r>
        <w:rPr>
          <w:lang w:val="ru-RU"/>
        </w:rPr>
        <w:t>Общие сведения</w:t>
      </w:r>
      <w:bookmarkEnd w:id="0"/>
    </w:p>
    <w:p>
      <w:pPr>
        <w:pStyle w:val="Heading4"/>
        <w:numPr>
          <w:ilvl w:val="1"/>
          <w:numId w:val="3"/>
        </w:numPr>
        <w:rPr/>
      </w:pPr>
      <w:bookmarkStart w:id="1" w:name="_Toc125378692"/>
      <w:bookmarkStart w:id="2" w:name="_Toc46743505"/>
      <w:r>
        <w:rPr/>
        <w:t>Обозначения и сокращения</w:t>
      </w:r>
      <w:bookmarkEnd w:id="1"/>
      <w:bookmarkEnd w:id="2"/>
    </w:p>
    <w:p>
      <w:pPr>
        <w:pStyle w:val="Normal"/>
        <w:rPr>
          <w:rStyle w:val="Style8"/>
          <w:b w:val="false"/>
          <w:bCs/>
          <w:iCs/>
          <w:sz w:val="26"/>
          <w:szCs w:val="26"/>
        </w:rPr>
      </w:pPr>
      <w:r>
        <w:rPr>
          <w:b w:val="false"/>
          <w:bCs/>
          <w:iCs/>
          <w:sz w:val="26"/>
          <w:szCs w:val="26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Транспортное средство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УПД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универсальный передаточный документ</w:t>
            </w:r>
          </w:p>
        </w:tc>
      </w:tr>
    </w:tbl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rPr/>
      </w:pPr>
      <w:bookmarkStart w:id="3" w:name="_Toc125378693"/>
      <w:r>
        <w:rPr/>
        <w:t>Наименование закупаемой продукции</w:t>
      </w:r>
      <w:bookmarkEnd w:id="3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i w:val="false"/>
          <w:i w:val="false"/>
          <w:iCs w:val="false"/>
        </w:rPr>
      </w:pPr>
      <w:r>
        <w:rPr>
          <w:rFonts w:eastAsia="Calibri"/>
          <w:i w:val="false"/>
          <w:iCs w:val="false"/>
          <w:sz w:val="24"/>
          <w:szCs w:val="24"/>
          <w:lang w:eastAsia="x-none"/>
        </w:rPr>
        <w:t>«ОКПД2: 49.41.19.900 Перевозка бульдозера автомобильным транспортом по маршруту  Республика Хакасия, г. Саяногорск, пгт. Черемушки - Московская обл., Сергиево-Посадский городской округ, пгт.Богородское для нужд Центрального филиала АО «ТК РусГидро»»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4" w:name="_Toc125378694"/>
      <w:bookmarkStart w:id="5" w:name="_Toc46743507"/>
      <w:r>
        <w:rPr/>
        <w:t xml:space="preserve">Цель </w:t>
      </w:r>
      <w:bookmarkEnd w:id="5"/>
      <w:r>
        <w:rPr>
          <w:lang w:val="ru-RU"/>
        </w:rPr>
        <w:t>оказания услуг</w:t>
      </w:r>
      <w:bookmarkEnd w:id="4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rFonts w:eastAsia="Times New Roman"/>
          <w:b w:val="false"/>
          <w:sz w:val="24"/>
          <w:szCs w:val="24"/>
          <w:lang w:val="ru-RU" w:eastAsia="ru-RU"/>
        </w:rPr>
      </w:pPr>
      <w:bookmarkStart w:id="6" w:name="_Toc125378695"/>
      <w:r>
        <w:rPr>
          <w:rFonts w:eastAsia="Times New Roman"/>
          <w:b w:val="false"/>
          <w:sz w:val="24"/>
          <w:szCs w:val="24"/>
          <w:lang w:val="ru-RU" w:eastAsia="ru-RU"/>
        </w:rPr>
        <w:t xml:space="preserve">Транспортировка </w:t>
      </w:r>
      <w:r>
        <w:rPr>
          <w:rFonts w:eastAsia="Times New Roman"/>
          <w:b w:val="false"/>
          <w:sz w:val="24"/>
          <w:szCs w:val="24"/>
          <w:lang w:val="ru-RU" w:eastAsia="ru-RU"/>
        </w:rPr>
        <w:t xml:space="preserve">строительной техники </w:t>
      </w:r>
      <w:r>
        <w:rPr>
          <w:rFonts w:eastAsia="Times New Roman"/>
          <w:b w:val="false"/>
          <w:sz w:val="24"/>
          <w:szCs w:val="24"/>
          <w:lang w:val="ru-RU" w:eastAsia="ru-RU"/>
        </w:rPr>
        <w:t>в связи с производственной необходимостью.</w:t>
      </w:r>
      <w:bookmarkEnd w:id="6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7" w:name="_Toc125378696"/>
      <w:r>
        <w:rPr>
          <w:sz w:val="24"/>
          <w:szCs w:val="24"/>
        </w:rPr>
        <w:t>Таблица 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7"/>
      <w:r>
        <w:rPr>
          <w:sz w:val="24"/>
          <w:szCs w:val="24"/>
          <w:lang w:val="ru-RU"/>
        </w:rPr>
        <w:t>транспортных средств</w:t>
      </w:r>
    </w:p>
    <w:tbl>
      <w:tblPr>
        <w:tblW w:w="1034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557"/>
        <w:gridCol w:w="1418"/>
        <w:gridCol w:w="2555"/>
        <w:gridCol w:w="3735"/>
        <w:gridCol w:w="2078"/>
      </w:tblGrid>
      <w:tr>
        <w:trPr/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1276" w:hRule="atLeast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Транспортное средство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Место нахождения (погрузки) </w:t>
            </w:r>
            <w:r>
              <w:rPr>
                <w:rFonts w:eastAsia="Calibri"/>
                <w:iCs/>
                <w:sz w:val="24"/>
                <w:szCs w:val="24"/>
              </w:rPr>
              <w:t xml:space="preserve"> 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i w:val="false"/>
                <w:iCs w:val="false"/>
                <w:sz w:val="24"/>
                <w:szCs w:val="24"/>
                <w:lang w:eastAsia="x-none"/>
              </w:rPr>
              <w:t>Республика Хакасия, г. Саяногорск, пгт. Черемушки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Shantui SD22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Габариты (длина × ширина × высота)  5750 × 3395 × 3725 мм.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В исправном состоянии, на ходу.</w:t>
            </w:r>
          </w:p>
        </w:tc>
      </w:tr>
    </w:tbl>
    <w:p>
      <w:pPr>
        <w:pStyle w:val="Heading4"/>
        <w:numPr>
          <w:ilvl w:val="1"/>
          <w:numId w:val="3"/>
        </w:numPr>
        <w:ind w:left="0" w:hanging="0"/>
        <w:jc w:val="both"/>
        <w:rPr/>
      </w:pPr>
      <w:bookmarkStart w:id="8" w:name="_Toc125378697"/>
      <w:r>
        <w:rPr/>
        <w:t xml:space="preserve">Информация в отношении исполнения договора, </w:t>
      </w:r>
      <w:bookmarkStart w:id="9" w:name="_Hlk46492347"/>
      <w:r>
        <w:rPr/>
        <w:t xml:space="preserve">которая должна быть учтена при подготовке заявки </w:t>
      </w:r>
      <w:bookmarkEnd w:id="9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End w:id="8"/>
    </w:p>
    <w:p>
      <w:pPr>
        <w:pStyle w:val="Normal"/>
        <w:widowControl w:val="false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1.4.1. Грузоотправитель и адрес места нахождения груза: Республика Хакасия, г. Саяногорск, пгт. Черемушки. Погрузка груза в месте отправки осуществляется силами и средствами Заказчика.</w:t>
      </w:r>
    </w:p>
    <w:p>
      <w:pPr>
        <w:pStyle w:val="Normal"/>
        <w:widowControl w:val="false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1.4.2. Грузополучатель и адрес места доставки груза: Загорский строительный участок Центрального филиала АО «ТК РусГидро», Московская обл., Сергиево-Посадский р-н, рп.Богородское д.100.  Разгрузка груза в месте доставки осуществляется силами и средствами Заказчика.</w:t>
      </w:r>
    </w:p>
    <w:p>
      <w:pPr>
        <w:pStyle w:val="Normal"/>
        <w:widowControl w:val="false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1.4.3. Способ транспортировки груза: транспортировка любым видом транспорта, исключающим самостоятельное движение ТС.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left"/>
        <w:rPr>
          <w:sz w:val="24"/>
          <w:szCs w:val="24"/>
        </w:rPr>
      </w:pPr>
      <w:bookmarkStart w:id="10" w:name="_Toc125378698"/>
      <w:r>
        <w:rPr>
          <w:iCs/>
          <w:sz w:val="24"/>
          <w:szCs w:val="24"/>
          <w:lang w:val="ru-RU"/>
        </w:rPr>
        <w:t>Требования</w:t>
      </w:r>
      <w:r>
        <w:rPr>
          <w:iCs/>
          <w:sz w:val="24"/>
          <w:szCs w:val="24"/>
        </w:rPr>
        <w:t xml:space="preserve"> к продукции</w:t>
      </w:r>
      <w:bookmarkEnd w:id="10"/>
    </w:p>
    <w:p>
      <w:pPr>
        <w:pStyle w:val="Heading4"/>
        <w:numPr>
          <w:ilvl w:val="1"/>
          <w:numId w:val="3"/>
        </w:numPr>
        <w:rPr/>
      </w:pPr>
      <w:bookmarkStart w:id="11" w:name="_Toc125378699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11"/>
    </w:p>
    <w:p>
      <w:pPr>
        <w:pStyle w:val="Heading3"/>
        <w:numPr>
          <w:ilvl w:val="2"/>
          <w:numId w:val="3"/>
        </w:numPr>
        <w:rPr>
          <w:rFonts w:ascii="Times New Roman" w:hAnsi="Times New Roman" w:eastAsia="Calibri" w:cs="Times New Roman"/>
          <w:b/>
          <w:bCs/>
          <w:color w:val="auto"/>
          <w:kern w:val="0"/>
          <w:sz w:val="24"/>
          <w:szCs w:val="24"/>
          <w:lang w:val="x-none" w:eastAsia="x-none" w:bidi="ar-SA"/>
        </w:rPr>
      </w:pPr>
      <w:bookmarkStart w:id="12" w:name="_Toc125378700"/>
      <w:r>
        <w:rPr>
          <w:rFonts w:eastAsia="Calibri" w:cs="Times New Roman"/>
          <w:b/>
          <w:bCs/>
          <w:color w:val="auto"/>
          <w:kern w:val="0"/>
          <w:sz w:val="24"/>
          <w:szCs w:val="24"/>
          <w:lang w:val="x-none" w:eastAsia="x-none" w:bidi="ar-SA"/>
        </w:rPr>
        <w:t>Требования к перечню и объему услуг</w:t>
      </w:r>
      <w:bookmarkEnd w:id="12"/>
    </w:p>
    <w:p>
      <w:pPr>
        <w:pStyle w:val="Heading1"/>
        <w:keepLines/>
        <w:numPr>
          <w:ilvl w:val="0"/>
          <w:numId w:val="0"/>
        </w:numPr>
        <w:spacing w:before="0" w:after="60"/>
        <w:ind w:left="0" w:hanging="0"/>
        <w:rPr>
          <w:sz w:val="24"/>
          <w:szCs w:val="24"/>
          <w:lang w:val="ru-RU"/>
        </w:rPr>
      </w:pPr>
      <w:bookmarkStart w:id="13" w:name="_Toc125378701"/>
      <w:bookmarkStart w:id="14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4"/>
      <w:r>
        <w:rPr>
          <w:sz w:val="24"/>
          <w:szCs w:val="24"/>
          <w:lang w:val="ru-RU"/>
        </w:rPr>
        <w:t>и объем оказываемых услуг</w:t>
      </w:r>
      <w:bookmarkEnd w:id="13"/>
    </w:p>
    <w:tbl>
      <w:tblPr>
        <w:tblW w:w="981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849"/>
        <w:gridCol w:w="5376"/>
        <w:gridCol w:w="1980"/>
        <w:gridCol w:w="1604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76" w:before="120" w:after="120"/>
              <w:jc w:val="left"/>
              <w:rPr>
                <w:rFonts w:ascii="Times New Roman" w:hAnsi="Times New Roman"/>
                <w:b w:val="false"/>
                <w:bCs w:val="false"/>
                <w:color w:val="auto"/>
                <w:sz w:val="28"/>
                <w:szCs w:val="28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lang w:eastAsia="x-none"/>
              </w:rPr>
              <w:t xml:space="preserve">«ОКПД2: 49.41.19.900 Перевозка </w:t>
            </w:r>
            <w:r>
              <w:rPr>
                <w:rFonts w:eastAsia="Calibri" w:ascii="Times New Roman" w:hAnsi="Times New Roman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lang w:eastAsia="x-none"/>
              </w:rPr>
              <w:t>бульдозера автомобильным транспортом</w:t>
            </w:r>
            <w:r>
              <w:rPr>
                <w:rFonts w:eastAsia="Calibri" w:ascii="Times New Roman" w:hAnsi="Times New Roman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lang w:eastAsia="x-none"/>
              </w:rPr>
              <w:t xml:space="preserve"> по маршруту </w:t>
            </w:r>
            <w:r>
              <w:rPr>
                <w:rFonts w:eastAsia="Calibri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auto"/>
                <w:spacing w:val="0"/>
                <w:sz w:val="24"/>
                <w:szCs w:val="24"/>
                <w:lang w:eastAsia="x-none"/>
              </w:rPr>
              <w:t xml:space="preserve"> Республика Хакасия, г. Саяногорск, пгт. Черемушки </w:t>
            </w:r>
            <w:r>
              <w:rPr>
                <w:rFonts w:eastAsia="Calibri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auto"/>
                <w:spacing w:val="0"/>
                <w:sz w:val="24"/>
                <w:szCs w:val="24"/>
                <w:lang w:eastAsia="x-none"/>
              </w:rPr>
              <w:t xml:space="preserve">- </w:t>
            </w:r>
            <w:r>
              <w:rPr>
                <w:rFonts w:eastAsia="Calibri" w:ascii="Times New Roman" w:hAnsi="Times New Roman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lang w:eastAsia="x-none"/>
              </w:rPr>
              <w:t xml:space="preserve">Московская обл., Сергиево-Посадский </w:t>
            </w:r>
            <w:r>
              <w:rPr>
                <w:rFonts w:eastAsia="Calibri" w:ascii="Times New Roman" w:hAnsi="Times New Roman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lang w:eastAsia="x-none"/>
              </w:rPr>
              <w:t>городской округ</w:t>
            </w:r>
            <w:r>
              <w:rPr>
                <w:rFonts w:eastAsia="Calibri" w:ascii="Times New Roman" w:hAnsi="Times New Roman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lang w:eastAsia="x-none"/>
              </w:rPr>
              <w:t xml:space="preserve">, </w:t>
            </w:r>
            <w:r>
              <w:rPr>
                <w:rFonts w:eastAsia="Calibri" w:ascii="Times New Roman" w:hAnsi="Times New Roman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lang w:eastAsia="x-none"/>
              </w:rPr>
              <w:t>пгт</w:t>
            </w:r>
            <w:r>
              <w:rPr>
                <w:rFonts w:eastAsia="Calibri" w:ascii="Times New Roman" w:hAnsi="Times New Roman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lang w:eastAsia="x-none"/>
              </w:rPr>
              <w:t>.Богородское для нужд Центрального филиала АО «ТК РусГидро»»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усл. ед.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>
      <w:pPr>
        <w:pStyle w:val="Heading3"/>
        <w:numPr>
          <w:ilvl w:val="2"/>
          <w:numId w:val="3"/>
        </w:numPr>
        <w:rPr>
          <w:lang w:val="ru-RU"/>
        </w:rPr>
      </w:pPr>
      <w:bookmarkStart w:id="15" w:name="_Toc125378702"/>
      <w:bookmarkStart w:id="16" w:name="_Toc51339696"/>
      <w:r>
        <w:rPr>
          <w:lang w:val="ru-RU"/>
        </w:rPr>
        <w:t xml:space="preserve">Требования </w:t>
      </w:r>
      <w:bookmarkEnd w:id="16"/>
      <w:r>
        <w:rPr>
          <w:lang w:val="ru-RU"/>
        </w:rPr>
        <w:t>к срокам оказания услуг</w:t>
      </w:r>
      <w:bookmarkEnd w:id="15"/>
    </w:p>
    <w:p>
      <w:pPr>
        <w:pStyle w:val="Heading1"/>
        <w:numPr>
          <w:ilvl w:val="0"/>
          <w:numId w:val="0"/>
        </w:numPr>
        <w:ind w:left="4678" w:hanging="4678"/>
        <w:rPr>
          <w:sz w:val="24"/>
          <w:szCs w:val="24"/>
        </w:rPr>
      </w:pPr>
      <w:bookmarkStart w:id="17" w:name="_Toc125378703"/>
      <w:r>
        <w:rPr>
          <w:sz w:val="24"/>
          <w:szCs w:val="24"/>
        </w:rPr>
        <w:t>Таблица 3. Требования к срокам оказания услуг</w:t>
      </w:r>
      <w:bookmarkEnd w:id="17"/>
    </w:p>
    <w:tbl>
      <w:tblPr>
        <w:tblW w:w="1020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41"/>
        <w:gridCol w:w="4304"/>
        <w:gridCol w:w="2835"/>
        <w:gridCol w:w="2220"/>
      </w:tblGrid>
      <w:tr>
        <w:trPr/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>
          <w:trHeight w:val="150" w:hRule="atLeast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410" w:hRule="atLeast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«ОКПД2: 49.41.19.900 Перевозка бульдозера автомобильным транспортом по маршруту  Республика Хакасия, г. Саяногорск, пгт. Черемушки - Московская обл., Сергиево-Посадский городской округ, пгт.Богородское для нужд Центрального филиала АО «ТК РусГидро»»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даты заключения договора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30 рабочих дней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1"/>
          <w:numId w:val="3"/>
        </w:numPr>
        <w:rPr>
          <w:lang w:val="ru-RU"/>
        </w:rPr>
      </w:pPr>
      <w:bookmarkStart w:id="18" w:name="_Toc125378704"/>
      <w:bookmarkStart w:id="19" w:name="_Toc46743511"/>
      <w:bookmarkStart w:id="20" w:name="_Toc51339698"/>
      <w:bookmarkStart w:id="21" w:name="_Toc50125131"/>
      <w:bookmarkEnd w:id="20"/>
      <w:bookmarkEnd w:id="21"/>
      <w:r>
        <w:rPr/>
        <w:t xml:space="preserve">Требования к </w:t>
      </w:r>
      <w:bookmarkEnd w:id="19"/>
      <w:r>
        <w:rPr>
          <w:lang w:val="ru-RU"/>
        </w:rPr>
        <w:t>качеству услуг</w:t>
      </w:r>
      <w:bookmarkEnd w:id="18"/>
    </w:p>
    <w:p>
      <w:pPr>
        <w:pStyle w:val="Normal"/>
        <w:rPr>
          <w:i/>
          <w:i/>
          <w:iCs/>
          <w:shd w:fill="FFFF99" w:val="clear"/>
        </w:rPr>
      </w:pPr>
      <w:r>
        <w:rPr>
          <w:b/>
          <w:bCs/>
          <w:sz w:val="24"/>
          <w:szCs w:val="24"/>
        </w:rPr>
        <w:t>Наименование услуг</w:t>
      </w:r>
      <w:r>
        <w:rPr>
          <w:b/>
          <w:bCs/>
          <w:i w:val="false"/>
          <w:iCs w:val="false"/>
          <w:sz w:val="24"/>
          <w:szCs w:val="24"/>
          <w:shd w:fill="auto" w:val="clear"/>
        </w:rPr>
        <w:t xml:space="preserve">: </w:t>
      </w:r>
      <w:r>
        <w:rPr>
          <w:rFonts w:eastAsia="Calibri" w:cs="Times New Roman"/>
          <w:b/>
          <w:bCs/>
          <w:i w:val="false"/>
          <w:iCs w:val="false"/>
          <w:kern w:val="0"/>
          <w:sz w:val="24"/>
          <w:szCs w:val="24"/>
          <w:shd w:fill="auto" w:val="clear"/>
          <w:lang w:val="ru-RU" w:eastAsia="x-none" w:bidi="ar-SA"/>
        </w:rPr>
        <w:t>«ОКПД2: 49.41.19.900 Перевозка бульдозера автомобильным транспортом по маршруту  Республика Хакасия, г. Саяногорск, пгт. Черемушки - Московская обл., Сергиево-Посадский городской округ, пгт.Богородское для нужд Центрального филиала АО «ТК РусГидро»»</w:t>
      </w:r>
    </w:p>
    <w:p>
      <w:pPr>
        <w:pStyle w:val="Normal"/>
        <w:rPr>
          <w:i/>
          <w:i/>
          <w:iCs/>
          <w:shd w:fill="FFFF99" w:val="clear"/>
        </w:rPr>
      </w:pPr>
      <w:r>
        <w:rPr>
          <w:b/>
          <w:bCs/>
          <w:sz w:val="24"/>
          <w:szCs w:val="24"/>
        </w:rPr>
        <w:t xml:space="preserve"> </w:t>
      </w:r>
      <w:r>
        <w:rPr>
          <w:rStyle w:val="Style8"/>
          <w:b w:val="false"/>
          <w:iCs/>
          <w:sz w:val="24"/>
          <w:szCs w:val="24"/>
        </w:rPr>
        <w:t xml:space="preserve"> </w:t>
      </w:r>
    </w:p>
    <w:tbl>
      <w:tblPr>
        <w:tblStyle w:val="af"/>
        <w:tblW w:w="14941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56"/>
        <w:gridCol w:w="3879"/>
        <w:gridCol w:w="3855"/>
        <w:gridCol w:w="3300"/>
        <w:gridCol w:w="2085"/>
      </w:tblGrid>
      <w:tr>
        <w:trPr/>
        <w:tc>
          <w:tcPr>
            <w:tcW w:w="75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387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85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538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75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87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85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3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0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75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22" w:name="_Toc53499667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22"/>
          </w:p>
        </w:tc>
        <w:tc>
          <w:tcPr>
            <w:tcW w:w="38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38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33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0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75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73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Требования к оказанию услуг </w:t>
            </w:r>
          </w:p>
        </w:tc>
        <w:tc>
          <w:tcPr>
            <w:tcW w:w="3300" w:type="dxa"/>
            <w:vMerge w:val="restart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4"/>
              </w:rPr>
              <w:t>Участник должен предоставить в заявке согласие оказать услуги, полностью соответствующие настоящим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b/>
                <w:i/>
                <w:kern w:val="0"/>
                <w:sz w:val="20"/>
                <w:szCs w:val="24"/>
                <w:lang w:val="ru-RU" w:eastAsia="ru-RU" w:bidi="ar-SA"/>
              </w:rPr>
              <w:t>техническим требованиям</w:t>
            </w:r>
          </w:p>
        </w:tc>
        <w:tc>
          <w:tcPr>
            <w:tcW w:w="2085" w:type="dxa"/>
            <w:vMerge w:val="restart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75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734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</w:t>
            </w:r>
          </w:p>
        </w:tc>
        <w:tc>
          <w:tcPr>
            <w:tcW w:w="330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/>
            </w:r>
          </w:p>
        </w:tc>
        <w:tc>
          <w:tcPr>
            <w:tcW w:w="208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/>
            </w:r>
          </w:p>
        </w:tc>
      </w:tr>
      <w:tr>
        <w:trPr/>
        <w:tc>
          <w:tcPr>
            <w:tcW w:w="75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87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i w:val="false"/>
                <w:iCs w:val="false"/>
                <w:kern w:val="0"/>
                <w:sz w:val="24"/>
                <w:szCs w:val="24"/>
                <w:lang w:val="ru-RU" w:eastAsia="x-none" w:bidi="ar-SA"/>
              </w:rPr>
              <w:t>«ОКПД2: 49.41.19.900 Перевозка бульдозера автомобильным транспортом по маршруту  Республика Хакасия, г. Саяногорск, пгт. Черемушки - Московская обл., Сергиево-Посадский городской округ, пгт.Богородское для нужд Центрального филиала АО «ТК РусГидро»»</w:t>
            </w:r>
          </w:p>
        </w:tc>
        <w:tc>
          <w:tcPr>
            <w:tcW w:w="3855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Перевозка ТС любым видом транспорта, исключающим самостоятельное движение ТС по маршруту </w:t>
            </w:r>
            <w:r>
              <w:rPr>
                <w:rFonts w:eastAsia="Calibri" w:cs="Times New Roman"/>
                <w:i w:val="false"/>
                <w:iCs w:val="false"/>
                <w:kern w:val="0"/>
                <w:sz w:val="24"/>
                <w:szCs w:val="24"/>
                <w:lang w:val="ru-RU" w:eastAsia="x-none" w:bidi="ar-SA"/>
              </w:rPr>
              <w:t>Республика Хакасия, г. Саяногорск, пгт. Черемушки - Московская обл., Сергиево-Посадский городской округ, пгт.Богородское для нужд Центрального филиала АО «ТК РусГидро»»</w:t>
            </w:r>
          </w:p>
        </w:tc>
        <w:tc>
          <w:tcPr>
            <w:tcW w:w="330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sz w:val="24"/>
                <w:szCs w:val="24"/>
              </w:rPr>
            </w:pPr>
            <w:r>
              <w:rPr/>
            </w:r>
          </w:p>
        </w:tc>
        <w:tc>
          <w:tcPr>
            <w:tcW w:w="208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/>
            </w:r>
          </w:p>
        </w:tc>
      </w:tr>
      <w:tr>
        <w:trPr/>
        <w:tc>
          <w:tcPr>
            <w:tcW w:w="75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73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процедурам оказания услуг</w:t>
            </w:r>
          </w:p>
        </w:tc>
        <w:tc>
          <w:tcPr>
            <w:tcW w:w="330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/>
            </w:r>
          </w:p>
        </w:tc>
        <w:tc>
          <w:tcPr>
            <w:tcW w:w="208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/>
            </w:r>
          </w:p>
        </w:tc>
      </w:tr>
      <w:tr>
        <w:trPr/>
        <w:tc>
          <w:tcPr>
            <w:tcW w:w="75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879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Обеспечение целостности и сохранности груза с момента приема к отправке до вручения грузополучателю</w:t>
            </w:r>
          </w:p>
        </w:tc>
        <w:tc>
          <w:tcPr>
            <w:tcW w:w="3855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несёт полную материальную ответственность перед Заказчиком за сохранность, порчу, утрату груза во время всего периода перевозки, с момента передачи груза Исполнителю до момента передачи груза грузополучателю в месте доставки</w:t>
            </w:r>
          </w:p>
        </w:tc>
        <w:tc>
          <w:tcPr>
            <w:tcW w:w="330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/>
            </w:r>
          </w:p>
        </w:tc>
        <w:tc>
          <w:tcPr>
            <w:tcW w:w="2085" w:type="dxa"/>
            <w:vMerge w:val="continue"/>
            <w:tcBorders/>
          </w:tcPr>
          <w:p>
            <w:pPr>
              <w:pStyle w:val="Style27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cs="Times New Roman"/>
                <w:kern w:val="0"/>
                <w:sz w:val="20"/>
                <w:szCs w:val="20"/>
                <w:lang w:bidi="ar-SA"/>
              </w:rPr>
            </w:pPr>
            <w:r>
              <w:rPr/>
            </w:r>
          </w:p>
        </w:tc>
      </w:tr>
      <w:tr>
        <w:trPr/>
        <w:tc>
          <w:tcPr>
            <w:tcW w:w="75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879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Страхование груза на период перевозки</w:t>
            </w:r>
          </w:p>
        </w:tc>
        <w:tc>
          <w:tcPr>
            <w:tcW w:w="3855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обязан самостоятельно застраховать перевозимый груз от всех рисков на весь период перевозки с момента передачи груза Исполнителю до момента передачи груза грузополучателю в страховой компании с рейтингом не ниже уровня А (рейтинг агентства «Эксперт РА»), при этом выгодоприобретателем по страховым событиям должно являться – АО «Транспортная компания РусГидро». Выплаты должны осуществляться по заявленной стоимости (Приложение 1 к ТТ) в части поврежденного, утраченного груза. Перед началом исполнения Услуги, Исполнитель должен направить оригинал или нотариально заверенную копию страхового полиса в адрес Центрального филиала АО «ТК РусГидро» (141342, Московскя обл., Сергиево-Посадский р-н, пгт. Богородское, д.101).</w:t>
            </w:r>
          </w:p>
        </w:tc>
        <w:tc>
          <w:tcPr>
            <w:tcW w:w="330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/>
            </w:r>
          </w:p>
        </w:tc>
        <w:tc>
          <w:tcPr>
            <w:tcW w:w="2085" w:type="dxa"/>
            <w:vMerge w:val="continue"/>
            <w:tcBorders/>
          </w:tcPr>
          <w:p>
            <w:pPr>
              <w:pStyle w:val="Style27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/>
            </w:r>
          </w:p>
        </w:tc>
      </w:tr>
      <w:tr>
        <w:trPr/>
        <w:tc>
          <w:tcPr>
            <w:tcW w:w="75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879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Погрузо-разгрузочные работы</w:t>
            </w:r>
          </w:p>
        </w:tc>
        <w:tc>
          <w:tcPr>
            <w:tcW w:w="3855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 заборе и доставке груза по адресу Заказчика, погрузка и выгрузка груза производятся силами Исполнителя, при необходимости осуществления межтерминальной перевозки, погрузка и выгрузка груза производятся силами и за счет Исполнителя</w:t>
            </w:r>
          </w:p>
        </w:tc>
        <w:tc>
          <w:tcPr>
            <w:tcW w:w="330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/>
            </w:r>
          </w:p>
        </w:tc>
        <w:tc>
          <w:tcPr>
            <w:tcW w:w="2085" w:type="dxa"/>
            <w:vMerge w:val="continue"/>
            <w:tcBorders/>
          </w:tcPr>
          <w:p>
            <w:pPr>
              <w:pStyle w:val="Style27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/>
            </w:r>
          </w:p>
        </w:tc>
      </w:tr>
      <w:tr>
        <w:trPr/>
        <w:tc>
          <w:tcPr>
            <w:tcW w:w="75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87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Сопроводительная документация</w:t>
            </w:r>
          </w:p>
        </w:tc>
        <w:tc>
          <w:tcPr>
            <w:tcW w:w="385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обязан обеспечить оформление разрешительной документации, транспортно-сопроводительных документов на перевозку ТС по маршруту, указанному в таблице №2 ТТ</w:t>
            </w:r>
          </w:p>
        </w:tc>
        <w:tc>
          <w:tcPr>
            <w:tcW w:w="330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/>
            </w:r>
          </w:p>
        </w:tc>
        <w:tc>
          <w:tcPr>
            <w:tcW w:w="2085" w:type="dxa"/>
            <w:vMerge w:val="continue"/>
            <w:tcBorders/>
          </w:tcPr>
          <w:p>
            <w:pPr>
              <w:pStyle w:val="Style27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/>
            </w:r>
          </w:p>
        </w:tc>
      </w:tr>
      <w:tr>
        <w:trPr/>
        <w:tc>
          <w:tcPr>
            <w:tcW w:w="75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87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Складское хранение</w:t>
            </w:r>
          </w:p>
        </w:tc>
        <w:tc>
          <w:tcPr>
            <w:tcW w:w="385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случае необходимости Исполнитель должен обеспечить согласованное хранение груза на своих складах и/или складах партнеров Исполнителя по направлению (маршруту) перевозки</w:t>
            </w:r>
          </w:p>
        </w:tc>
        <w:tc>
          <w:tcPr>
            <w:tcW w:w="330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/>
            </w:r>
          </w:p>
        </w:tc>
        <w:tc>
          <w:tcPr>
            <w:tcW w:w="2085" w:type="dxa"/>
            <w:vMerge w:val="continue"/>
            <w:tcBorders/>
          </w:tcPr>
          <w:p>
            <w:pPr>
              <w:pStyle w:val="Style27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/>
            </w:r>
          </w:p>
        </w:tc>
      </w:tr>
      <w:tr>
        <w:trPr>
          <w:trHeight w:val="90" w:hRule="atLeast"/>
        </w:trPr>
        <w:tc>
          <w:tcPr>
            <w:tcW w:w="75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1.3.3.</w:t>
            </w:r>
          </w:p>
        </w:tc>
        <w:tc>
          <w:tcPr>
            <w:tcW w:w="387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Контроль местонахождения груза</w:t>
            </w:r>
          </w:p>
        </w:tc>
        <w:tc>
          <w:tcPr>
            <w:tcW w:w="385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обязан обеспечивать диспетчерский контроль за доставкой груза, при возникновении нештатной ситуации, немедленно принять меры для устранения факторов способных повлиять на не своевременную доставку груза в пункт назначения, незамедлительно информировать Заказчика обо всех случаях задержки транспортных средств, которые повлекли или могут повлечь за собой нарушение срока доставки груза, или на обеспечение его сохранности.</w:t>
            </w:r>
          </w:p>
        </w:tc>
        <w:tc>
          <w:tcPr>
            <w:tcW w:w="330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/>
            </w:r>
          </w:p>
        </w:tc>
        <w:tc>
          <w:tcPr>
            <w:tcW w:w="2085" w:type="dxa"/>
            <w:vMerge w:val="continue"/>
            <w:tcBorders/>
          </w:tcPr>
          <w:p>
            <w:pPr>
              <w:pStyle w:val="Style27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/>
            </w:r>
          </w:p>
        </w:tc>
      </w:tr>
      <w:tr>
        <w:trPr/>
        <w:tc>
          <w:tcPr>
            <w:tcW w:w="75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73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330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/>
            </w:r>
          </w:p>
        </w:tc>
        <w:tc>
          <w:tcPr>
            <w:tcW w:w="208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/>
            </w:r>
          </w:p>
        </w:tc>
      </w:tr>
      <w:tr>
        <w:trPr/>
        <w:tc>
          <w:tcPr>
            <w:tcW w:w="75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73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330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/>
            </w:r>
          </w:p>
        </w:tc>
        <w:tc>
          <w:tcPr>
            <w:tcW w:w="208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/>
            </w:r>
          </w:p>
        </w:tc>
      </w:tr>
      <w:tr>
        <w:trPr/>
        <w:tc>
          <w:tcPr>
            <w:tcW w:w="75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8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Документы, передаваемые Заказчику по результатам оказанных услуг</w:t>
            </w:r>
          </w:p>
        </w:tc>
        <w:tc>
          <w:tcPr>
            <w:tcW w:w="38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передает Заказчику акт сдачи –приемки оказанных услуг/УПД в двух экземплярах</w:t>
            </w:r>
          </w:p>
        </w:tc>
        <w:tc>
          <w:tcPr>
            <w:tcW w:w="330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/>
            </w:r>
          </w:p>
        </w:tc>
        <w:tc>
          <w:tcPr>
            <w:tcW w:w="2085" w:type="dxa"/>
            <w:vMerge w:val="continue"/>
            <w:tcBorders/>
          </w:tcPr>
          <w:p>
            <w:pPr>
              <w:pStyle w:val="Style27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75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73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330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/>
            </w:r>
          </w:p>
        </w:tc>
        <w:tc>
          <w:tcPr>
            <w:tcW w:w="208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37" w:hRule="atLeast"/>
        </w:trPr>
        <w:tc>
          <w:tcPr>
            <w:tcW w:w="75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879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bookmarkStart w:id="23" w:name="_Toc125378712"/>
            <w:r>
              <w:rPr>
                <w:rFonts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  <w:t>Соблюдение при выполнении работ норм и правил нормативно-правовых актов, регулирующих перевозку грузов соответствующим видом транспорта</w:t>
            </w:r>
            <w:bookmarkEnd w:id="23"/>
          </w:p>
        </w:tc>
        <w:tc>
          <w:tcPr>
            <w:tcW w:w="3855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both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Услуги должны осуществляться в соответствии с нормативно-правовыми актами, регламентирующими правила перевозки грузов конкретным видом транспорта: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both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- Федеральный закон от 08.11.2007 № 259-ФЗ «Устав автомобильного транспорта и городского наземного электрического транспорта»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both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- Постановление Правительства РФ от 21.12.2020 N 2200 «Об утверждении Правил перевозок грузов автомобильным транспортом и о внесении изменений в пункт 2.1.1 Правил дорожного движения Российской Федерации»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- Федеральный закон от 10.12.1995 N 196-ФЗ «О безопасности дорожного движения»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both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- Федеральный закон от 10.01.2003 № 18-ФЗ «Устав железнодорожного транспорта Российской Федерации»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 xml:space="preserve">- Приказ Министерства транспорта РФ от 18.12.2019 № 405 «Об утверждении правил перевозок железнодорожным транспортом грузов в контейнерах и порожних контейнеров»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- Приказ Министерства транспорта РФ от 26.06.2020 N 217 «Об утверждении Правил перевозок железнодорожным транспортом, содержащих порядок заключения договоров, устанавливающих особые условия перевозки грузов»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- Приказ Минтруда России от 28.10.2020 N 753н «Об утверждении Правил по охране труда при погрузочно-разгрузочных работах и размещении грузов»</w:t>
            </w:r>
          </w:p>
        </w:tc>
        <w:tc>
          <w:tcPr>
            <w:tcW w:w="330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/>
            </w:r>
          </w:p>
        </w:tc>
        <w:tc>
          <w:tcPr>
            <w:tcW w:w="2085" w:type="dxa"/>
            <w:vMerge w:val="continue"/>
            <w:tcBorders/>
          </w:tcPr>
          <w:p>
            <w:pPr>
              <w:pStyle w:val="Style27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/>
            </w:r>
          </w:p>
        </w:tc>
      </w:tr>
    </w:tbl>
    <w:p>
      <w:pPr>
        <w:pStyle w:val="Heading1"/>
        <w:keepLines/>
        <w:numPr>
          <w:ilvl w:val="0"/>
          <w:numId w:val="0"/>
        </w:numPr>
        <w:ind w:left="357" w:hanging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  <w:r>
        <w:br w:type="page"/>
      </w:r>
    </w:p>
    <w:p>
      <w:pPr>
        <w:pStyle w:val="Normal"/>
        <w:ind w:left="357" w:hanging="357"/>
        <w:jc w:val="center"/>
        <w:rPr/>
      </w:pPr>
      <w:r>
        <w:rPr/>
      </w:r>
    </w:p>
    <w:p>
      <w:pPr>
        <w:pStyle w:val="Heading1"/>
        <w:numPr>
          <w:ilvl w:val="0"/>
          <w:numId w:val="3"/>
        </w:numPr>
        <w:ind w:left="357" w:hanging="357"/>
        <w:jc w:val="center"/>
        <w:rPr>
          <w:sz w:val="24"/>
          <w:szCs w:val="24"/>
          <w:lang w:val="ru-RU"/>
        </w:rPr>
      </w:pPr>
      <w:bookmarkStart w:id="24" w:name="_Toc125378714"/>
      <w:bookmarkStart w:id="25" w:name="_Toc53393312"/>
      <w:bookmarkStart w:id="26" w:name="_Toc53395937"/>
      <w:bookmarkStart w:id="27" w:name="_Toc501251311"/>
      <w:bookmarkStart w:id="28" w:name="_Toc513396981"/>
      <w:bookmarkEnd w:id="27"/>
      <w:bookmarkEnd w:id="28"/>
      <w:r>
        <w:rPr>
          <w:sz w:val="24"/>
          <w:szCs w:val="24"/>
          <w:lang w:val="ru-RU"/>
        </w:rPr>
        <w:t>Требования к документации по ценообразованию</w:t>
      </w:r>
      <w:bookmarkEnd w:id="25"/>
      <w:bookmarkEnd w:id="26"/>
      <w:r>
        <w:rPr>
          <w:sz w:val="24"/>
          <w:szCs w:val="24"/>
          <w:lang w:val="ru-RU"/>
        </w:rPr>
        <w:t xml:space="preserve"> на этапе закупки</w:t>
      </w:r>
      <w:bookmarkEnd w:id="24"/>
    </w:p>
    <w:p>
      <w:pPr>
        <w:pStyle w:val="Normal"/>
        <w:jc w:val="both"/>
        <w:rPr>
          <w:rFonts w:eastAsia="Calibri"/>
          <w:bCs/>
          <w:sz w:val="24"/>
          <w:szCs w:val="24"/>
          <w:lang w:eastAsia="x-none"/>
        </w:rPr>
      </w:pPr>
      <w:r>
        <w:rPr>
          <w:rFonts w:eastAsia="Calibri"/>
          <w:bCs/>
          <w:sz w:val="24"/>
          <w:szCs w:val="24"/>
          <w:lang w:eastAsia="x-none"/>
        </w:rPr>
        <w:t xml:space="preserve">3.1 </w:t>
      </w:r>
      <w:r>
        <w:rPr>
          <w:rFonts w:eastAsia="Calibri"/>
          <w:bCs/>
          <w:sz w:val="24"/>
          <w:szCs w:val="24"/>
          <w:lang w:val="x-none" w:eastAsia="x-none"/>
        </w:rPr>
        <w:t>Стоимость услуг включает забор груза в местах отправки (передачи) груза, погрузку, крепление груза, перевозку груза, доставку до места разгрузки, простой под погрузкой (разгрузкой), разгрузку, растентовку в случае необходимости, страховку, а также все расходы на уплату налогов (в т.ч. НДС), сборов и других обязательных платежей, оформление всех необходимых разрешительных документов, пропусков, согласований,  транспортно-экспедиционное обслуживание и все прочие расходы Исполнителя, связанные с выполнением договора</w:t>
      </w:r>
      <w:r>
        <w:rPr>
          <w:rFonts w:eastAsia="Calibri"/>
          <w:bCs/>
          <w:sz w:val="24"/>
          <w:szCs w:val="24"/>
          <w:lang w:eastAsia="x-none"/>
        </w:rPr>
        <w:t>.</w:t>
      </w:r>
    </w:p>
    <w:p>
      <w:pPr>
        <w:pStyle w:val="Normal"/>
        <w:jc w:val="both"/>
        <w:rPr>
          <w:rFonts w:eastAsia="Calibri"/>
          <w:bCs/>
          <w:sz w:val="24"/>
          <w:szCs w:val="24"/>
          <w:lang w:val="x-none" w:eastAsia="x-none"/>
        </w:rPr>
      </w:pPr>
      <w:r>
        <w:rPr>
          <w:rFonts w:eastAsia="Calibri"/>
          <w:bCs/>
          <w:sz w:val="24"/>
          <w:szCs w:val="24"/>
          <w:lang w:eastAsia="x-none"/>
        </w:rPr>
        <w:t xml:space="preserve">3.2 </w:t>
      </w:r>
      <w:r>
        <w:rPr>
          <w:rFonts w:eastAsia="Calibri"/>
          <w:bCs/>
          <w:sz w:val="24"/>
          <w:szCs w:val="24"/>
          <w:lang w:val="x-none" w:eastAsia="x-none"/>
        </w:rPr>
        <w:t>Цена остается фиксированной и не подлежит изменению с момента подведения итогов закупочных процедур и на все время действия договора.</w:t>
      </w:r>
    </w:p>
    <w:p>
      <w:pPr>
        <w:pStyle w:val="Heading1"/>
        <w:keepLines/>
        <w:numPr>
          <w:ilvl w:val="0"/>
          <w:numId w:val="0"/>
        </w:numPr>
        <w:ind w:left="357" w:hanging="0"/>
        <w:jc w:val="center"/>
        <w:rPr>
          <w:iCs/>
          <w:caps/>
          <w:sz w:val="24"/>
          <w:szCs w:val="24"/>
        </w:rPr>
      </w:pPr>
      <w:r>
        <w:rPr>
          <w:sz w:val="22"/>
          <w:szCs w:val="22"/>
        </w:rPr>
      </w:r>
    </w:p>
    <w:p>
      <w:pPr>
        <w:pStyle w:val="24"/>
        <w:tabs>
          <w:tab w:val="clear" w:pos="1134"/>
        </w:tabs>
        <w:snapToGrid w:val="true"/>
        <w:ind w:left="1418" w:hanging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24"/>
        <w:pageBreakBefore w:val="false"/>
        <w:tabs>
          <w:tab w:val="clear" w:pos="1134"/>
        </w:tabs>
        <w:snapToGrid w:val="true"/>
        <w:spacing w:before="240" w:after="120"/>
        <w:ind w:left="1418" w:hanging="0"/>
        <w:jc w:val="right"/>
        <w:rPr/>
      </w:pPr>
      <w:r>
        <w:rPr/>
      </w:r>
    </w:p>
    <w:sectPr>
      <w:headerReference w:type="default" r:id="rId5"/>
      <w:headerReference w:type="first" r:id="rId6"/>
      <w:type w:val="nextPage"/>
      <w:pgSz w:orient="landscape" w:w="16838" w:h="11906"/>
      <w:pgMar w:left="992" w:right="1134" w:gutter="0" w:header="680" w:top="1134" w:footer="0" w:bottom="851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65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8542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ind w:left="5038" w:hanging="0"/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widowControl/>
      <w:numPr>
        <w:ilvl w:val="2"/>
        <w:numId w:val="3"/>
      </w:numPr>
      <w:suppressAutoHyphens w:val="true"/>
      <w:bidi w:val="0"/>
      <w:spacing w:before="120" w:after="60"/>
      <w:ind w:left="0" w:right="0" w:hanging="0"/>
      <w:jc w:val="left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lang w:val="zxx" w:eastAsia="zxx" w:bidi="zxx"/>
    </w:rPr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880d13"/>
    <w:pPr>
      <w:tabs>
        <w:tab w:val="clear" w:pos="708"/>
        <w:tab w:val="left" w:pos="1120" w:leader="none"/>
        <w:tab w:val="right" w:pos="9911" w:leader="dot"/>
      </w:tabs>
      <w:ind w:left="709" w:hanging="142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Default" w:customStyle="1">
    <w:name w:val="Default"/>
    <w:qFormat/>
    <w:rsid w:val="000f3d81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0"/>
      <w:kern w:val="0"/>
      <w:sz w:val="24"/>
      <w:szCs w:val="24"/>
      <w:lang w:val="ru-RU" w:eastAsia="ru-RU" w:bidi="ar-SA"/>
    </w:rPr>
  </w:style>
  <w:style w:type="paragraph" w:styleId="Style33" w:customStyle="1">
    <w:name w:val="[РГ] Текст"/>
    <w:basedOn w:val="Normal"/>
    <w:qFormat/>
    <w:rsid w:val="009651eb"/>
    <w:pPr>
      <w:spacing w:before="120" w:after="0"/>
      <w:jc w:val="both"/>
    </w:pPr>
    <w:rPr>
      <w:rFonts w:cs="Times New Roman (???????? ?????"/>
      <w:color w:val="000000"/>
      <w:sz w:val="26"/>
      <w:szCs w:val="24"/>
      <w:lang w:eastAsia="en-US"/>
    </w:rPr>
  </w:style>
  <w:style w:type="paragraph" w:styleId="Style34">
    <w:name w:val="Содержимое врезки"/>
    <w:basedOn w:val="Normal"/>
    <w:qFormat/>
    <w:pPr/>
    <w:rPr/>
  </w:style>
  <w:style w:type="paragraph" w:styleId="Style35">
    <w:name w:val="Содержимое таблицы"/>
    <w:basedOn w:val="Normal"/>
    <w:qFormat/>
    <w:pPr>
      <w:widowControl w:val="false"/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2E5E9-3109-4BE9-BA82-14F6E97D9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</TotalTime>
  <Application>AlterOffice/3.4.0.9$Linux_X86_64 LibreOffice_project/b8daf9e823b1a5463a2f48435ddc2e8696e7d4fc</Application>
  <AppVersion>15.0000</AppVersion>
  <Pages>10</Pages>
  <Words>1265</Words>
  <Characters>8742</Characters>
  <CharactersWithSpaces>9863</CharactersWithSpaces>
  <Paragraphs>158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2023-01-19T23:35:00Z</dcterms:created>
  <dc:creator>Быстров Олег Геннадьевич</dc:creator>
  <dc:description/>
  <dc:language>ru-RU</dc:language>
  <cp:lastModifiedBy>tolpyginanv@corp.gidroogk.com</cp:lastModifiedBy>
  <cp:lastPrinted>2023-01-27T02:24:00Z</cp:lastPrinted>
  <dcterms:modified xsi:type="dcterms:W3CDTF">2026-05-29T16:30:56Z</dcterms:modified>
  <cp:revision>61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