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средства бытовой химии</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Поставка Товара по Договору осуществляется для нужд </w:t>
      </w:r>
      <w:r>
        <w:rPr>
          <w:bCs/>
          <w:sz w:val="26"/>
          <w:szCs w:val="26"/>
          <w:shd w:fill="auto" w:val="clear"/>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bCs/>
          <w:sz w:val="26"/>
          <w:szCs w:val="26"/>
          <w:shd w:fill="auto" w:val="clear"/>
        </w:rPr>
        <w:t>Место поставки товара: 676244, Амурская область, г. Зея, склад № 2 Филиала ПАО «РусГидро» - «Зейская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01.07.2026г.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Cs/>
          <w:sz w:val="24"/>
          <w:szCs w:val="24"/>
        </w:rPr>
      </w:pPr>
      <w:r>
        <w:rPr>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shd w:fill="auto" w:val="clear"/>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Производство и / или приобретение Товара;</w:t>
      </w:r>
    </w:p>
    <w:p>
      <w:pPr>
        <w:pStyle w:val="ListParagraph"/>
        <w:numPr>
          <w:ilvl w:val="2"/>
          <w:numId w:val="9"/>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Подлежащие уплате налоги, сборы и пошлины (в том числе по таможенному оформлению Товара, если применимо)</w:t>
      </w:r>
      <w:r>
        <w:rPr>
          <w:bCs/>
          <w:sz w:val="24"/>
          <w:szCs w:val="24"/>
          <w:shd w:fill="auto" w:val="clear"/>
          <w:lang w:val="en-US"/>
        </w:rPr>
        <w:t>;</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highlight w:val="none"/>
          <w:shd w:fill="auto" w:val="clear"/>
        </w:rPr>
      </w:pPr>
      <w:r>
        <w:rPr>
          <w:bCs/>
          <w:sz w:val="24"/>
          <w:szCs w:val="24"/>
          <w:shd w:fill="auto" w:val="clear"/>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highlight w:val="none"/>
          <w:shd w:fill="auto" w:val="clear"/>
        </w:rPr>
      </w:pPr>
      <w:r>
        <w:rPr>
          <w:sz w:val="24"/>
          <w:szCs w:val="24"/>
          <w:shd w:fill="auto" w:val="clea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 w:val="left" w:pos="1189" w:leader="none"/>
        </w:tabs>
        <w:ind w:left="0" w:firstLine="709"/>
        <w:jc w:val="both"/>
        <w:rPr>
          <w:bCs/>
          <w:sz w:val="24"/>
        </w:rPr>
      </w:pPr>
      <w:r>
        <w:rPr>
          <w:bCs/>
          <w:sz w:val="24"/>
          <w:shd w:fill="auto" w:val="clear"/>
        </w:rPr>
        <w:t xml:space="preserve">Оплата по Договору осуществляется Покупателем в течение </w:t>
      </w:r>
      <w:r>
        <w:rPr>
          <w:sz w:val="24"/>
          <w:szCs w:val="24"/>
          <w:shd w:fill="auto" w:val="clear"/>
        </w:rPr>
        <w:t>20 (двадцати) календарных дней/ 7 (семи) рабочих дней</w:t>
      </w:r>
      <w:r>
        <w:rPr>
          <w:rStyle w:val="FootnoteReference"/>
          <w:sz w:val="24"/>
          <w:szCs w:val="24"/>
          <w:shd w:fill="auto" w:val="clear"/>
        </w:rPr>
        <w:footnoteReference w:id="2"/>
      </w:r>
      <w:r>
        <w:rPr>
          <w:sz w:val="24"/>
          <w:szCs w:val="24"/>
          <w:shd w:fill="auto" w:val="clear"/>
          <w:vertAlign w:val="superscript"/>
        </w:rPr>
        <w:t xml:space="preserve"> </w:t>
      </w:r>
      <w:r>
        <w:rPr>
          <w:bCs/>
          <w:sz w:val="24"/>
          <w:shd w:fill="auto" w:val="clear"/>
        </w:rPr>
        <w:t>с даты подписания Сторонами Накладной ТОРГ-</w:t>
      </w:r>
      <w:r>
        <w:rPr>
          <w:bCs/>
          <w:sz w:val="24"/>
        </w:rPr>
        <w:t>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r>
        <w:rPr>
          <w:rStyle w:val="FootnoteReference"/>
          <w:sz w:val="24"/>
          <w:szCs w:val="24"/>
          <w:shd w:fill="auto" w:val="clear"/>
        </w:rPr>
        <w:footnoteReference w:id="3"/>
      </w:r>
    </w:p>
    <w:p>
      <w:pPr>
        <w:pStyle w:val="Normal"/>
        <w:numPr>
          <w:ilvl w:val="1"/>
          <w:numId w:val="2"/>
        </w:numPr>
        <w:shd w:val="clear" w:color="auto" w:fill="FFFFFF"/>
        <w:tabs>
          <w:tab w:val="clear" w:pos="709"/>
          <w:tab w:val="left" w:pos="1134" w:leader="none"/>
          <w:tab w:val="left" w:pos="1189"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189"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Качество  </w:t>
      </w:r>
      <w:r>
        <w:rPr>
          <w:sz w:val="26"/>
          <w:szCs w:val="26"/>
        </w:rPr>
        <w:t>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shd w:val="clear" w:color="auto" w:fill="FFFFFF"/>
        <w:tabs>
          <w:tab w:val="clear" w:pos="709"/>
          <w:tab w:val="left" w:pos="1134" w:leader="none"/>
        </w:tabs>
        <w:ind w:firstLine="709"/>
        <w:jc w:val="both"/>
        <w:rPr>
          <w:highlight w:val="none"/>
          <w:shd w:fill="auto" w:val="clear"/>
        </w:rPr>
      </w:pPr>
      <w:r>
        <w:rPr>
          <w:bCs/>
          <w:sz w:val="24"/>
          <w:szCs w:val="24"/>
          <w:shd w:fill="auto" w:val="clear"/>
        </w:rPr>
        <w:t xml:space="preserve">Поставщик не вправе производить </w:t>
      </w:r>
      <w:r>
        <w:rPr>
          <w:sz w:val="24"/>
          <w:szCs w:val="24"/>
          <w:shd w:fill="auto" w:val="clear"/>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товарно</w:t>
      </w:r>
      <w:r>
        <w:rPr>
          <w:color w:val="000000"/>
          <w:sz w:val="24"/>
          <w:szCs w:val="24"/>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sz w:val="24"/>
          <w:szCs w:val="24"/>
          <w:shd w:fill="auto" w:val="clear"/>
        </w:rPr>
        <w:t>накладная ТОРГ-12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акт приема передачи товара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счета на оплату окончательных платежей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highlight w:val="none"/>
          <w:shd w:fill="auto" w:val="clear"/>
        </w:rPr>
      </w:pPr>
      <w:r>
        <w:rPr>
          <w:bCs/>
          <w:sz w:val="24"/>
          <w:szCs w:val="24"/>
          <w:shd w:fill="auto" w:val="clear"/>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shd w:fill="auto" w:val="clear"/>
        </w:rPr>
        <w:t xml:space="preserve">В случае нарушения Поставщиком сроков предоставления счетов-фактур, установленных пунктом </w:t>
      </w:r>
      <w:r>
        <w:rPr>
          <w:bCs/>
          <w:sz w:val="24"/>
          <w:szCs w:val="24"/>
        </w:rPr>
        <w:t>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4"/>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w:t>
      </w:r>
      <w:r>
        <w:rPr>
          <w:bCs/>
          <w:sz w:val="24"/>
          <w:szCs w:val="24"/>
          <w:shd w:fill="auto" w:val="clear"/>
        </w:rPr>
        <w:t xml:space="preserve"> Амурской области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 xml:space="preserve">12.8 </w:t>
      </w:r>
      <w:r>
        <w:rPr>
          <w:sz w:val="24"/>
          <w:szCs w:val="24"/>
        </w:rPr>
        <w:t>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 xml:space="preserve">12.7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sz w:val="24"/>
          <w:szCs w:val="24"/>
          <w:shd w:fill="auto"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13" w:name="_Ref361338004"/>
      <w:r>
        <w:rPr>
          <w:sz w:val="24"/>
          <w:szCs w:val="24"/>
          <w:shd w:fill="auto" w:val="clear"/>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12.8 Договора.</w:t>
      </w:r>
      <w:bookmarkEnd w:id="13"/>
      <w:r>
        <w:rPr>
          <w:sz w:val="24"/>
          <w:szCs w:val="24"/>
          <w:shd w:fill="auto" w:val="clea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r>
        <w:rPr>
          <w:sz w:val="24"/>
          <w:szCs w:val="24"/>
          <w:shd w:fill="auto" w:val="clear"/>
        </w:rPr>
        <w:t>Письма, уведомления и / или сообщения направляются Стороне</w:t>
      </w:r>
      <w:r>
        <w:rPr>
          <w:bCs/>
          <w:sz w:val="24"/>
          <w:szCs w:val="24"/>
          <w:shd w:fill="auto" w:val="clear"/>
        </w:rPr>
        <w:t>-</w:t>
      </w:r>
      <w:r>
        <w:rPr>
          <w:sz w:val="24"/>
          <w:szCs w:val="24"/>
          <w:shd w:fill="auto" w:val="clear"/>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shd w:fill="auto" w:val="clear"/>
        </w:rPr>
        <w:t xml:space="preserve"> будет считаться полученным</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 xml:space="preserve">Заказным почтовым отправлением с уведомлением о вручении – </w:t>
      </w:r>
      <w:r>
        <w:rPr>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shd w:fill="auto" w:val="clear"/>
        </w:rPr>
        <w:t xml:space="preserve">; </w:t>
      </w:r>
    </w:p>
    <w:p>
      <w:pPr>
        <w:pStyle w:val="ListParagraph"/>
        <w:numPr>
          <w:ilvl w:val="2"/>
          <w:numId w:val="2"/>
        </w:numPr>
        <w:tabs>
          <w:tab w:val="clear" w:pos="709"/>
          <w:tab w:val="left" w:pos="1532" w:leader="none"/>
        </w:tabs>
        <w:ind w:left="0" w:firstLine="709"/>
        <w:jc w:val="both"/>
        <w:rPr>
          <w:highlight w:val="none"/>
          <w:shd w:fill="auto" w:val="clear"/>
        </w:rPr>
      </w:pPr>
      <w:r>
        <w:rPr>
          <w:bCs/>
          <w:sz w:val="24"/>
          <w:szCs w:val="24"/>
          <w:shd w:fill="auto" w:val="clear"/>
        </w:rPr>
        <w:t>Посредством электронной почты (</w:t>
      </w:r>
      <w:r>
        <w:rPr>
          <w:bCs/>
          <w:sz w:val="24"/>
          <w:szCs w:val="24"/>
          <w:shd w:fill="auto" w:val="clear"/>
          <w:lang w:val="en-US"/>
        </w:rPr>
        <w:t>e</w:t>
      </w:r>
      <w:r>
        <w:rPr>
          <w:bCs/>
          <w:sz w:val="24"/>
          <w:szCs w:val="24"/>
          <w:shd w:fill="auto" w:val="clear"/>
        </w:rPr>
        <w:t>-</w:t>
      </w:r>
      <w:r>
        <w:rPr>
          <w:bCs/>
          <w:sz w:val="24"/>
          <w:szCs w:val="24"/>
          <w:shd w:fill="auto" w:val="clear"/>
          <w:lang w:val="en-US"/>
        </w:rPr>
        <w:t>mail</w:t>
      </w:r>
      <w:r>
        <w:rPr>
          <w:bCs/>
          <w:sz w:val="24"/>
          <w:szCs w:val="24"/>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1 –</w:t>
      </w:r>
      <w:r>
        <w:rPr>
          <w:rFonts w:eastAsia="Calibri"/>
          <w:sz w:val="24"/>
          <w:szCs w:val="24"/>
          <w:lang w:eastAsia="en-US"/>
        </w:rPr>
        <w:t xml:space="preserve"> Спецификация.</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bookmarkEnd w:id="14"/>
      <w:r>
        <w:rPr>
          <w:rFonts w:eastAsia="Calibri"/>
          <w:sz w:val="24"/>
          <w:szCs w:val="24"/>
          <w:lang w:eastAsia="en-US"/>
        </w:rPr>
        <w:t xml:space="preserve">Приложение № 2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r>
      <w:bookmarkStart w:id="15" w:name="sub_1_Копия_1"/>
      <w:bookmarkStart w:id="16" w:name="sub_1_Копия_1"/>
      <w:bookmarkEnd w:id="16"/>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0"/>
        <w:gridCol w:w="143"/>
        <w:gridCol w:w="4643"/>
        <w:gridCol w:w="215"/>
      </w:tblGrid>
      <w:tr>
        <w:trPr/>
        <w:tc>
          <w:tcPr>
            <w:tcW w:w="4923" w:type="dxa"/>
            <w:gridSpan w:val="2"/>
            <w:tcBorders/>
          </w:tcPr>
          <w:p>
            <w:pPr>
              <w:pStyle w:val="Normal"/>
              <w:widowControl w:val="false"/>
              <w:rPr>
                <w:b/>
                <w:sz w:val="24"/>
                <w:szCs w:val="24"/>
              </w:rPr>
            </w:pPr>
            <w:r>
              <w:rPr>
                <w:b/>
                <w:sz w:val="24"/>
                <w:szCs w:val="24"/>
              </w:rPr>
              <w:t>Покупатель:</w:t>
            </w:r>
          </w:p>
        </w:tc>
        <w:tc>
          <w:tcPr>
            <w:tcW w:w="4858" w:type="dxa"/>
            <w:gridSpan w:val="2"/>
            <w:tcBorders/>
          </w:tcPr>
          <w:p>
            <w:pPr>
              <w:pStyle w:val="Normal"/>
              <w:widowControl w:val="false"/>
              <w:rPr>
                <w:b/>
                <w:sz w:val="24"/>
                <w:szCs w:val="24"/>
              </w:rPr>
            </w:pPr>
            <w:r>
              <w:rPr>
                <w:b/>
                <w:sz w:val="24"/>
                <w:szCs w:val="24"/>
              </w:rPr>
              <w:t>Поставщик:</w:t>
            </w:r>
          </w:p>
        </w:tc>
      </w:tr>
      <w:tr>
        <w:trPr/>
        <w:tc>
          <w:tcPr>
            <w:tcW w:w="4923"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8"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0"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5"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r>
    </w:p>
    <w:p>
      <w:pPr>
        <w:pStyle w:val="Normal"/>
        <w:tabs>
          <w:tab w:val="clear" w:pos="709"/>
          <w:tab w:val="left" w:pos="6521" w:leader="none"/>
        </w:tabs>
        <w:ind w:right="96" w:hanging="567"/>
        <w:jc w:val="left"/>
        <w:rPr/>
      </w:pPr>
      <w:r>
        <w:rPr>
          <w:sz w:val="24"/>
          <w:szCs w:val="28"/>
        </w:rPr>
        <w:tab/>
        <w:tab/>
        <w:tab/>
        <w:t>Приложение №1</w:t>
      </w:r>
    </w:p>
    <w:p>
      <w:pPr>
        <w:pStyle w:val="Normal"/>
        <w:jc w:val="left"/>
        <w:rPr/>
      </w:pPr>
      <w:r>
        <w:rPr>
          <w:sz w:val="24"/>
          <w:szCs w:val="28"/>
        </w:rPr>
        <w:tab/>
        <w:tab/>
        <w:tab/>
        <w:tab/>
        <w:tab/>
        <w:tab/>
        <w:tab/>
        <w:tab/>
        <w:tab/>
        <w:tab/>
        <w:t xml:space="preserve">к Договору поставки </w:t>
      </w:r>
    </w:p>
    <w:p>
      <w:pPr>
        <w:pStyle w:val="Normal"/>
        <w:ind w:left="4956" w:firstLine="708"/>
        <w:jc w:val="left"/>
        <w:rPr/>
      </w:pPr>
      <w:r>
        <w:rPr>
          <w:sz w:val="24"/>
          <w:szCs w:val="28"/>
        </w:rPr>
        <w:tab/>
        <w:tab/>
        <w:tab/>
        <w:tab/>
        <w:t>от «___»__________2026</w:t>
      </w:r>
      <w:r>
        <w:rPr>
          <w:sz w:val="24"/>
          <w:szCs w:val="28"/>
          <w:lang w:val="en-US"/>
        </w:rPr>
        <w:t xml:space="preserve"> </w:t>
      </w:r>
      <w:r>
        <w:rPr>
          <w:sz w:val="24"/>
          <w:szCs w:val="28"/>
        </w:rPr>
        <w:t>г.</w:t>
      </w:r>
    </w:p>
    <w:p>
      <w:pPr>
        <w:pStyle w:val="Normal"/>
        <w:tabs>
          <w:tab w:val="clear" w:pos="709"/>
          <w:tab w:val="left" w:pos="6521" w:leader="none"/>
        </w:tabs>
        <w:ind w:hanging="567"/>
        <w:jc w:val="right"/>
        <w:rPr>
          <w:sz w:val="24"/>
          <w:szCs w:val="28"/>
        </w:rPr>
      </w:pPr>
      <w:r>
        <w:rPr>
          <w:sz w:val="24"/>
          <w:szCs w:val="28"/>
        </w:rPr>
      </w:r>
    </w:p>
    <w:p>
      <w:pPr>
        <w:pStyle w:val="Normal"/>
        <w:tabs>
          <w:tab w:val="clear" w:pos="709"/>
          <w:tab w:val="left" w:pos="6521" w:leader="none"/>
        </w:tabs>
        <w:ind w:hanging="567"/>
        <w:jc w:val="center"/>
        <w:rPr>
          <w:sz w:val="24"/>
          <w:szCs w:val="28"/>
        </w:rPr>
      </w:pPr>
      <w:r>
        <w:rPr>
          <w:sz w:val="24"/>
          <w:szCs w:val="28"/>
        </w:rPr>
        <w:t>СПЕЦИФИКАЦИЯ</w:t>
      </w:r>
    </w:p>
    <w:p>
      <w:pPr>
        <w:pStyle w:val="Normal"/>
        <w:tabs>
          <w:tab w:val="clear" w:pos="709"/>
          <w:tab w:val="left" w:pos="6521" w:leader="none"/>
        </w:tabs>
        <w:ind w:hanging="567"/>
        <w:jc w:val="right"/>
        <w:rPr>
          <w:sz w:val="24"/>
          <w:szCs w:val="28"/>
        </w:rPr>
      </w:pPr>
      <w:r>
        <w:rPr>
          <w:sz w:val="24"/>
          <w:szCs w:val="28"/>
        </w:rPr>
      </w:r>
    </w:p>
    <w:p>
      <w:pPr>
        <w:pStyle w:val="Normal"/>
        <w:tabs>
          <w:tab w:val="clear" w:pos="709"/>
          <w:tab w:val="left" w:pos="6521" w:leader="none"/>
        </w:tabs>
        <w:ind w:hanging="567"/>
        <w:jc w:val="right"/>
        <w:rPr>
          <w:sz w:val="24"/>
          <w:szCs w:val="28"/>
        </w:rPr>
      </w:pPr>
      <w:r>
        <w:rPr>
          <w:sz w:val="24"/>
          <w:szCs w:val="28"/>
        </w:rPr>
      </w:r>
    </w:p>
    <w:tbl>
      <w:tblPr>
        <w:tblW w:w="1020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55"/>
        <w:gridCol w:w="1251"/>
        <w:gridCol w:w="1419"/>
        <w:gridCol w:w="855"/>
        <w:gridCol w:w="1364"/>
        <w:gridCol w:w="1125"/>
        <w:gridCol w:w="1306"/>
        <w:gridCol w:w="1260"/>
        <w:gridCol w:w="1064"/>
      </w:tblGrid>
      <w:tr>
        <w:trPr>
          <w:trHeight w:val="630" w:hRule="atLeast"/>
        </w:trPr>
        <w:tc>
          <w:tcPr>
            <w:tcW w:w="5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w:t>
            </w:r>
          </w:p>
        </w:tc>
        <w:tc>
          <w:tcPr>
            <w:tcW w:w="12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Наименование</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Технические характеристики</w:t>
            </w:r>
          </w:p>
        </w:tc>
        <w:tc>
          <w:tcPr>
            <w:tcW w:w="85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16"/>
                <w:szCs w:val="16"/>
              </w:rPr>
            </w:pPr>
            <w:r>
              <w:rPr>
                <w:color w:val="000000"/>
                <w:sz w:val="16"/>
                <w:szCs w:val="16"/>
              </w:rPr>
              <w:t>Кол-во, шт.</w:t>
            </w:r>
          </w:p>
        </w:tc>
        <w:tc>
          <w:tcPr>
            <w:tcW w:w="13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Страна происхождения</w:t>
            </w:r>
          </w:p>
        </w:tc>
        <w:tc>
          <w:tcPr>
            <w:tcW w:w="112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Цена, руб./шт.</w:t>
            </w:r>
          </w:p>
        </w:tc>
        <w:tc>
          <w:tcPr>
            <w:tcW w:w="13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left="227" w:right="0" w:hanging="0"/>
              <w:jc w:val="center"/>
              <w:rPr>
                <w:sz w:val="16"/>
                <w:szCs w:val="16"/>
              </w:rPr>
            </w:pPr>
            <w:r>
              <w:rPr>
                <w:color w:val="000000"/>
                <w:sz w:val="16"/>
                <w:szCs w:val="16"/>
              </w:rPr>
              <w:t>Стоимость, руб. без НДС</w:t>
            </w:r>
          </w:p>
        </w:tc>
        <w:tc>
          <w:tcPr>
            <w:tcW w:w="12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НДС</w:t>
            </w:r>
          </w:p>
        </w:tc>
        <w:tc>
          <w:tcPr>
            <w:tcW w:w="10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Итого с НДС</w:t>
            </w:r>
          </w:p>
        </w:tc>
      </w:tr>
      <w:tr>
        <w:trPr>
          <w:trHeight w:val="315" w:hRule="atLeast"/>
        </w:trPr>
        <w:tc>
          <w:tcPr>
            <w:tcW w:w="5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2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855" w:type="dxa"/>
            <w:vMerge w:val="continue"/>
            <w:tcBorders>
              <w:top w:val="single" w:sz="4" w:space="0" w:color="000000"/>
              <w:left w:val="single" w:sz="4" w:space="0" w:color="000000"/>
              <w:bottom w:val="single" w:sz="4" w:space="0" w:color="000000"/>
            </w:tcBorders>
            <w:vAlign w:val="center"/>
          </w:tcPr>
          <w:p>
            <w:pPr>
              <w:pStyle w:val="Normal"/>
              <w:widowControl w:val="false"/>
              <w:rPr>
                <w:color w:val="000000"/>
                <w:sz w:val="16"/>
                <w:szCs w:val="16"/>
              </w:rPr>
            </w:pPr>
            <w:r>
              <w:rPr>
                <w:color w:val="000000"/>
                <w:sz w:val="16"/>
                <w:szCs w:val="16"/>
              </w:rPr>
            </w:r>
          </w:p>
        </w:tc>
        <w:tc>
          <w:tcPr>
            <w:tcW w:w="13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без НДС</w:t>
            </w:r>
          </w:p>
        </w:tc>
        <w:tc>
          <w:tcPr>
            <w:tcW w:w="13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6"/>
                <w:szCs w:val="16"/>
              </w:rPr>
            </w:pPr>
            <w:r>
              <w:rPr>
                <w:color w:val="000000"/>
                <w:sz w:val="16"/>
                <w:szCs w:val="16"/>
              </w:rPr>
            </w:r>
          </w:p>
        </w:tc>
        <w:tc>
          <w:tcPr>
            <w:tcW w:w="10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4"/>
                <w:szCs w:val="24"/>
              </w:rPr>
            </w:pPr>
            <w:r>
              <w:rPr>
                <w:color w:val="000000"/>
                <w:sz w:val="24"/>
                <w:szCs w:val="24"/>
              </w:rPr>
            </w:r>
          </w:p>
        </w:tc>
      </w:tr>
      <w:tr>
        <w:trPr>
          <w:trHeight w:val="630" w:hRule="atLeast"/>
        </w:trPr>
        <w:tc>
          <w:tcPr>
            <w:tcW w:w="5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1</w:t>
            </w:r>
          </w:p>
        </w:tc>
        <w:tc>
          <w:tcPr>
            <w:tcW w:w="1251"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260" w:type="dxa"/>
            <w:tcBorders>
              <w:bottom w:val="single" w:sz="4" w:space="0" w:color="000000"/>
              <w:right w:val="single" w:sz="4" w:space="0" w:color="000000"/>
            </w:tcBorders>
            <w:shd w:color="auto" w:fill="auto" w:val="clear"/>
            <w:vAlign w:val="center"/>
          </w:tcPr>
          <w:p>
            <w:pPr>
              <w:pStyle w:val="Normal"/>
              <w:widowControl w:val="false"/>
              <w:tabs>
                <w:tab w:val="clear" w:pos="709"/>
                <w:tab w:val="left" w:pos="735" w:leader="none"/>
              </w:tabs>
              <w:jc w:val="center"/>
              <w:rPr>
                <w:color w:val="000000"/>
                <w:sz w:val="16"/>
                <w:szCs w:val="16"/>
                <w:lang w:val="en-US"/>
              </w:rPr>
            </w:pPr>
            <w:r>
              <w:rPr>
                <w:color w:val="000000"/>
                <w:sz w:val="16"/>
                <w:szCs w:val="16"/>
                <w:lang w:val="en-US"/>
              </w:rPr>
            </w:r>
          </w:p>
        </w:tc>
        <w:tc>
          <w:tcPr>
            <w:tcW w:w="1064"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2</w:t>
            </w:r>
          </w:p>
        </w:tc>
        <w:tc>
          <w:tcPr>
            <w:tcW w:w="1251"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4"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r>
      <w:tr>
        <w:trPr>
          <w:trHeight w:val="570" w:hRule="atLeast"/>
        </w:trPr>
        <w:tc>
          <w:tcPr>
            <w:tcW w:w="5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3</w:t>
            </w:r>
          </w:p>
        </w:tc>
        <w:tc>
          <w:tcPr>
            <w:tcW w:w="1251"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lang w:val="en-US"/>
              </w:rPr>
            </w:pPr>
            <w:r>
              <w:rPr>
                <w:color w:val="000000"/>
                <w:sz w:val="16"/>
                <w:szCs w:val="16"/>
                <w:lang w:val="en-US"/>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4"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55" w:hRule="atLeast"/>
        </w:trPr>
        <w:tc>
          <w:tcPr>
            <w:tcW w:w="5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4</w:t>
            </w:r>
          </w:p>
        </w:tc>
        <w:tc>
          <w:tcPr>
            <w:tcW w:w="1251"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bottom"/>
          </w:tcPr>
          <w:p>
            <w:pPr>
              <w:pStyle w:val="Normal"/>
              <w:widowControl w:val="false"/>
              <w:rPr>
                <w:color w:val="000000"/>
                <w:sz w:val="16"/>
                <w:szCs w:val="16"/>
              </w:rPr>
            </w:pPr>
            <w:r>
              <w:rPr>
                <w:color w:val="000000"/>
                <w:sz w:val="16"/>
                <w:szCs w:val="16"/>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4"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r>
        <w:trPr>
          <w:trHeight w:val="570" w:hRule="atLeast"/>
        </w:trPr>
        <w:tc>
          <w:tcPr>
            <w:tcW w:w="5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color w:val="000000"/>
                <w:sz w:val="16"/>
                <w:szCs w:val="16"/>
              </w:rPr>
              <w:t>5</w:t>
            </w:r>
          </w:p>
        </w:tc>
        <w:tc>
          <w:tcPr>
            <w:tcW w:w="1251"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rPr>
            </w:pPr>
            <w:r>
              <w:rPr>
                <w:color w:val="000000"/>
                <w:sz w:val="16"/>
                <w:szCs w:val="16"/>
              </w:rPr>
            </w:r>
          </w:p>
        </w:tc>
        <w:tc>
          <w:tcPr>
            <w:tcW w:w="1419" w:type="dxa"/>
            <w:tcBorders>
              <w:bottom w:val="single" w:sz="4" w:space="0" w:color="000000"/>
              <w:right w:val="single" w:sz="4" w:space="0" w:color="000000"/>
            </w:tcBorders>
            <w:shd w:color="auto" w:fill="auto" w:val="clear"/>
            <w:vAlign w:val="center"/>
          </w:tcPr>
          <w:p>
            <w:pPr>
              <w:pStyle w:val="Normal"/>
              <w:widowControl w:val="false"/>
              <w:rPr>
                <w:color w:val="000000"/>
                <w:sz w:val="16"/>
                <w:szCs w:val="16"/>
                <w:lang w:val="en-US"/>
              </w:rPr>
            </w:pPr>
            <w:r>
              <w:rPr>
                <w:color w:val="000000"/>
                <w:sz w:val="16"/>
                <w:szCs w:val="16"/>
                <w:lang w:val="en-US"/>
              </w:rPr>
            </w:r>
          </w:p>
        </w:tc>
        <w:tc>
          <w:tcPr>
            <w:tcW w:w="85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64"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125"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lang w:val="en-US"/>
              </w:rPr>
            </w:pPr>
            <w:r>
              <w:rPr>
                <w:color w:val="000000"/>
                <w:sz w:val="16"/>
                <w:szCs w:val="16"/>
                <w:lang w:val="en-US"/>
              </w:rPr>
            </w:r>
          </w:p>
        </w:tc>
        <w:tc>
          <w:tcPr>
            <w:tcW w:w="1306"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260" w:type="dxa"/>
            <w:tcBorders>
              <w:bottom w:val="single" w:sz="4" w:space="0" w:color="000000"/>
              <w:right w:val="single" w:sz="4" w:space="0" w:color="000000"/>
            </w:tcBorders>
            <w:shd w:color="auto" w:fill="auto" w:val="clear"/>
            <w:vAlign w:val="center"/>
          </w:tcPr>
          <w:p>
            <w:pPr>
              <w:pStyle w:val="Normal"/>
              <w:widowControl w:val="false"/>
              <w:jc w:val="center"/>
              <w:rPr>
                <w:color w:val="000000"/>
                <w:sz w:val="16"/>
                <w:szCs w:val="16"/>
              </w:rPr>
            </w:pPr>
            <w:r>
              <w:rPr>
                <w:color w:val="000000"/>
                <w:sz w:val="16"/>
                <w:szCs w:val="16"/>
              </w:rPr>
            </w:r>
          </w:p>
        </w:tc>
        <w:tc>
          <w:tcPr>
            <w:tcW w:w="1064"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r>
    </w:tbl>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r>
    </w:p>
    <w:p>
      <w:pPr>
        <w:pStyle w:val="Normal"/>
        <w:rPr>
          <w:bCs/>
          <w:color w:val="000000"/>
          <w:sz w:val="24"/>
          <w:szCs w:val="24"/>
        </w:rPr>
      </w:pPr>
      <w:r>
        <w:rPr>
          <w:bCs/>
          <w:color w:val="000000"/>
          <w:sz w:val="24"/>
          <w:szCs w:val="24"/>
        </w:rPr>
        <w:t>1. Общая сумма Спецификации составляет:  (   ) рублей 00 копеек.</w:t>
      </w:r>
    </w:p>
    <w:p>
      <w:pPr>
        <w:pStyle w:val="Normal"/>
        <w:rPr>
          <w:sz w:val="24"/>
          <w:szCs w:val="24"/>
        </w:rPr>
      </w:pPr>
      <w:r>
        <w:rPr>
          <w:sz w:val="24"/>
          <w:szCs w:val="24"/>
        </w:rPr>
        <w:t>2. Подписи сторон:</w:t>
      </w:r>
    </w:p>
    <w:p>
      <w:pPr>
        <w:pStyle w:val="Normal"/>
        <w:rPr>
          <w:sz w:val="24"/>
          <w:szCs w:val="24"/>
        </w:rPr>
      </w:pPr>
      <w:r>
        <w:rPr>
          <w:sz w:val="24"/>
          <w:szCs w:val="24"/>
        </w:rPr>
      </w:r>
    </w:p>
    <w:tbl>
      <w:tblPr>
        <w:tblW w:w="8610" w:type="dxa"/>
        <w:jc w:val="left"/>
        <w:tblInd w:w="850" w:type="dxa"/>
        <w:tblLayout w:type="fixed"/>
        <w:tblCellMar>
          <w:top w:w="0" w:type="dxa"/>
          <w:left w:w="108" w:type="dxa"/>
          <w:bottom w:w="0" w:type="dxa"/>
          <w:right w:w="108" w:type="dxa"/>
        </w:tblCellMar>
        <w:tblLook w:val="04a0" w:noHBand="0" w:noVBand="1" w:firstColumn="1" w:lastRow="0" w:lastColumn="0" w:firstRow="1"/>
      </w:tblPr>
      <w:tblGrid>
        <w:gridCol w:w="4019"/>
        <w:gridCol w:w="4591"/>
      </w:tblGrid>
      <w:tr>
        <w:trPr/>
        <w:tc>
          <w:tcPr>
            <w:tcW w:w="4019" w:type="dxa"/>
            <w:tcBorders/>
          </w:tcPr>
          <w:p>
            <w:pPr>
              <w:pStyle w:val="Normal"/>
              <w:widowControl w:val="false"/>
              <w:tabs>
                <w:tab w:val="clear" w:pos="709"/>
                <w:tab w:val="left" w:pos="4155" w:leader="none"/>
              </w:tabs>
              <w:rPr>
                <w:sz w:val="24"/>
                <w:szCs w:val="24"/>
              </w:rPr>
            </w:pPr>
            <w:r>
              <w:rPr>
                <w:sz w:val="24"/>
                <w:szCs w:val="24"/>
              </w:rPr>
            </w:r>
          </w:p>
        </w:tc>
        <w:tc>
          <w:tcPr>
            <w:tcW w:w="4591" w:type="dxa"/>
            <w:tcBorders/>
          </w:tcPr>
          <w:p>
            <w:pPr>
              <w:pStyle w:val="Normal"/>
              <w:widowControl w:val="false"/>
              <w:rPr>
                <w:sz w:val="24"/>
                <w:szCs w:val="24"/>
              </w:rPr>
            </w:pPr>
            <w:r>
              <w:rPr>
                <w:sz w:val="24"/>
                <w:szCs w:val="24"/>
              </w:rPr>
            </w:r>
          </w:p>
          <w:p>
            <w:pPr>
              <w:pStyle w:val="Normal"/>
              <w:widowControl w:val="false"/>
              <w:tabs>
                <w:tab w:val="clear" w:pos="709"/>
                <w:tab w:val="left" w:pos="4530" w:leader="none"/>
              </w:tabs>
              <w:ind w:right="849" w:hanging="0"/>
              <w:jc w:val="right"/>
              <w:rPr/>
            </w:pPr>
            <w:r>
              <w:rPr>
                <w:sz w:val="24"/>
                <w:szCs w:val="24"/>
              </w:rPr>
              <w:t>Директор филиала</w:t>
            </w:r>
          </w:p>
          <w:p>
            <w:pPr>
              <w:pStyle w:val="Normal"/>
              <w:widowControl w:val="false"/>
              <w:tabs>
                <w:tab w:val="clear" w:pos="709"/>
                <w:tab w:val="left" w:pos="4530" w:leader="none"/>
              </w:tabs>
              <w:ind w:right="849" w:hanging="0"/>
              <w:jc w:val="right"/>
              <w:rPr/>
            </w:pPr>
            <w:r>
              <w:rPr>
                <w:sz w:val="24"/>
                <w:szCs w:val="24"/>
              </w:rPr>
              <w:t>ПАО «РусГидро» - «Зейская ГЭС</w:t>
            </w:r>
          </w:p>
          <w:p>
            <w:pPr>
              <w:pStyle w:val="Normal"/>
              <w:widowControl w:val="false"/>
              <w:tabs>
                <w:tab w:val="clear" w:pos="709"/>
                <w:tab w:val="left" w:pos="4530" w:leader="none"/>
              </w:tabs>
              <w:ind w:right="849" w:hanging="0"/>
              <w:jc w:val="right"/>
              <w:rPr/>
            </w:pPr>
            <w:r>
              <w:rPr>
                <w:sz w:val="24"/>
                <w:szCs w:val="24"/>
              </w:rPr>
              <w:t>_____________М.</w:t>
            </w:r>
            <w:r>
              <w:rPr>
                <w:sz w:val="24"/>
                <w:szCs w:val="24"/>
                <w:lang w:val="en-US"/>
              </w:rPr>
              <w:t>А. Сухомесов</w:t>
            </w:r>
          </w:p>
        </w:tc>
      </w:tr>
    </w:tbl>
    <w:p>
      <w:pPr>
        <w:pStyle w:val="Normal"/>
        <w:tabs>
          <w:tab w:val="clear" w:pos="709"/>
          <w:tab w:val="left" w:pos="6521" w:leader="none"/>
        </w:tabs>
        <w:rPr>
          <w:szCs w:val="28"/>
        </w:rPr>
      </w:pPr>
      <w:r>
        <w:rPr>
          <w:szCs w:val="28"/>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AlterOffice/3.4.0.9$Linux_X86_64 LibreOffice_project/b8daf9e823b1a5463a2f48435ddc2e8696e7d4fc</Application>
  <AppVersion>15.0000</AppVersion>
  <Pages>16</Pages>
  <Words>5969</Words>
  <Characters>42641</Characters>
  <CharactersWithSpaces>48396</CharactersWithSpaces>
  <Paragraphs>296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2026-06-01T11:53:14Z</dcterms:modified>
  <cp:revision>21</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