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_rels/document.xml.rels" ContentType="application/vnd.openxmlformats-package.relationships+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bCs/>
          <w:sz w:val="24"/>
          <w:szCs w:val="24"/>
        </w:rPr>
      </w:pPr>
      <w:r>
        <w:rPr>
          <w:b/>
          <w:bCs/>
          <w:sz w:val="24"/>
          <w:szCs w:val="24"/>
        </w:rPr>
        <w:t xml:space="preserve">Проект Договора поставки </w:t>
      </w:r>
    </w:p>
    <w:p>
      <w:pPr>
        <w:pStyle w:val="Normal"/>
        <w:shd w:val="clear" w:color="auto" w:fill="FFFFFF"/>
        <w:tabs>
          <w:tab w:val="clear" w:pos="709"/>
          <w:tab w:val="left" w:pos="6926" w:leader="none"/>
        </w:tabs>
        <w:jc w:val="center"/>
        <w:rPr>
          <w:b/>
          <w:bCs/>
          <w:sz w:val="24"/>
          <w:szCs w:val="24"/>
        </w:rPr>
      </w:pPr>
      <w:r>
        <w:rPr>
          <w:b/>
          <w:bCs/>
          <w:sz w:val="24"/>
          <w:szCs w:val="24"/>
        </w:rPr>
        <w:t>Метизов</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Зея</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pacing w:val="10"/>
          <w:sz w:val="24"/>
          <w:szCs w:val="24"/>
        </w:rPr>
      </w:pPr>
      <w:r>
        <w:rPr>
          <w:sz w:val="24"/>
          <w:szCs w:val="24"/>
        </w:rPr>
        <w:t>совместно в дальнейшем именуемые «Стороны», а по отдельности – «Сторона», 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overflowPunct w:val="tru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«Партия Товара»</w:t>
      </w:r>
      <w:r>
        <w:rPr>
          <w:sz w:val="24"/>
          <w:szCs w:val="24"/>
          <w:lang w:eastAsia="en-US"/>
        </w:rPr>
        <w:t xml:space="preserve"> – часть товара, единовременно поставляемая Покупателю Поставщиком, объем, состав и стоимость которой определяется Спецификацией, являющейся приложением к Договору.</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tru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rFonts w:eastAsia="Calibri"/>
          <w:b/>
          <w:bCs/>
          <w:sz w:val="24"/>
          <w:szCs w:val="24"/>
          <w:lang w:eastAsia="en-US"/>
        </w:rPr>
        <w:t>Метизы</w:t>
      </w:r>
      <w:r>
        <w:rPr>
          <w:bCs/>
          <w:sz w:val="24"/>
          <w:szCs w:val="24"/>
        </w:rPr>
        <w:t xml:space="preserve"> (далее – «Товар»)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«РусГидро»-«Зейская ГЭС».</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Место поставки Товара: 676244, Амурская область, г. Зея, склад филиала ПАО «РусГидро»-«Зейская ГЭС»</w:t>
      </w:r>
      <w:r>
        <w:rPr>
          <w:sz w:val="24"/>
          <w:szCs w:val="24"/>
        </w:rPr>
        <w:t xml:space="preserve">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 с момента заключения Договора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С даты заключения договора по «01» </w:t>
      </w:r>
      <w:r>
        <w:rPr>
          <w:bCs/>
          <w:sz w:val="24"/>
          <w:szCs w:val="24"/>
        </w:rPr>
        <w:t>июня</w:t>
      </w:r>
      <w:r>
        <w:rPr>
          <w:bCs/>
          <w:sz w:val="24"/>
          <w:szCs w:val="24"/>
        </w:rPr>
        <w:t xml:space="preserve"> 202</w:t>
      </w:r>
      <w:r>
        <w:rPr>
          <w:bCs/>
          <w:sz w:val="24"/>
          <w:szCs w:val="24"/>
        </w:rPr>
        <w:t>7</w:t>
      </w:r>
      <w:r>
        <w:rPr>
          <w:bCs/>
          <w:sz w:val="24"/>
          <w:szCs w:val="24"/>
        </w:rPr>
        <w:t xml:space="preserve"> г.</w:t>
      </w:r>
    </w:p>
    <w:p>
      <w:pPr>
        <w:pStyle w:val="Normal"/>
        <w:shd w:val="clear" w:color="auto" w:fill="FFFFFF"/>
        <w:tabs>
          <w:tab w:val="clear" w:pos="709"/>
          <w:tab w:val="left" w:pos="1134" w:leader="none"/>
          <w:tab w:val="left" w:pos="1851" w:leader="none"/>
        </w:tabs>
        <w:ind w:left="70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 НК РФ).</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0"/>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Авансовый платеж за Товар в размере 30 % (тридцати процентов) от стоимости Товара без учёта НДС, кроме того НДС по ставке, установленной статьёй 164 НК РФ на дату выплаты авансового платежа, выплачивается Поставщику в течение 15 (пятнадцати) календарных дней с даты заключения Договора, при условии получения Покупателем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Последующие платежи в размере разницы между стоимостью Товара без учета НДС, кроме того НДС по ставке, установленной статьей 164 НК РФ на дату подписания Сторонами накладной ТОРГ-12, и суммой ранее уплаченного авансового платежа, выплачиваются Поставщику в течение 7 (семи) рабочих дней с даты подписания Сторонами накладной ТОРГ-12, на основании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tabs>
          <w:tab w:val="clear" w:pos="709"/>
          <w:tab w:val="left" w:pos="1134"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tabs>
          <w:tab w:val="clear" w:pos="709"/>
          <w:tab w:val="left" w:pos="1134" w:leader="none"/>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сертификат качества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технический паспорт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инструкция по эксплуатации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упаковочный лист в </w:t>
      </w:r>
      <w:r>
        <w:rPr>
          <w:sz w:val="24"/>
          <w:szCs w:val="24"/>
          <w:highlight w:val="lightGray"/>
        </w:rPr>
        <w:t>__(____)</w:t>
      </w:r>
      <w:r>
        <w:rPr>
          <w:sz w:val="24"/>
          <w:szCs w:val="24"/>
        </w:rPr>
        <w:t xml:space="preserve">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товарно-транспортная накладная (для учета товарно-материальных ценностей и расчетов за их перевозки) или транспортная железнодорожная накладная (форма № ГУ-27) в </w:t>
      </w:r>
      <w:r>
        <w:rPr>
          <w:sz w:val="24"/>
          <w:szCs w:val="24"/>
          <w:highlight w:val="lightGray"/>
        </w:rPr>
        <w:t>__(____)</w:t>
      </w:r>
      <w:r>
        <w:rPr>
          <w:sz w:val="24"/>
          <w:szCs w:val="24"/>
        </w:rPr>
        <w:t xml:space="preserve">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накладная ТОРГ-12 в </w:t>
      </w:r>
      <w:r>
        <w:rPr>
          <w:sz w:val="24"/>
          <w:szCs w:val="24"/>
          <w:highlight w:val="lightGray"/>
        </w:rPr>
        <w:t>__(____)</w:t>
      </w:r>
      <w:r>
        <w:rPr>
          <w:sz w:val="24"/>
          <w:szCs w:val="24"/>
        </w:rPr>
        <w:t xml:space="preserve">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0"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0"/>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1" w:name="_Ref361396594"/>
      <w:r>
        <w:rPr>
          <w:sz w:val="24"/>
          <w:szCs w:val="24"/>
        </w:rPr>
        <w:t xml:space="preserve">Датой поставки Товара является дата подписания Сторонами накладной </w:t>
        <w:br/>
        <w:t>ТОРГ-12.</w:t>
      </w:r>
      <w:bookmarkEnd w:id="1"/>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20 (двадцати)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2"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2"/>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в присутствии представителя Поставщика в течение 15 (пятнадцати) рабочих дней </w:t>
        <w:br/>
        <w:t>с даты подписания Покупателем транспортных документов. В случае отсутствия замечаний Покупатель подписывает накладную ТОРГ-12.</w:t>
      </w:r>
    </w:p>
    <w:p>
      <w:pPr>
        <w:pStyle w:val="Normal"/>
        <w:numPr>
          <w:ilvl w:val="1"/>
          <w:numId w:val="2"/>
        </w:numPr>
        <w:shd w:val="clear" w:color="auto" w:fill="FFFFFF"/>
        <w:tabs>
          <w:tab w:val="clear" w:pos="709"/>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pPr>
        <w:pStyle w:val="Normal"/>
        <w:numPr>
          <w:ilvl w:val="1"/>
          <w:numId w:val="2"/>
        </w:numPr>
        <w:shd w:val="clear" w:color="auto" w:fill="FFFFFF"/>
        <w:tabs>
          <w:tab w:val="clear" w:pos="709"/>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shd w:val="clear" w:color="auto" w:fill="FFFFFF"/>
        <w:ind w:firstLine="709"/>
        <w:jc w:val="both"/>
        <w:rPr>
          <w:sz w:val="24"/>
          <w:szCs w:val="24"/>
        </w:rPr>
      </w:pPr>
      <w:r>
        <w:rPr>
          <w:sz w:val="24"/>
          <w:szCs w:val="24"/>
        </w:rPr>
      </w:r>
    </w:p>
    <w:p>
      <w:pPr>
        <w:pStyle w:val="Normal"/>
        <w:shd w:val="clear" w:color="auto" w:fill="FFFFFF"/>
        <w:ind w:firstLine="709"/>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357" w:hanging="357"/>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 xml:space="preserve">Гарантийный срок на Товар, поставленный по Договору, составляет 12 (двенадцать) месяцев, но не менее гарантийного срока, установленного предприятием-изготовителем на данный тип Товара и начинает течь с даты подписания Сторонами накладной ТОРГ-12.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3" w:name="OLE_LINK6"/>
      <w:bookmarkStart w:id="4" w:name="OLE_LINK5"/>
      <w:r>
        <w:rPr>
          <w:sz w:val="24"/>
          <w:szCs w:val="24"/>
        </w:rPr>
        <w:t>Покупателем в соответствии с пунктом 4.3 Договора</w:t>
      </w:r>
      <w:bookmarkEnd w:id="3"/>
      <w:bookmarkEnd w:id="4"/>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134" w:leader="none"/>
        </w:tabs>
        <w:ind w:left="0" w:firstLine="141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134" w:leader="none"/>
        </w:tabs>
        <w:ind w:left="0" w:firstLine="141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134" w:leader="none"/>
          <w:tab w:val="left" w:pos="1419" w:leader="none"/>
        </w:tabs>
        <w:ind w:left="0" w:firstLine="1419"/>
        <w:jc w:val="both"/>
        <w:rPr>
          <w:bCs/>
          <w:sz w:val="24"/>
          <w:szCs w:val="24"/>
        </w:rPr>
      </w:pPr>
      <w:r>
        <w:rPr>
          <w:bCs/>
          <w:sz w:val="24"/>
          <w:szCs w:val="24"/>
        </w:rPr>
        <w:t xml:space="preserve">В случае </w:t>
      </w:r>
      <w:r>
        <w:rPr>
          <w:sz w:val="24"/>
          <w:szCs w:val="24"/>
        </w:rPr>
        <w:t xml:space="preserve">нарушения Поставщиком обязательств по поставке Товара (нарушение срока поставки, недопоставка), Покупатель вправе требовать уплаты Поставщиком </w:t>
      </w:r>
      <w:r>
        <w:rPr>
          <w:bCs/>
          <w:sz w:val="24"/>
          <w:szCs w:val="24"/>
        </w:rPr>
        <w:t>неустойки</w:t>
      </w:r>
      <w:r>
        <w:rPr>
          <w:sz w:val="24"/>
          <w:szCs w:val="24"/>
        </w:rPr>
        <w:t xml:space="preserve"> в размере 0,1 (ноль целых и одна десятая) процента от Цены Договора за каждый день просрочки.</w:t>
      </w:r>
    </w:p>
    <w:p>
      <w:pPr>
        <w:pStyle w:val="Normal"/>
        <w:widowControl/>
        <w:numPr>
          <w:ilvl w:val="1"/>
          <w:numId w:val="2"/>
        </w:numPr>
        <w:tabs>
          <w:tab w:val="clear" w:pos="709"/>
          <w:tab w:val="left" w:pos="1134" w:leader="none"/>
          <w:tab w:val="left" w:pos="1419" w:leader="none"/>
        </w:tabs>
        <w:ind w:left="0" w:firstLine="1419"/>
        <w:jc w:val="both"/>
        <w:rPr>
          <w:bCs/>
          <w:sz w:val="24"/>
          <w:szCs w:val="24"/>
        </w:rPr>
      </w:pPr>
      <w:r>
        <w:rPr>
          <w:sz w:val="24"/>
          <w:szCs w:val="24"/>
        </w:rPr>
        <w:t>В случае несвоевременного устранения Поставщиком выявленных недостатков товара, Покупатель вправе потребовать уплаты Поставщиком:</w:t>
      </w:r>
    </w:p>
    <w:p>
      <w:pPr>
        <w:pStyle w:val="ListParagraph"/>
        <w:widowControl/>
        <w:numPr>
          <w:ilvl w:val="2"/>
          <w:numId w:val="2"/>
        </w:numPr>
        <w:shd w:val="clear" w:color="auto" w:fill="FFFFFF"/>
        <w:tabs>
          <w:tab w:val="left" w:pos="709" w:leader="none"/>
          <w:tab w:val="left" w:pos="1418" w:leader="none"/>
        </w:tabs>
        <w:ind w:left="0" w:firstLine="1135"/>
        <w:jc w:val="both"/>
        <w:rPr>
          <w:bCs/>
          <w:sz w:val="24"/>
          <w:szCs w:val="24"/>
        </w:rPr>
      </w:pPr>
      <w:r>
        <w:rPr>
          <w:bCs/>
          <w:sz w:val="24"/>
          <w:szCs w:val="24"/>
        </w:rPr>
        <w:t xml:space="preserve"> </w:t>
      </w:r>
      <w:r>
        <w:rPr>
          <w:bCs/>
          <w:sz w:val="24"/>
          <w:szCs w:val="24"/>
        </w:rPr>
        <w:t xml:space="preserve">неустойки в </w:t>
      </w:r>
      <w:r>
        <w:rPr>
          <w:sz w:val="24"/>
          <w:szCs w:val="24"/>
        </w:rPr>
        <w:t>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pPr>
        <w:pStyle w:val="ListParagraph"/>
        <w:widowControl/>
        <w:numPr>
          <w:ilvl w:val="2"/>
          <w:numId w:val="2"/>
        </w:numPr>
        <w:shd w:val="clear" w:color="auto" w:fill="FFFFFF"/>
        <w:tabs>
          <w:tab w:val="left" w:pos="709" w:leader="none"/>
          <w:tab w:val="left" w:pos="1418" w:leader="none"/>
        </w:tabs>
        <w:ind w:left="0" w:firstLine="1135"/>
        <w:jc w:val="both"/>
        <w:rPr>
          <w:bCs/>
          <w:sz w:val="24"/>
          <w:szCs w:val="24"/>
        </w:rPr>
      </w:pPr>
      <w:r>
        <w:rPr>
          <w:sz w:val="24"/>
          <w:szCs w:val="24"/>
        </w:rPr>
        <w:t>штрафной 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В случае нарушения Поставщиком обязательств по поставке товара на срок свыше 60 (шестидесяти) календарных дней, Покупатель имеет право расторгнуть Договор в одностороннем внесудебном порядке, а также потребовать возмещения убытков. При этом Покупатель также вправе возвратить Поставщику Товар, ранее принятый по Договору, и потребовать возврата уплаченных денежных средств.</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В случае нарушения Покупателем сроков оплаты поставленного товара,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pPr>
        <w:pStyle w:val="ListParagraph"/>
        <w:widowControl/>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134" w:leader="none"/>
          <w:tab w:val="left" w:pos="1419" w:leader="none"/>
        </w:tabs>
        <w:ind w:left="0" w:firstLine="1418"/>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134" w:leader="none"/>
        </w:tabs>
        <w:ind w:left="0" w:firstLine="141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ListParagraph"/>
        <w:widowControl/>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 xml:space="preserve">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w:t>
      </w:r>
    </w:p>
    <w:p>
      <w:pPr>
        <w:pStyle w:val="ListParagraph"/>
        <w:widowControl/>
        <w:shd w:val="clear" w:color="auto" w:fill="FFFFFF"/>
        <w:tabs>
          <w:tab w:val="clear" w:pos="709"/>
          <w:tab w:val="left" w:pos="1134" w:leader="none"/>
          <w:tab w:val="left" w:pos="1851" w:leader="none"/>
        </w:tabs>
        <w:ind w:left="0" w:firstLine="709"/>
        <w:jc w:val="both"/>
        <w:rPr>
          <w:bCs/>
          <w:sz w:val="24"/>
          <w:szCs w:val="24"/>
        </w:rPr>
      </w:pPr>
      <w:r>
        <w:rPr>
          <w:bCs/>
          <w:sz w:val="24"/>
          <w:szCs w:val="24"/>
        </w:rPr>
        <w:t>Основанием для компенсации являются решения налоговых органов, вынесенные по итогам проведения мероприятий налогового контроля.</w:t>
      </w:r>
    </w:p>
    <w:p>
      <w:pPr>
        <w:pStyle w:val="ListParagraph"/>
        <w:widowControl/>
        <w:shd w:val="clear" w:color="auto" w:fill="FFFFFF"/>
        <w:tabs>
          <w:tab w:val="clear" w:pos="709"/>
          <w:tab w:val="left" w:pos="1134" w:leader="none"/>
          <w:tab w:val="left" w:pos="1851" w:leader="none"/>
        </w:tabs>
        <w:ind w:left="0" w:firstLine="709"/>
        <w:jc w:val="both"/>
        <w:rPr>
          <w:bCs/>
          <w:sz w:val="24"/>
          <w:szCs w:val="24"/>
        </w:rPr>
      </w:pPr>
      <w:r>
        <w:rPr>
          <w:bCs/>
          <w:sz w:val="24"/>
          <w:szCs w:val="24"/>
        </w:rPr>
        <w:t>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numPr>
          <w:ilvl w:val="1"/>
          <w:numId w:val="2"/>
        </w:numPr>
        <w:shd w:val="clear" w:color="auto" w:fill="FFFFFF"/>
        <w:tabs>
          <w:tab w:val="clear" w:pos="709"/>
          <w:tab w:val="left" w:pos="1276" w:leader="none"/>
        </w:tabs>
        <w:ind w:left="0" w:firstLine="1418"/>
        <w:jc w:val="both"/>
        <w:rPr>
          <w:bCs/>
          <w:sz w:val="24"/>
          <w:szCs w:val="24"/>
        </w:rPr>
      </w:pPr>
      <w:r>
        <w:rPr>
          <w:bCs/>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 w:val="left" w:pos="284"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6.6.7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7"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7"/>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Споры, указанные в пункте 7.1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tabs>
          <w:tab w:val="clear" w:pos="709"/>
          <w:tab w:val="left" w:pos="426" w:leader="none"/>
        </w:tabs>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10.1, 10.2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10.3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 w:val="left" w:pos="567"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0" w:leader="none"/>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11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12.2,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1134"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sz w:val="24"/>
          <w:szCs w:val="24"/>
          <w:highlight w:val="lightGray"/>
        </w:rPr>
        <w:t xml:space="preserve">В соответствии с пунктом 2 статьи 425 ГК РФ, условия Договора применяются к отношениям Сторон, возникшим </w:t>
        <w:br/>
        <w:t>с __________</w:t>
      </w:r>
      <w:r>
        <w:rPr>
          <w:sz w:val="24"/>
          <w:szCs w:val="24"/>
        </w:rPr>
        <w:t>.</w:t>
      </w:r>
    </w:p>
    <w:p>
      <w:pPr>
        <w:pStyle w:val="Normal"/>
        <w:widowControl/>
        <w:numPr>
          <w:ilvl w:val="1"/>
          <w:numId w:val="2"/>
        </w:numPr>
        <w:tabs>
          <w:tab w:val="clear" w:pos="709"/>
        </w:tabs>
        <w:snapToGrid w:val="false"/>
        <w:ind w:left="0" w:firstLine="709"/>
        <w:jc w:val="both"/>
        <w:rPr>
          <w:sz w:val="24"/>
          <w:szCs w:val="24"/>
          <w:highlight w:val="lightGray"/>
        </w:rPr>
      </w:pPr>
      <w:r>
        <w:rPr>
          <w:sz w:val="24"/>
          <w:szCs w:val="24"/>
          <w:highlight w:val="lightGray"/>
        </w:rP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pPr>
        <w:pStyle w:val="Normal"/>
        <w:widowControl/>
        <w:shd w:val="clear" w:color="auto" w:fill="FFFFFF"/>
        <w:tabs>
          <w:tab w:val="clear" w:pos="709"/>
          <w:tab w:val="left" w:pos="0" w:leader="none"/>
        </w:tabs>
        <w:ind w:firstLine="709"/>
        <w:jc w:val="both"/>
        <w:rPr>
          <w:sz w:val="24"/>
          <w:szCs w:val="24"/>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13.7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13.8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8" w:name="_Ref361338004"/>
      <w:r>
        <w:rPr>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13.8 Договора.</w:t>
      </w:r>
      <w:bookmarkEnd w:id="8"/>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13.8.1 – 13.8.2 Договора.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p>
    <w:p>
      <w:pPr>
        <w:pStyle w:val="Normal"/>
        <w:ind w:firstLine="709"/>
        <w:jc w:val="both"/>
        <w:rPr>
          <w:sz w:val="24"/>
          <w:szCs w:val="24"/>
        </w:rPr>
      </w:pPr>
      <w:r>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r>
        <w:rPr>
          <w:sz w:val="24"/>
          <w:szCs w:val="24"/>
        </w:rPr>
        <w:t xml:space="preserve">.  </w:t>
      </w:r>
    </w:p>
    <w:p>
      <w:pPr>
        <w:pStyle w:val="ListParagraph"/>
        <w:numPr>
          <w:ilvl w:val="1"/>
          <w:numId w:val="2"/>
        </w:numPr>
        <w:tabs>
          <w:tab w:val="clear" w:pos="709"/>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before="0" w:after="0"/>
        <w:ind w:left="0" w:hanging="36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9" w:name="sub_1"/>
      <w:r>
        <w:rPr>
          <w:rFonts w:eastAsia="Calibri"/>
          <w:sz w:val="24"/>
          <w:szCs w:val="24"/>
          <w:lang w:eastAsia="en-US"/>
        </w:rPr>
        <w:t>Приложение № 1 – Спецификация.</w:t>
      </w:r>
      <w:bookmarkEnd w:id="9"/>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8"/>
        <w:gridCol w:w="150"/>
        <w:gridCol w:w="4636"/>
        <w:gridCol w:w="326"/>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BFBFBF"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 xml:space="preserve">Адрес: 660017, Красноярский край, </w:t>
            </w:r>
          </w:p>
          <w:p>
            <w:pPr>
              <w:pStyle w:val="Normal"/>
              <w:widowControl w:val="false"/>
              <w:rPr>
                <w:sz w:val="24"/>
                <w:szCs w:val="24"/>
              </w:rPr>
            </w:pPr>
            <w:r>
              <w:rPr>
                <w:sz w:val="24"/>
                <w:szCs w:val="24"/>
              </w:rPr>
              <w:t xml:space="preserve">г. Красноярск, ул. Дубровинского, </w:t>
            </w:r>
          </w:p>
          <w:p>
            <w:pPr>
              <w:pStyle w:val="Normal"/>
              <w:widowControl w:val="false"/>
              <w:rPr>
                <w:sz w:val="24"/>
                <w:szCs w:val="24"/>
              </w:rPr>
            </w:pPr>
            <w:r>
              <w:rPr>
                <w:sz w:val="24"/>
                <w:szCs w:val="24"/>
              </w:rPr>
              <w:t>д. 43, стр.1</w:t>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________________________</w:t>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BFBFBF"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78"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326" w:type="dxa"/>
            <w:tcBorders/>
          </w:tcPr>
          <w:p>
            <w:pPr>
              <w:pStyle w:val="Normal"/>
              <w:widowControl w:val="false"/>
              <w:rPr/>
            </w:pPr>
            <w:r>
              <w:rPr/>
            </w:r>
          </w:p>
        </w:tc>
      </w:tr>
    </w:tbl>
    <w:p>
      <w:pPr>
        <w:sectPr>
          <w:footerReference w:type="default" r:id="rId5"/>
          <w:type w:val="nextPage"/>
          <w:pgSz w:w="11906" w:h="16838"/>
          <w:pgMar w:left="1418" w:right="851" w:gutter="0" w:header="0" w:top="1134" w:footer="709" w:bottom="1134"/>
          <w:pgNumType w:fmt="decimal"/>
          <w:formProt w:val="false"/>
          <w:titlePg/>
          <w:textDirection w:val="lrTb"/>
          <w:docGrid w:type="default" w:linePitch="360" w:charSpace="0"/>
        </w:sectPr>
      </w:pPr>
    </w:p>
    <w:p>
      <w:pPr>
        <w:pStyle w:val="Normal"/>
        <w:suppressAutoHyphens w:val="true"/>
        <w:ind w:left="5103" w:hanging="0"/>
        <w:rPr>
          <w:sz w:val="22"/>
          <w:szCs w:val="22"/>
        </w:rPr>
      </w:pPr>
      <w:r>
        <w:rPr>
          <w:sz w:val="22"/>
          <w:szCs w:val="22"/>
        </w:rPr>
        <w:t>Приложение № 1</w:t>
      </w:r>
    </w:p>
    <w:p>
      <w:pPr>
        <w:pStyle w:val="Normal"/>
        <w:suppressAutoHyphens w:val="true"/>
        <w:ind w:left="5103" w:hanging="0"/>
        <w:rPr>
          <w:sz w:val="22"/>
          <w:szCs w:val="22"/>
        </w:rPr>
      </w:pPr>
      <w:r>
        <w:rPr>
          <w:sz w:val="22"/>
          <w:szCs w:val="22"/>
        </w:rPr>
        <w:t>к Договору поставки</w:t>
      </w:r>
    </w:p>
    <w:p>
      <w:pPr>
        <w:pStyle w:val="Normal"/>
        <w:suppressAutoHyphens w:val="true"/>
        <w:ind w:left="5103" w:hanging="0"/>
        <w:rPr>
          <w:sz w:val="22"/>
          <w:szCs w:val="22"/>
        </w:rPr>
      </w:pPr>
      <w:r>
        <w:rPr>
          <w:sz w:val="22"/>
          <w:szCs w:val="22"/>
        </w:rPr>
        <w:t xml:space="preserve">от «____» ________ 20 _ г. № </w:t>
      </w:r>
    </w:p>
    <w:p>
      <w:pPr>
        <w:pStyle w:val="Normal"/>
        <w:widowControl/>
        <w:suppressAutoHyphens w:val="true"/>
        <w:jc w:val="right"/>
        <w:rPr>
          <w:rFonts w:eastAsia="Calibri"/>
          <w:b/>
          <w:sz w:val="24"/>
          <w:szCs w:val="24"/>
          <w:lang w:eastAsia="en-US"/>
        </w:rPr>
      </w:pPr>
      <w:r>
        <w:rPr>
          <w:rFonts w:eastAsia="Calibri"/>
          <w:b/>
          <w:sz w:val="24"/>
          <w:szCs w:val="24"/>
          <w:lang w:eastAsia="en-US"/>
        </w:rPr>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382"/>
        <w:gridCol w:w="602"/>
        <w:gridCol w:w="611"/>
        <w:gridCol w:w="612"/>
        <w:gridCol w:w="770"/>
        <w:gridCol w:w="737"/>
        <w:gridCol w:w="612"/>
        <w:gridCol w:w="737"/>
        <w:gridCol w:w="689"/>
        <w:gridCol w:w="513"/>
        <w:gridCol w:w="645"/>
        <w:gridCol w:w="550"/>
        <w:gridCol w:w="520"/>
        <w:gridCol w:w="458"/>
        <w:gridCol w:w="257"/>
        <w:gridCol w:w="939"/>
        <w:gridCol w:w="0"/>
        <w:gridCol w:w="1"/>
      </w:tblGrid>
      <w:tr>
        <w:trPr>
          <w:trHeight w:val="526" w:hRule="atLeast"/>
        </w:trPr>
        <w:tc>
          <w:tcPr>
            <w:tcW w:w="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2"/>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3"/>
            </w:r>
          </w:p>
          <w:p>
            <w:pPr>
              <w:pStyle w:val="Normal"/>
              <w:widowControl w:val="false"/>
              <w:jc w:val="center"/>
              <w:rPr>
                <w:bCs/>
              </w:rPr>
            </w:pPr>
            <w:r>
              <w:rPr>
                <w:bCs/>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1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c>
          <w:tcPr>
            <w:tcW w:w="1" w:type="dxa"/>
            <w:tcBorders/>
          </w:tcPr>
          <w:p>
            <w:pPr>
              <w:pStyle w:val="Normal"/>
              <w:widowControl w:val="false"/>
              <w:rPr/>
            </w:pPr>
            <w:r>
              <w:rPr/>
            </w:r>
          </w:p>
        </w:tc>
      </w:tr>
      <w:tr>
        <w:trPr>
          <w:trHeight w:val="538" w:hRule="atLeast"/>
        </w:trPr>
        <w:tc>
          <w:tcPr>
            <w:tcW w:w="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1" w:type="dxa"/>
            <w:tcBorders/>
          </w:tcPr>
          <w:p>
            <w:pPr>
              <w:pStyle w:val="Normal"/>
              <w:widowControl w:val="false"/>
              <w:rPr/>
            </w:pPr>
            <w:r>
              <w:rPr/>
            </w:r>
          </w:p>
        </w:tc>
      </w:tr>
      <w:tr>
        <w:trPr>
          <w:trHeight w:val="538" w:hRule="atLeast"/>
        </w:trPr>
        <w:tc>
          <w:tcPr>
            <w:tcW w:w="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1" w:type="dxa"/>
            <w:tcBorders/>
          </w:tcPr>
          <w:p>
            <w:pPr>
              <w:pStyle w:val="Normal"/>
              <w:widowControl w:val="false"/>
              <w:rPr/>
            </w:pPr>
            <w:r>
              <w:rPr/>
            </w:r>
          </w:p>
        </w:tc>
      </w:tr>
      <w:tr>
        <w:trPr>
          <w:trHeight w:val="262" w:hRule="atLeast"/>
        </w:trPr>
        <w:tc>
          <w:tcPr>
            <w:tcW w:w="8438"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всего Товара (с учетом доставки), руб. с НДС:</w:t>
            </w:r>
          </w:p>
        </w:tc>
        <w:tc>
          <w:tcPr>
            <w:tcW w:w="119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bl>
    <w:p>
      <w:pPr>
        <w:pStyle w:val="Normal"/>
        <w:rPr>
          <w:i/>
          <w:i/>
          <w:sz w:val="24"/>
          <w:szCs w:val="24"/>
          <w:highlight w:val="yellow"/>
        </w:rPr>
      </w:pPr>
      <w:r>
        <w:rPr>
          <w:i/>
          <w:sz w:val="24"/>
          <w:szCs w:val="24"/>
          <w:highlight w:val="yellow"/>
        </w:rPr>
      </w:r>
    </w:p>
    <w:p>
      <w:pPr>
        <w:pStyle w:val="Normal"/>
        <w:rPr>
          <w:i/>
          <w:i/>
          <w:sz w:val="22"/>
          <w:szCs w:val="22"/>
        </w:rPr>
      </w:pPr>
      <w:r>
        <w:rPr>
          <w:i/>
          <w:sz w:val="22"/>
          <w:szCs w:val="22"/>
        </w:rPr>
      </w:r>
    </w:p>
    <w:p>
      <w:pPr>
        <w:pStyle w:val="Normal"/>
        <w:rPr>
          <w:i/>
          <w:i/>
          <w:sz w:val="22"/>
          <w:szCs w:val="22"/>
        </w:rPr>
      </w:pPr>
      <w:r>
        <w:rPr>
          <w:i/>
          <w:sz w:val="22"/>
          <w:szCs w:val="22"/>
        </w:rPr>
      </w:r>
    </w:p>
    <w:tbl>
      <w:tblPr>
        <w:tblW w:w="9637"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9"/>
        <w:gridCol w:w="4807"/>
      </w:tblGrid>
      <w:tr>
        <w:trPr>
          <w:trHeight w:val="269" w:hRule="atLeast"/>
        </w:trPr>
        <w:tc>
          <w:tcPr>
            <w:tcW w:w="4829" w:type="dxa"/>
            <w:tcBorders/>
          </w:tcPr>
          <w:p>
            <w:pPr>
              <w:pStyle w:val="Normal"/>
              <w:widowControl w:val="false"/>
              <w:rPr>
                <w:b/>
                <w:sz w:val="24"/>
              </w:rPr>
            </w:pPr>
            <w:r>
              <w:rPr>
                <w:b/>
                <w:sz w:val="24"/>
              </w:rPr>
              <w:t>Покупатель:</w:t>
            </w:r>
          </w:p>
        </w:tc>
        <w:tc>
          <w:tcPr>
            <w:tcW w:w="4807" w:type="dxa"/>
            <w:tcBorders/>
          </w:tcPr>
          <w:p>
            <w:pPr>
              <w:pStyle w:val="Normal"/>
              <w:widowControl w:val="false"/>
              <w:rPr>
                <w:b/>
                <w:sz w:val="24"/>
              </w:rPr>
            </w:pPr>
            <w:r>
              <w:rPr>
                <w:b/>
                <w:sz w:val="24"/>
              </w:rPr>
              <w:t>Поставщик:</w:t>
            </w:r>
          </w:p>
        </w:tc>
      </w:tr>
    </w:tbl>
    <w:p>
      <w:pPr>
        <w:pStyle w:val="Normal"/>
        <w:rPr/>
      </w:pPr>
      <w:r>
        <w:rPr/>
        <w:t xml:space="preserve"> </w:t>
      </w:r>
      <w:r>
        <w:rPr/>
        <w:t>__________ /__________</w:t>
        <w:tab/>
        <w:t xml:space="preserve">                                                       ___________ /___________</w:t>
      </w:r>
    </w:p>
    <w:p>
      <w:pPr>
        <w:pStyle w:val="Normal"/>
        <w:widowControl/>
        <w:suppressAutoHyphens w:val="true"/>
        <w:rPr>
          <w:rFonts w:eastAsia="Calibri"/>
          <w:b/>
          <w:sz w:val="24"/>
          <w:szCs w:val="24"/>
          <w:lang w:eastAsia="en-US"/>
        </w:rPr>
      </w:pPr>
      <w:r>
        <w:rPr/>
      </w:r>
    </w:p>
    <w:sectPr>
      <w:footerReference w:type="default" r:id="rId6"/>
      <w:footerReference w:type="first" r:id="rId7"/>
      <w:footnotePr>
        <w:numFmt w:val="decimal"/>
      </w:footnotePr>
      <w:type w:val="nextPage"/>
      <w:pgSz w:w="11906" w:h="16838"/>
      <w:pgMar w:left="1418" w:right="851" w:gutter="0" w:header="0" w:top="1134" w:footer="709" w:bottom="1134"/>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16</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17</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val="false"/>
        <w:jc w:val="both"/>
        <w:rPr/>
      </w:pPr>
      <w:r>
        <w:rPr>
          <w:rStyle w:val="Style16"/>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3">
    <w:p>
      <w:pPr>
        <w:pStyle w:val="FootnoteText"/>
        <w:widowControl w:val="false"/>
        <w:jc w:val="both"/>
        <w:rPr/>
      </w:pPr>
      <w:r>
        <w:rPr>
          <w:rStyle w:val="Style16"/>
        </w:rPr>
        <w:footnoteRef/>
      </w:r>
      <w:r>
        <w:rPr>
          <w:highlight w:val="lightGray"/>
        </w:rPr>
        <w:t xml:space="preserve"> </w:t>
      </w:r>
      <w:r>
        <w:rPr>
          <w:highlight w:val="lightGray"/>
        </w:rPr>
        <w:t>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РФ от 03.12.2020 № 2013</w:t>
      </w:r>
      <w:r>
        <w:rPr>
          <w:rFonts w:eastAsia="Calibri" w:eastAsiaTheme="minorHAnsi"/>
          <w:highlight w:val="lightGray"/>
          <w:lang w:eastAsia="en-US"/>
        </w:rPr>
        <w:t xml:space="preserve"> «О минимальной доле закупок товаров российского происхождения»</w:t>
      </w:r>
      <w:r>
        <w:rPr>
          <w:rFonts w:eastAsia="Calibri" w:eastAsiaTheme="minorHAnsi"/>
          <w:lang w:eastAsia="en-US"/>
        </w:rPr>
        <w: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86f70"/>
    <w:pPr>
      <w:widowControl w:val="false"/>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qFormat/>
    <w:rsid w:val="00886f7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
    <w:qFormat/>
    <w:rsid w:val="00886f70"/>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886f70"/>
    <w:rPr>
      <w:rFonts w:ascii="Arial" w:hAnsi="Arial" w:eastAsia="Times New Roman" w:cs="Arial"/>
      <w:b/>
      <w:bCs/>
      <w:kern w:val="2"/>
      <w:sz w:val="32"/>
      <w:szCs w:val="32"/>
      <w:lang w:eastAsia="ru-RU"/>
    </w:rPr>
  </w:style>
  <w:style w:type="character" w:styleId="3" w:customStyle="1">
    <w:name w:val="Заголовок 3 Знак"/>
    <w:basedOn w:val="DefaultParagraphFont"/>
    <w:qFormat/>
    <w:rsid w:val="00886f70"/>
    <w:rPr>
      <w:rFonts w:ascii="Cambria" w:hAnsi="Cambria" w:eastAsia="Times New Roman" w:cs="Times New Roman"/>
      <w:b/>
      <w:bCs/>
      <w:color w:val="4F81BD"/>
      <w:sz w:val="20"/>
      <w:szCs w:val="20"/>
      <w:lang w:val="x-none" w:eastAsia="x-none"/>
    </w:rPr>
  </w:style>
  <w:style w:type="character" w:styleId="Style7" w:customStyle="1">
    <w:name w:val="Заголовок Знак"/>
    <w:basedOn w:val="DefaultParagraphFont"/>
    <w:qFormat/>
    <w:rsid w:val="00886f70"/>
    <w:rPr>
      <w:rFonts w:ascii="Times New Roman" w:hAnsi="Times New Roman" w:eastAsia="Times New Roman" w:cs="Times New Roman"/>
      <w:b/>
      <w:bCs/>
      <w:sz w:val="24"/>
      <w:szCs w:val="24"/>
      <w:lang w:eastAsia="ru-RU"/>
    </w:rPr>
  </w:style>
  <w:style w:type="character" w:styleId="2" w:customStyle="1">
    <w:name w:val="Основной текст с отступом 2 Знак"/>
    <w:basedOn w:val="DefaultParagraphFont"/>
    <w:link w:val="BodyTextIndent2"/>
    <w:qFormat/>
    <w:rsid w:val="00886f70"/>
    <w:rPr>
      <w:rFonts w:ascii="Times New Roman" w:hAnsi="Times New Roman" w:eastAsia="Times New Roman" w:cs="Times New Roman"/>
      <w:sz w:val="24"/>
      <w:szCs w:val="20"/>
      <w:lang w:eastAsia="ru-RU"/>
    </w:rPr>
  </w:style>
  <w:style w:type="character" w:styleId="Style8" w:customStyle="1">
    <w:name w:val="Текст выноски Знак"/>
    <w:basedOn w:val="DefaultParagraphFont"/>
    <w:link w:val="BalloonText"/>
    <w:semiHidden/>
    <w:qFormat/>
    <w:rsid w:val="00886f70"/>
    <w:rPr>
      <w:rFonts w:ascii="Tahoma" w:hAnsi="Tahoma" w:eastAsia="Times New Roman" w:cs="Tahoma"/>
      <w:sz w:val="16"/>
      <w:szCs w:val="16"/>
      <w:lang w:eastAsia="ru-RU"/>
    </w:rPr>
  </w:style>
  <w:style w:type="character" w:styleId="21" w:customStyle="1">
    <w:name w:val="Основной текст 2 Знак"/>
    <w:basedOn w:val="DefaultParagraphFont"/>
    <w:link w:val="BodyText2"/>
    <w:qFormat/>
    <w:rsid w:val="00886f70"/>
    <w:rPr>
      <w:rFonts w:ascii="Times New Roman" w:hAnsi="Times New Roman" w:eastAsia="Times New Roman" w:cs="Times New Roman"/>
      <w:sz w:val="24"/>
      <w:szCs w:val="24"/>
      <w:lang w:eastAsia="ru-RU"/>
    </w:rPr>
  </w:style>
  <w:style w:type="character" w:styleId="Style9" w:customStyle="1">
    <w:name w:val="Основной текст Знак"/>
    <w:basedOn w:val="DefaultParagraphFont"/>
    <w:qFormat/>
    <w:rsid w:val="00886f70"/>
    <w:rPr>
      <w:rFonts w:ascii="Times New Roman" w:hAnsi="Times New Roman" w:eastAsia="Times New Roman" w:cs="Times New Roman"/>
      <w:sz w:val="20"/>
      <w:szCs w:val="20"/>
      <w:lang w:eastAsia="ru-RU"/>
    </w:rPr>
  </w:style>
  <w:style w:type="character" w:styleId="Style10" w:customStyle="1">
    <w:name w:val="Нижний колонтитул Знак"/>
    <w:basedOn w:val="DefaultParagraphFont"/>
    <w:uiPriority w:val="99"/>
    <w:qFormat/>
    <w:rsid w:val="00886f70"/>
    <w:rPr>
      <w:rFonts w:ascii="Times New Roman" w:hAnsi="Times New Roman" w:eastAsia="Times New Roman" w:cs="Times New Roman"/>
      <w:sz w:val="20"/>
      <w:szCs w:val="20"/>
      <w:lang w:eastAsia="ru-RU"/>
    </w:rPr>
  </w:style>
  <w:style w:type="character" w:styleId="Pagenumber">
    <w:name w:val="page number"/>
    <w:basedOn w:val="DefaultParagraphFont"/>
    <w:qFormat/>
    <w:rsid w:val="00886f70"/>
    <w:rPr/>
  </w:style>
  <w:style w:type="character" w:styleId="31" w:customStyle="1">
    <w:name w:val="Основной текст 3 Знак"/>
    <w:basedOn w:val="DefaultParagraphFont"/>
    <w:link w:val="BodyText3"/>
    <w:qFormat/>
    <w:rsid w:val="00886f70"/>
    <w:rPr>
      <w:rFonts w:ascii="Times New Roman" w:hAnsi="Times New Roman" w:eastAsia="Times New Roman" w:cs="Times New Roman"/>
      <w:sz w:val="16"/>
      <w:szCs w:val="16"/>
      <w:lang w:val="x-none" w:eastAsia="x-none"/>
    </w:rPr>
  </w:style>
  <w:style w:type="character" w:styleId="Annotationreference">
    <w:name w:val="annotation reference"/>
    <w:qFormat/>
    <w:rsid w:val="00886f70"/>
    <w:rPr>
      <w:sz w:val="16"/>
      <w:szCs w:val="16"/>
    </w:rPr>
  </w:style>
  <w:style w:type="character" w:styleId="Style11" w:customStyle="1">
    <w:name w:val="Текст примечания Знак"/>
    <w:basedOn w:val="DefaultParagraphFont"/>
    <w:link w:val="Annotationtext"/>
    <w:qFormat/>
    <w:rsid w:val="00886f70"/>
    <w:rPr>
      <w:rFonts w:ascii="Times New Roman" w:hAnsi="Times New Roman" w:eastAsia="Times New Roman" w:cs="Times New Roman"/>
      <w:sz w:val="20"/>
      <w:szCs w:val="20"/>
      <w:lang w:eastAsia="ru-RU"/>
    </w:rPr>
  </w:style>
  <w:style w:type="character" w:styleId="Style12" w:customStyle="1">
    <w:name w:val="Тема примечания Знак"/>
    <w:basedOn w:val="Style11"/>
    <w:link w:val="Annotationsubject"/>
    <w:qFormat/>
    <w:rsid w:val="00886f70"/>
    <w:rPr>
      <w:rFonts w:ascii="Times New Roman" w:hAnsi="Times New Roman" w:eastAsia="Times New Roman" w:cs="Times New Roman"/>
      <w:b/>
      <w:bCs/>
      <w:sz w:val="20"/>
      <w:szCs w:val="20"/>
      <w:lang w:val="x-none" w:eastAsia="x-none"/>
    </w:rPr>
  </w:style>
  <w:style w:type="character" w:styleId="Style13" w:customStyle="1">
    <w:name w:val="Основной текст с отступом Знак"/>
    <w:basedOn w:val="DefaultParagraphFont"/>
    <w:qFormat/>
    <w:rsid w:val="00886f70"/>
    <w:rPr>
      <w:rFonts w:ascii="Times New Roman" w:hAnsi="Times New Roman" w:eastAsia="Times New Roman" w:cs="Times New Roman"/>
      <w:sz w:val="20"/>
      <w:szCs w:val="20"/>
      <w:lang w:eastAsia="ru-RU"/>
    </w:rPr>
  </w:style>
  <w:style w:type="character" w:styleId="Style14" w:customStyle="1">
    <w:name w:val="комментарий"/>
    <w:uiPriority w:val="99"/>
    <w:qFormat/>
    <w:rsid w:val="00886f70"/>
    <w:rPr>
      <w:rFonts w:cs="Times New Roman"/>
      <w:b/>
      <w:bCs/>
      <w:i/>
      <w:iCs/>
      <w:shd w:fill="FFFF99" w:val="clear"/>
    </w:rPr>
  </w:style>
  <w:style w:type="character" w:styleId="Style15" w:customStyle="1">
    <w:name w:val="Текст сноски Знак"/>
    <w:basedOn w:val="DefaultParagraphFont"/>
    <w:uiPriority w:val="99"/>
    <w:qFormat/>
    <w:rsid w:val="00886f70"/>
    <w:rPr>
      <w:rFonts w:ascii="Times New Roman" w:hAnsi="Times New Roman" w:eastAsia="Times New Roman" w:cs="Times New Roman"/>
      <w:sz w:val="20"/>
      <w:szCs w:val="20"/>
      <w:lang w:eastAsia="ru-RU"/>
    </w:rPr>
  </w:style>
  <w:style w:type="character" w:styleId="Style16">
    <w:name w:val="Символ сноски"/>
    <w:qFormat/>
    <w:rsid w:val="00886f70"/>
    <w:rPr>
      <w:vertAlign w:val="superscript"/>
    </w:rPr>
  </w:style>
  <w:style w:type="character" w:styleId="FootnoteReference">
    <w:name w:val="Footnote Reference"/>
    <w:rPr>
      <w:vertAlign w:val="superscript"/>
    </w:rPr>
  </w:style>
  <w:style w:type="character" w:styleId="Style17" w:customStyle="1">
    <w:name w:val="Схема документа Знак"/>
    <w:basedOn w:val="DefaultParagraphFont"/>
    <w:link w:val="DocumentMap"/>
    <w:semiHidden/>
    <w:qFormat/>
    <w:rsid w:val="00886f70"/>
    <w:rPr>
      <w:rFonts w:ascii="Tahoma" w:hAnsi="Tahoma" w:eastAsia="Times New Roman" w:cs="Tahoma"/>
      <w:sz w:val="20"/>
      <w:szCs w:val="20"/>
      <w:shd w:fill="000080" w:val="clear"/>
      <w:lang w:eastAsia="ru-RU"/>
    </w:rPr>
  </w:style>
  <w:style w:type="character" w:styleId="Style18" w:customStyle="1">
    <w:name w:val="Верхний колонтитул Знак"/>
    <w:basedOn w:val="DefaultParagraphFont"/>
    <w:qFormat/>
    <w:rsid w:val="00886f70"/>
    <w:rPr>
      <w:rFonts w:ascii="Times New Roman" w:hAnsi="Times New Roman" w:eastAsia="Times New Roman" w:cs="Times New Roman"/>
      <w:sz w:val="20"/>
      <w:szCs w:val="20"/>
      <w:lang w:eastAsia="ru-RU"/>
    </w:rPr>
  </w:style>
  <w:style w:type="character" w:styleId="Hyperlink">
    <w:name w:val="Hyperlink"/>
    <w:rsid w:val="00886f70"/>
    <w:rPr>
      <w:color w:val="0000FF"/>
      <w:u w:val="single"/>
    </w:rPr>
  </w:style>
  <w:style w:type="character" w:styleId="Style19" w:customStyle="1">
    <w:name w:val="Абзац списка Знак"/>
    <w:link w:val="ListParagraph"/>
    <w:uiPriority w:val="34"/>
    <w:qFormat/>
    <w:locked/>
    <w:rsid w:val="00b80bab"/>
    <w:rPr>
      <w:rFonts w:ascii="Times New Roman" w:hAnsi="Times New Roman" w:eastAsia="Times New Roman" w:cs="Times New Roman"/>
      <w:sz w:val="20"/>
      <w:szCs w:val="20"/>
      <w:lang w:eastAsia="ru-RU"/>
    </w:rPr>
  </w:style>
  <w:style w:type="character" w:styleId="Style20">
    <w:name w:val="Символ концевой сноски"/>
    <w:qFormat/>
    <w:rPr>
      <w:vertAlign w:val="superscript"/>
    </w:rPr>
  </w:style>
  <w:style w:type="character" w:styleId="EndnoteReference">
    <w:name w:val="Endnote Reference"/>
    <w:rPr>
      <w:vertAlign w:val="superscript"/>
    </w:rPr>
  </w:style>
  <w:style w:type="paragraph" w:styleId="Style21">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886f70"/>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2">
    <w:name w:val="Указатель"/>
    <w:basedOn w:val="Normal"/>
    <w:qFormat/>
    <w:pPr>
      <w:suppressLineNumbers/>
    </w:pPr>
    <w:rPr/>
  </w:style>
  <w:style w:type="paragraph" w:styleId="Title">
    <w:name w:val="Title"/>
    <w:basedOn w:val="Normal"/>
    <w:link w:val="Style7"/>
    <w:qFormat/>
    <w:rsid w:val="00886f70"/>
    <w:pPr>
      <w:jc w:val="center"/>
    </w:pPr>
    <w:rPr>
      <w:b/>
      <w:bCs/>
      <w:sz w:val="24"/>
      <w:szCs w:val="24"/>
    </w:rPr>
  </w:style>
  <w:style w:type="paragraph" w:styleId="Style23" w:customStyle="1">
    <w:name w:val="Таблицы (моноширинный)"/>
    <w:basedOn w:val="Normal"/>
    <w:next w:val="Normal"/>
    <w:qFormat/>
    <w:rsid w:val="00886f70"/>
    <w:pPr>
      <w:jc w:val="both"/>
    </w:pPr>
    <w:rPr>
      <w:rFonts w:ascii="Courier New" w:hAnsi="Courier New" w:cs="Courier New"/>
    </w:rPr>
  </w:style>
  <w:style w:type="paragraph" w:styleId="BodyTextIndent2">
    <w:name w:val="Body Text Indent 2"/>
    <w:basedOn w:val="Normal"/>
    <w:link w:val="2"/>
    <w:qFormat/>
    <w:rsid w:val="00886f70"/>
    <w:pPr>
      <w:ind w:left="1843" w:hanging="0"/>
      <w:jc w:val="both"/>
    </w:pPr>
    <w:rPr>
      <w:sz w:val="24"/>
    </w:rPr>
  </w:style>
  <w:style w:type="paragraph" w:styleId="BalloonText">
    <w:name w:val="Balloon Text"/>
    <w:basedOn w:val="Normal"/>
    <w:link w:val="Style8"/>
    <w:semiHidden/>
    <w:qFormat/>
    <w:rsid w:val="00886f70"/>
    <w:pPr/>
    <w:rPr>
      <w:rFonts w:ascii="Tahoma" w:hAnsi="Tahoma" w:cs="Tahoma"/>
      <w:sz w:val="16"/>
      <w:szCs w:val="16"/>
    </w:rPr>
  </w:style>
  <w:style w:type="paragraph" w:styleId="BodyText2">
    <w:name w:val="Body Text 2"/>
    <w:basedOn w:val="Normal"/>
    <w:link w:val="21"/>
    <w:qFormat/>
    <w:rsid w:val="00886f70"/>
    <w:pPr>
      <w:widowControl/>
      <w:spacing w:lineRule="auto" w:line="480" w:before="0" w:after="120"/>
    </w:pPr>
    <w:rPr>
      <w:sz w:val="24"/>
      <w:szCs w:val="24"/>
    </w:rPr>
  </w:style>
  <w:style w:type="paragraph" w:styleId="Style24">
    <w:name w:val="Колонтитул"/>
    <w:basedOn w:val="Normal"/>
    <w:qFormat/>
    <w:pPr/>
    <w:rPr/>
  </w:style>
  <w:style w:type="paragraph" w:styleId="Footer">
    <w:name w:val="Footer"/>
    <w:basedOn w:val="Normal"/>
    <w:link w:val="Style10"/>
    <w:uiPriority w:val="99"/>
    <w:rsid w:val="00886f70"/>
    <w:pPr>
      <w:tabs>
        <w:tab w:val="clear" w:pos="709"/>
        <w:tab w:val="center" w:pos="4677" w:leader="none"/>
        <w:tab w:val="right" w:pos="9355" w:leader="none"/>
      </w:tabs>
    </w:pPr>
    <w:rPr/>
  </w:style>
  <w:style w:type="paragraph" w:styleId="BodyText3">
    <w:name w:val="Body Text 3"/>
    <w:basedOn w:val="Normal"/>
    <w:link w:val="31"/>
    <w:qFormat/>
    <w:rsid w:val="00886f70"/>
    <w:pPr>
      <w:spacing w:before="0" w:after="120"/>
    </w:pPr>
    <w:rPr>
      <w:sz w:val="16"/>
      <w:szCs w:val="16"/>
      <w:lang w:val="x-none" w:eastAsia="x-none"/>
    </w:rPr>
  </w:style>
  <w:style w:type="paragraph" w:styleId="Annotationtext">
    <w:name w:val="annotation text"/>
    <w:basedOn w:val="Normal"/>
    <w:link w:val="Style11"/>
    <w:qFormat/>
    <w:rsid w:val="00886f70"/>
    <w:pPr/>
    <w:rPr/>
  </w:style>
  <w:style w:type="paragraph" w:styleId="Annotationsubject">
    <w:name w:val="annotation subject"/>
    <w:basedOn w:val="Annotationtext"/>
    <w:next w:val="Annotationtext"/>
    <w:link w:val="Style12"/>
    <w:qFormat/>
    <w:rsid w:val="00886f70"/>
    <w:pPr/>
    <w:rPr>
      <w:b/>
      <w:bCs/>
      <w:lang w:val="x-none" w:eastAsia="x-none"/>
    </w:rPr>
  </w:style>
  <w:style w:type="paragraph" w:styleId="ListParagraph">
    <w:name w:val="List Paragraph"/>
    <w:basedOn w:val="Normal"/>
    <w:link w:val="Style19"/>
    <w:uiPriority w:val="34"/>
    <w:qFormat/>
    <w:rsid w:val="00886f70"/>
    <w:pPr>
      <w:spacing w:before="0" w:after="0"/>
      <w:ind w:left="720" w:hanging="0"/>
      <w:contextualSpacing/>
    </w:pPr>
    <w:rPr/>
  </w:style>
  <w:style w:type="paragraph" w:styleId="Style25" w:customStyle="1">
    <w:name w:val="Знак Знак Знак Знак Знак Знак Знак Знак Знак"/>
    <w:basedOn w:val="Normal"/>
    <w:uiPriority w:val="99"/>
    <w:qFormat/>
    <w:rsid w:val="00886f70"/>
    <w:pPr>
      <w:widowControl/>
      <w:spacing w:lineRule="exact" w:line="240" w:before="0" w:after="160"/>
      <w:jc w:val="both"/>
    </w:pPr>
    <w:rPr>
      <w:rFonts w:ascii="Verdana" w:hAnsi="Verdana"/>
      <w:sz w:val="22"/>
      <w:lang w:val="en-US" w:eastAsia="en-US"/>
    </w:rPr>
  </w:style>
  <w:style w:type="paragraph" w:styleId="Style26" w:customStyle="1">
    <w:name w:val="Подпункт договора"/>
    <w:basedOn w:val="Normal"/>
    <w:qFormat/>
    <w:rsid w:val="00886f70"/>
    <w:pPr>
      <w:widowControl/>
      <w:tabs>
        <w:tab w:val="clear" w:pos="709"/>
        <w:tab w:val="left" w:pos="360" w:leader="none"/>
      </w:tabs>
      <w:jc w:val="both"/>
    </w:pPr>
    <w:rPr>
      <w:rFonts w:ascii="Arial" w:hAnsi="Arial"/>
    </w:rPr>
  </w:style>
  <w:style w:type="paragraph" w:styleId="ConsNormal" w:customStyle="1">
    <w:name w:val="ConsNormal"/>
    <w:qFormat/>
    <w:rsid w:val="00886f70"/>
    <w:pPr>
      <w:widowControl/>
      <w:suppressAutoHyphens w:val="true"/>
      <w:bidi w:val="0"/>
      <w:spacing w:lineRule="auto" w:line="240"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3"/>
    <w:rsid w:val="00886f70"/>
    <w:pPr>
      <w:spacing w:before="0" w:after="120"/>
      <w:ind w:left="283" w:hanging="0"/>
    </w:pPr>
    <w:rPr/>
  </w:style>
  <w:style w:type="paragraph" w:styleId="Style27" w:customStyle="1">
    <w:name w:val="Знак"/>
    <w:basedOn w:val="Normal"/>
    <w:qFormat/>
    <w:rsid w:val="00886f70"/>
    <w:pPr>
      <w:widowControl/>
      <w:spacing w:lineRule="exact" w:line="240" w:before="0" w:after="160"/>
    </w:pPr>
    <w:rPr>
      <w:rFonts w:ascii="Verdana" w:hAnsi="Verdana" w:cs="Verdana"/>
      <w:lang w:val="en-US" w:eastAsia="en-US"/>
    </w:rPr>
  </w:style>
  <w:style w:type="paragraph" w:styleId="FootnoteText">
    <w:name w:val="Footnote Text"/>
    <w:basedOn w:val="Normal"/>
    <w:link w:val="Style15"/>
    <w:uiPriority w:val="99"/>
    <w:rsid w:val="00886f70"/>
    <w:pPr/>
    <w:rPr/>
  </w:style>
  <w:style w:type="paragraph" w:styleId="ListBullet3">
    <w:name w:val="List Bullet 3"/>
    <w:basedOn w:val="Normal"/>
    <w:uiPriority w:val="99"/>
    <w:unhideWhenUsed/>
    <w:qFormat/>
    <w:rsid w:val="00886f70"/>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886f70"/>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7"/>
    <w:semiHidden/>
    <w:qFormat/>
    <w:rsid w:val="00886f70"/>
    <w:pPr>
      <w:shd w:val="clear" w:color="auto" w:fill="000080"/>
    </w:pPr>
    <w:rPr>
      <w:rFonts w:ascii="Tahoma" w:hAnsi="Tahoma" w:cs="Tahoma"/>
    </w:rPr>
  </w:style>
  <w:style w:type="paragraph" w:styleId="Revision">
    <w:name w:val="Revision"/>
    <w:uiPriority w:val="99"/>
    <w:semiHidden/>
    <w:qFormat/>
    <w:rsid w:val="00886f70"/>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8"/>
    <w:rsid w:val="00886f70"/>
    <w:pPr>
      <w:tabs>
        <w:tab w:val="clear" w:pos="709"/>
        <w:tab w:val="center" w:pos="4677" w:leader="none"/>
        <w:tab w:val="right" w:pos="9355" w:leader="none"/>
      </w:tabs>
    </w:pPr>
    <w:rPr/>
  </w:style>
  <w:style w:type="paragraph" w:styleId="Style28" w:customStyle="1">
    <w:name w:val="Пункт договора"/>
    <w:basedOn w:val="Normal"/>
    <w:qFormat/>
    <w:rsid w:val="00886f70"/>
    <w:pPr>
      <w:jc w:val="both"/>
    </w:pPr>
    <w:rPr>
      <w:rFonts w:ascii="Arial" w:hAnsi="Arial"/>
    </w:rPr>
  </w:style>
  <w:style w:type="paragraph" w:styleId="11" w:customStyle="1">
    <w:name w:val="Знак Знак Знак Знак Знак Знак Знак Знак Знак1"/>
    <w:basedOn w:val="Normal"/>
    <w:qFormat/>
    <w:rsid w:val="00886f70"/>
    <w:pPr>
      <w:widowControl/>
      <w:spacing w:lineRule="exact" w:line="240" w:before="0" w:after="160"/>
      <w:jc w:val="both"/>
    </w:pPr>
    <w:rPr>
      <w:rFonts w:ascii="Verdana" w:hAnsi="Verdana"/>
      <w:sz w:val="22"/>
      <w:lang w:val="en-US" w:eastAsia="en-US"/>
    </w:rPr>
  </w:style>
  <w:style w:type="paragraph" w:styleId="12" w:customStyle="1">
    <w:name w:val="Обычный1"/>
    <w:qFormat/>
    <w:rsid w:val="00886f70"/>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886f70"/>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rsid w:val="00886f70"/>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2.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5CAEEA5-E2B6-4B76-A826-4F29FF9531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6D202F-1423-4AFB-87EC-3EC39051E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AlterOffice/3.4.0.9$Linux_X86_64 LibreOffice_project/b8daf9e823b1a5463a2f48435ddc2e8696e7d4fc</Application>
  <AppVersion>15.0000</AppVersion>
  <Pages>17</Pages>
  <Words>6607</Words>
  <Characters>47185</Characters>
  <CharactersWithSpaces>53535</CharactersWithSpaces>
  <Paragraphs>297</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2024-02-12T06:04:00Z</dcterms:created>
  <dc:creator>Быстрова Дарья Андреевна</dc:creator>
  <dc:description/>
  <dc:language>ru-RU</dc:language>
  <cp:lastModifiedBy>budnikovanv@corp.gidroogk.com</cp:lastModifiedBy>
  <dcterms:modified xsi:type="dcterms:W3CDTF">2026-06-01T13:56:59Z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