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eastAsia="Calibri" w:ascii="Times New Roman;serif" w:hAnsi="Times New Roman;serif"/>
          <w:b/>
          <w:bCs/>
          <w:color w:val="000000"/>
          <w:sz w:val="24"/>
          <w:szCs w:val="24"/>
          <w:shd w:fill="auto" w:val="clear"/>
        </w:rPr>
        <w:t>комплектующих оргтехники, расходных материалов, материалов для технического обслуживания и аксессуаров</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комплектующие оргтехники, расходные материалы, материалы для технического обслуживания и аксессуары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rPr>
        <w:t>с</w:t>
      </w:r>
      <w:r>
        <w:rPr>
          <w:bCs/>
          <w:sz w:val="24"/>
          <w:szCs w:val="24"/>
          <w:shd w:fill="auto" w:val="clear"/>
        </w:rPr>
        <w:t xml:space="preserve"> даты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w:t>
      </w:r>
      <w:r>
        <w:rPr>
          <w:bCs/>
          <w:sz w:val="24"/>
          <w:szCs w:val="24"/>
          <w:shd w:fill="auto" w:val="clear"/>
        </w:rPr>
        <w:t>02</w:t>
      </w:r>
      <w:r>
        <w:rPr>
          <w:bCs/>
          <w:sz w:val="24"/>
          <w:szCs w:val="24"/>
          <w:shd w:fill="auto" w:val="clear"/>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35145339"/>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24002785"/>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3060835"/>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AlterOffice/3.4.0.9$Linux_X86_64 LibreOffice_project/b8daf9e823b1a5463a2f48435ddc2e8696e7d4fc</Application>
  <AppVersion>15.0000</AppVersion>
  <Pages>22</Pages>
  <Words>7044</Words>
  <Characters>50370</Characters>
  <CharactersWithSpaces>57117</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2026-05-29T11:02:47Z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