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 xml:space="preserve">Проект Договора поставки </w:t>
      </w:r>
    </w:p>
    <w:p>
      <w:pPr>
        <w:pStyle w:val="Normal"/>
        <w:shd w:val="clear" w:color="auto" w:fill="FFFFFF"/>
        <w:tabs>
          <w:tab w:val="clear" w:pos="709"/>
          <w:tab w:val="left" w:pos="6926" w:leader="none"/>
        </w:tabs>
        <w:jc w:val="center"/>
        <w:rPr>
          <w:b/>
          <w:bCs/>
          <w:sz w:val="24"/>
          <w:szCs w:val="24"/>
        </w:rPr>
      </w:pPr>
      <w:r>
        <w:rPr>
          <w:b/>
          <w:bCs/>
          <w:sz w:val="24"/>
          <w:szCs w:val="24"/>
        </w:rPr>
        <w:t>Средств пожаротушения</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Средства пожаротушения</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 даты заключения договора по «</w:t>
      </w:r>
      <w:r>
        <w:rPr>
          <w:bCs/>
          <w:sz w:val="24"/>
          <w:szCs w:val="24"/>
        </w:rPr>
        <w:t>01</w:t>
      </w:r>
      <w:r>
        <w:rPr>
          <w:bCs/>
          <w:sz w:val="24"/>
          <w:szCs w:val="24"/>
        </w:rPr>
        <w:t xml:space="preserve">» </w:t>
      </w:r>
      <w:r>
        <w:rPr>
          <w:bCs/>
          <w:sz w:val="24"/>
          <w:szCs w:val="24"/>
        </w:rPr>
        <w:t>июня</w:t>
      </w:r>
      <w:r>
        <w:rPr>
          <w:bCs/>
          <w:sz w:val="24"/>
          <w:szCs w:val="24"/>
        </w:rPr>
        <w:t xml:space="preserve">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1"/>
        <w:gridCol w:w="602"/>
        <w:gridCol w:w="611"/>
        <w:gridCol w:w="612"/>
        <w:gridCol w:w="770"/>
        <w:gridCol w:w="738"/>
        <w:gridCol w:w="611"/>
        <w:gridCol w:w="738"/>
        <w:gridCol w:w="689"/>
        <w:gridCol w:w="513"/>
        <w:gridCol w:w="645"/>
        <w:gridCol w:w="550"/>
        <w:gridCol w:w="521"/>
        <w:gridCol w:w="457"/>
        <w:gridCol w:w="258"/>
        <w:gridCol w:w="938"/>
        <w:gridCol w:w="0"/>
        <w:gridCol w:w="1"/>
      </w:tblGrid>
      <w:tr>
        <w:trPr>
          <w:trHeight w:val="526"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8"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AlterOffice/3.4.0.9$Linux_X86_64 LibreOffice_project/b8daf9e823b1a5463a2f48435ddc2e8696e7d4fc</Application>
  <AppVersion>15.0000</AppVersion>
  <Pages>17</Pages>
  <Words>6609</Words>
  <Characters>47214</Characters>
  <CharactersWithSpaces>53566</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2026-05-29T14:41:32Z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