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714" w:type="dxa"/>
        <w:tblInd w:w="10915" w:type="dxa"/>
        <w:tblLook w:val="04A0" w:firstRow="1" w:lastRow="0" w:firstColumn="1" w:lastColumn="0" w:noHBand="0" w:noVBand="1"/>
      </w:tblPr>
      <w:tblGrid>
        <w:gridCol w:w="3714"/>
      </w:tblGrid>
      <w:tr w:rsidR="000D296F" w:rsidRPr="00C41695" w:rsidTr="000D296F">
        <w:trPr>
          <w:trHeight w:val="375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596A" w:rsidRPr="00135989" w:rsidRDefault="000D296F" w:rsidP="0013598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135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73596A" w:rsidRPr="001359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73596A" w:rsidRPr="00135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3596A" w:rsidRPr="00135989" w:rsidRDefault="0073596A" w:rsidP="0013598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Техническому заданию</w:t>
            </w:r>
          </w:p>
          <w:p w:rsidR="000D296F" w:rsidRPr="00460F79" w:rsidRDefault="000D296F" w:rsidP="00735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D0BFB" w:rsidRPr="000D296F" w:rsidRDefault="000A721E" w:rsidP="000D29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</w:t>
      </w:r>
      <w:r w:rsidR="0073596A">
        <w:rPr>
          <w:rFonts w:ascii="Times New Roman" w:hAnsi="Times New Roman" w:cs="Times New Roman"/>
          <w:b/>
          <w:sz w:val="32"/>
          <w:szCs w:val="32"/>
        </w:rPr>
        <w:t xml:space="preserve"> бонусных и сервисных услуг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"/>
        <w:gridCol w:w="14163"/>
      </w:tblGrid>
      <w:tr w:rsidR="00FC16C6" w:rsidRPr="007717A8" w:rsidTr="00D10AAC">
        <w:trPr>
          <w:trHeight w:val="454"/>
          <w:jc w:val="center"/>
        </w:trPr>
        <w:tc>
          <w:tcPr>
            <w:tcW w:w="438" w:type="dxa"/>
            <w:vAlign w:val="center"/>
          </w:tcPr>
          <w:p w:rsidR="00FC16C6" w:rsidRPr="007717A8" w:rsidRDefault="00FC16C6" w:rsidP="001359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17A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163" w:type="dxa"/>
            <w:vAlign w:val="center"/>
          </w:tcPr>
          <w:p w:rsidR="00FC16C6" w:rsidRPr="007717A8" w:rsidRDefault="00FC16C6" w:rsidP="001359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17A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</w:tr>
      <w:tr w:rsidR="00FC16C6" w:rsidRPr="00780678" w:rsidTr="00135989">
        <w:trPr>
          <w:trHeight w:val="454"/>
          <w:jc w:val="center"/>
        </w:trPr>
        <w:tc>
          <w:tcPr>
            <w:tcW w:w="438" w:type="dxa"/>
          </w:tcPr>
          <w:p w:rsidR="00FC16C6" w:rsidRPr="00780678" w:rsidRDefault="00FC16C6" w:rsidP="00135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6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63" w:type="dxa"/>
          </w:tcPr>
          <w:p w:rsidR="00FC16C6" w:rsidRPr="00135989" w:rsidRDefault="00FC16C6" w:rsidP="002730E0">
            <w:pPr>
              <w:pStyle w:val="a3"/>
              <w:numPr>
                <w:ilvl w:val="0"/>
                <w:numId w:val="1"/>
              </w:numPr>
              <w:spacing w:line="240" w:lineRule="auto"/>
              <w:ind w:left="142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Страхование граждан, выезжающих за пределы постоянного места жительства. </w:t>
            </w:r>
          </w:p>
          <w:p w:rsidR="00FC16C6" w:rsidRPr="00135989" w:rsidRDefault="00FC16C6" w:rsidP="002730E0">
            <w:pPr>
              <w:pStyle w:val="a3"/>
              <w:numPr>
                <w:ilvl w:val="0"/>
                <w:numId w:val="1"/>
              </w:numPr>
              <w:spacing w:line="240" w:lineRule="auto"/>
              <w:ind w:left="142" w:hanging="42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всех </w:t>
            </w:r>
            <w:r w:rsidR="00CE3F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застрах</w:t>
            </w:r>
            <w:r w:rsidRPr="001359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ованных по ДМС</w:t>
            </w:r>
            <w:r w:rsidR="00546E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="009C01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включая застрахованных родственников работников</w:t>
            </w:r>
            <w:r w:rsidRPr="001359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FC16C6" w:rsidRPr="00135989" w:rsidRDefault="00FC16C6" w:rsidP="002730E0">
            <w:pPr>
              <w:pStyle w:val="a3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6C6" w:rsidRPr="00135989" w:rsidRDefault="00FC16C6" w:rsidP="002730E0">
            <w:pPr>
              <w:pStyle w:val="a3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  <w:r w:rsidR="001F08E3">
              <w:rPr>
                <w:rFonts w:ascii="Times New Roman" w:hAnsi="Times New Roman" w:cs="Times New Roman"/>
                <w:sz w:val="20"/>
                <w:szCs w:val="20"/>
              </w:rPr>
              <w:t xml:space="preserve"> страхования по П</w:t>
            </w: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олису ВЗР:</w:t>
            </w:r>
          </w:p>
          <w:p w:rsidR="00FC16C6" w:rsidRPr="00135989" w:rsidRDefault="00FC16C6" w:rsidP="002730E0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Страховая сумма: 50 000,00 (пятьдесят тысяч) долларов США/евро;</w:t>
            </w:r>
          </w:p>
          <w:p w:rsidR="00FC16C6" w:rsidRPr="00135989" w:rsidRDefault="00FC16C6" w:rsidP="002730E0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Территория страхования: весь мир, включая Россию;</w:t>
            </w:r>
          </w:p>
          <w:p w:rsidR="00FC16C6" w:rsidRPr="00135989" w:rsidRDefault="00FC16C6" w:rsidP="002730E0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Возраст, при котором оформляется Полис ВЗР: от 0 (нуля) до 80 (восьмидесяти) лет;</w:t>
            </w:r>
          </w:p>
          <w:p w:rsidR="00FC16C6" w:rsidRPr="00135989" w:rsidRDefault="00FC16C6" w:rsidP="002730E0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Полис ВЗР оформляется без франшизы на срок до окончания первого и второго годов страхования по 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догов</w:t>
            </w: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ору ДМС без ограничения количества поездок в течение срока действия Полиса ВЗР с максимальным сроком пребывания за пределами постоянного места жительства до 90 дней в течение одной поездки;   </w:t>
            </w:r>
          </w:p>
          <w:p w:rsidR="00FC16C6" w:rsidRPr="00135989" w:rsidRDefault="00FC16C6" w:rsidP="002730E0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получения помощи: через сервисную компанию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ика, указанную в Полисе ВЗР;</w:t>
            </w:r>
          </w:p>
          <w:p w:rsidR="00FC16C6" w:rsidRPr="00135989" w:rsidRDefault="00FC16C6" w:rsidP="002730E0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Порядок оформления полисов: единовременная рассылка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 w:rsidR="001F08E3">
              <w:rPr>
                <w:rFonts w:ascii="Times New Roman" w:hAnsi="Times New Roman" w:cs="Times New Roman"/>
                <w:sz w:val="20"/>
                <w:szCs w:val="20"/>
              </w:rPr>
              <w:t>иком П</w:t>
            </w: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олисов ВЗР на дату оформления 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догов</w:t>
            </w: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ора ДМС (единовременно с полисами ДМС);</w:t>
            </w:r>
          </w:p>
          <w:p w:rsidR="00FC16C6" w:rsidRPr="00135989" w:rsidRDefault="001F08E3" w:rsidP="002730E0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П</w:t>
            </w:r>
            <w:r w:rsidR="00FC16C6"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олиса: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электронный П</w:t>
            </w:r>
            <w:r w:rsidR="00FC16C6" w:rsidRPr="00135989">
              <w:rPr>
                <w:rFonts w:ascii="Times New Roman" w:hAnsi="Times New Roman" w:cs="Times New Roman"/>
                <w:sz w:val="20"/>
                <w:szCs w:val="20"/>
              </w:rPr>
              <w:t>олис (при необходимости должна быть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озможность получения оригинала П</w:t>
            </w:r>
            <w:r w:rsidR="00FC16C6" w:rsidRPr="00135989">
              <w:rPr>
                <w:rFonts w:ascii="Times New Roman" w:hAnsi="Times New Roman" w:cs="Times New Roman"/>
                <w:sz w:val="20"/>
                <w:szCs w:val="20"/>
              </w:rPr>
              <w:t>олиса по запросу Посольства).</w:t>
            </w:r>
          </w:p>
          <w:p w:rsidR="00FC16C6" w:rsidRPr="00135989" w:rsidRDefault="00FC16C6" w:rsidP="002730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b/>
                <w:sz w:val="20"/>
                <w:szCs w:val="20"/>
              </w:rPr>
              <w:t>Объ</w:t>
            </w:r>
            <w:r w:rsidR="001F08E3">
              <w:rPr>
                <w:rFonts w:ascii="Times New Roman" w:hAnsi="Times New Roman" w:cs="Times New Roman"/>
                <w:b/>
                <w:sz w:val="20"/>
                <w:szCs w:val="20"/>
              </w:rPr>
              <w:t>ем помощи (страховые риски) по П</w:t>
            </w:r>
            <w:r w:rsidRPr="001359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олису ВЗР: </w:t>
            </w:r>
          </w:p>
          <w:p w:rsidR="00FC16C6" w:rsidRPr="00135989" w:rsidRDefault="00FC16C6" w:rsidP="002730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Медицинские расходы в рамках страховой суммы; </w:t>
            </w:r>
          </w:p>
          <w:p w:rsidR="00FC16C6" w:rsidRPr="00135989" w:rsidRDefault="00FC16C6" w:rsidP="002730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Медицинские расходы на лечение обострения хронических заболеваний в рамках страховой суммы;</w:t>
            </w:r>
          </w:p>
          <w:p w:rsidR="00FC16C6" w:rsidRPr="00135989" w:rsidRDefault="00FC16C6" w:rsidP="002730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Медицинские расходы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ованного лица, связанные с диагностикой и лечением </w:t>
            </w:r>
            <w:proofErr w:type="spellStart"/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 инфекцией COVID-19 в лимите до 5000 долларов США/евро;</w:t>
            </w:r>
          </w:p>
          <w:p w:rsidR="00FC16C6" w:rsidRPr="00135989" w:rsidRDefault="00FC16C6" w:rsidP="002730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Расходы на экстренную стоматологическую помощь до 200 долларов США/евро;</w:t>
            </w:r>
          </w:p>
          <w:p w:rsidR="00FC16C6" w:rsidRPr="00135989" w:rsidRDefault="00FC16C6" w:rsidP="002730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Расходы на медицинскую транспортировку, эвакуацию и посмертную репатриацию – в рамках страховой суммы;</w:t>
            </w:r>
          </w:p>
          <w:p w:rsidR="00FC16C6" w:rsidRPr="00135989" w:rsidRDefault="00FC16C6" w:rsidP="002730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Расх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оды на телефонные переговоры с с</w:t>
            </w: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ервисной компанией и/или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иком по каждому страховому событию, предусмотренному 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догов</w:t>
            </w: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ором - до 100 долларов США/евро;</w:t>
            </w:r>
          </w:p>
          <w:p w:rsidR="00FC16C6" w:rsidRPr="00135989" w:rsidRDefault="00FC16C6" w:rsidP="002730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Расходы по эвакуации несовершеннолетних детей, сопровождающих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ованного;</w:t>
            </w:r>
          </w:p>
          <w:p w:rsidR="00FC16C6" w:rsidRPr="00135989" w:rsidRDefault="00FC16C6" w:rsidP="002730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Расходы по досрочному возвращению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ованного на Родину в случае обоснованной медицинской необходимости;</w:t>
            </w:r>
          </w:p>
          <w:p w:rsidR="00FC16C6" w:rsidRPr="00135989" w:rsidRDefault="00FC16C6" w:rsidP="002730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Расходы в случае утраты/задержки багажа до 2 000 долларов США/евро;</w:t>
            </w:r>
          </w:p>
          <w:p w:rsidR="00FC16C6" w:rsidRPr="00135989" w:rsidRDefault="00FC16C6" w:rsidP="002730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визит третьего лица к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ованному, если срок госпитализации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ованного лица превысил 15 (пятнадцать) дней, в случае обоснованной медицинской необходимости;</w:t>
            </w:r>
          </w:p>
          <w:p w:rsidR="00FC16C6" w:rsidRPr="00135989" w:rsidRDefault="00FC16C6" w:rsidP="002730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Расходы на юридическую помощь до 1 000 долларов США/евро;</w:t>
            </w:r>
          </w:p>
          <w:p w:rsidR="00FC16C6" w:rsidRPr="00135989" w:rsidRDefault="00FC16C6" w:rsidP="002730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Административная помощь: помощь при потере документов;</w:t>
            </w:r>
          </w:p>
          <w:p w:rsidR="00FC16C6" w:rsidRPr="00135989" w:rsidRDefault="00FC16C6" w:rsidP="002730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 xml:space="preserve">Расходы в случае задержки регулярного авиарейса. </w:t>
            </w:r>
          </w:p>
          <w:p w:rsidR="00FC16C6" w:rsidRPr="00135989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6C6" w:rsidRPr="00135989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sz w:val="20"/>
                <w:szCs w:val="20"/>
              </w:rPr>
              <w:t>Не покрываются риски, связанные с занятием любыми видами спорта в период поездки.</w:t>
            </w:r>
          </w:p>
        </w:tc>
      </w:tr>
      <w:tr w:rsidR="00FC16C6" w:rsidTr="00135989">
        <w:trPr>
          <w:trHeight w:val="454"/>
          <w:jc w:val="center"/>
        </w:trPr>
        <w:tc>
          <w:tcPr>
            <w:tcW w:w="438" w:type="dxa"/>
          </w:tcPr>
          <w:p w:rsidR="00FC16C6" w:rsidRPr="007717A8" w:rsidRDefault="00FC16C6" w:rsidP="0013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63" w:type="dxa"/>
          </w:tcPr>
          <w:p w:rsidR="00FC16C6" w:rsidRPr="00135989" w:rsidRDefault="00FC16C6" w:rsidP="00AF47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989">
              <w:rPr>
                <w:rFonts w:ascii="Times New Roman" w:hAnsi="Times New Roman" w:cs="Times New Roman"/>
                <w:b/>
                <w:sz w:val="20"/>
                <w:szCs w:val="20"/>
              </w:rPr>
              <w:t>Телемедицина</w:t>
            </w:r>
            <w:r w:rsidR="00135989" w:rsidRPr="001359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C16C6" w:rsidRPr="005C24F6" w:rsidRDefault="00FC16C6" w:rsidP="00AF47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24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всех </w:t>
            </w:r>
            <w:r w:rsidR="00CE3F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застрах</w:t>
            </w:r>
            <w:r w:rsidRPr="005C24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ованных по ДМС.</w:t>
            </w:r>
          </w:p>
          <w:p w:rsidR="00FC16C6" w:rsidRPr="00780678" w:rsidRDefault="00FC16C6" w:rsidP="00AF4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678">
              <w:rPr>
                <w:rFonts w:ascii="Times New Roman" w:hAnsi="Times New Roman" w:cs="Times New Roman"/>
                <w:sz w:val="20"/>
                <w:szCs w:val="20"/>
              </w:rPr>
              <w:t xml:space="preserve">Сервис дистанционных медицинских консультаций (по телефону, в чате или по видеосвязи) для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780678">
              <w:rPr>
                <w:rFonts w:ascii="Times New Roman" w:hAnsi="Times New Roman" w:cs="Times New Roman"/>
                <w:sz w:val="20"/>
                <w:szCs w:val="20"/>
              </w:rPr>
              <w:t xml:space="preserve">ованных по ДМС. </w:t>
            </w:r>
          </w:p>
          <w:p w:rsidR="00FC16C6" w:rsidRPr="00780678" w:rsidRDefault="00FC16C6" w:rsidP="00AF4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678">
              <w:rPr>
                <w:rFonts w:ascii="Times New Roman" w:hAnsi="Times New Roman" w:cs="Times New Roman"/>
                <w:sz w:val="20"/>
                <w:szCs w:val="20"/>
              </w:rPr>
              <w:t xml:space="preserve">Услуга предоставляется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 w:rsidRPr="00780678">
              <w:rPr>
                <w:rFonts w:ascii="Times New Roman" w:hAnsi="Times New Roman" w:cs="Times New Roman"/>
                <w:sz w:val="20"/>
                <w:szCs w:val="20"/>
              </w:rPr>
              <w:t xml:space="preserve">иком в течении всего срока действия 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догов</w:t>
            </w:r>
            <w:r w:rsidRPr="00780678">
              <w:rPr>
                <w:rFonts w:ascii="Times New Roman" w:hAnsi="Times New Roman" w:cs="Times New Roman"/>
                <w:sz w:val="20"/>
                <w:szCs w:val="20"/>
              </w:rPr>
              <w:t xml:space="preserve">ора ДМС без ограничений по числу обращений. Онлайн-консультации проводятся </w:t>
            </w:r>
            <w:proofErr w:type="spellStart"/>
            <w:r w:rsidRPr="00780678">
              <w:rPr>
                <w:rFonts w:ascii="Times New Roman" w:hAnsi="Times New Roman" w:cs="Times New Roman"/>
                <w:sz w:val="20"/>
                <w:szCs w:val="20"/>
              </w:rPr>
              <w:t>безлимитно</w:t>
            </w:r>
            <w:proofErr w:type="spellEnd"/>
            <w:r w:rsidRPr="00780678">
              <w:rPr>
                <w:rFonts w:ascii="Times New Roman" w:hAnsi="Times New Roman" w:cs="Times New Roman"/>
                <w:sz w:val="20"/>
                <w:szCs w:val="20"/>
              </w:rPr>
              <w:t xml:space="preserve"> по времени: с терапевтом / педиатром, с узкопрофильными врачами.</w:t>
            </w:r>
          </w:p>
          <w:p w:rsidR="00FC16C6" w:rsidRPr="00780678" w:rsidRDefault="00FC16C6" w:rsidP="00AF4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6C6" w:rsidRDefault="00FC16C6" w:rsidP="00AF47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Телепсихология</w:t>
            </w:r>
            <w:proofErr w:type="spellEnd"/>
            <w:r w:rsidR="001359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C16C6" w:rsidRPr="005C24F6" w:rsidRDefault="00FC16C6" w:rsidP="00AF47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24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всех </w:t>
            </w:r>
            <w:r w:rsidR="00CE3F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застрах</w:t>
            </w:r>
            <w:r w:rsidRPr="005C24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ованных по ДМС.</w:t>
            </w:r>
          </w:p>
          <w:p w:rsidR="00FC16C6" w:rsidRPr="007717A8" w:rsidRDefault="0073596A" w:rsidP="00AF4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Экстренная и плановая </w:t>
            </w:r>
            <w:r w:rsidR="00FC16C6" w:rsidRPr="00780678">
              <w:rPr>
                <w:rFonts w:ascii="Times New Roman" w:hAnsi="Times New Roman" w:cs="Times New Roman"/>
                <w:sz w:val="20"/>
                <w:szCs w:val="20"/>
              </w:rPr>
              <w:t xml:space="preserve">помощь в решении любых личных вопросов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="00FC16C6" w:rsidRPr="00780678">
              <w:rPr>
                <w:rFonts w:ascii="Times New Roman" w:hAnsi="Times New Roman" w:cs="Times New Roman"/>
                <w:sz w:val="20"/>
                <w:szCs w:val="20"/>
              </w:rPr>
              <w:t xml:space="preserve">ованных, касающихся психического здоровья. Сервис предусматривает обращение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="00FC16C6" w:rsidRPr="00780678">
              <w:rPr>
                <w:rFonts w:ascii="Times New Roman" w:hAnsi="Times New Roman" w:cs="Times New Roman"/>
                <w:sz w:val="20"/>
                <w:szCs w:val="20"/>
              </w:rPr>
              <w:t>ованного лица за консультациями к психологу/психотерапевту, выполняемыми удаленно через сеть Интернет в режиме онлайн. Ограничений по длительности консультации – нет.</w:t>
            </w:r>
          </w:p>
        </w:tc>
      </w:tr>
      <w:tr w:rsidR="00FC16C6" w:rsidTr="00135989">
        <w:trPr>
          <w:trHeight w:val="454"/>
          <w:jc w:val="center"/>
        </w:trPr>
        <w:tc>
          <w:tcPr>
            <w:tcW w:w="438" w:type="dxa"/>
          </w:tcPr>
          <w:p w:rsidR="00FC16C6" w:rsidRPr="007717A8" w:rsidRDefault="00FC16C6" w:rsidP="0013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3" w:type="dxa"/>
          </w:tcPr>
          <w:p w:rsidR="00FC16C6" w:rsidRPr="00177A00" w:rsidRDefault="00FC16C6" w:rsidP="00AF47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678">
              <w:rPr>
                <w:rFonts w:ascii="Times New Roman" w:hAnsi="Times New Roman" w:cs="Times New Roman"/>
                <w:b/>
                <w:sz w:val="20"/>
                <w:szCs w:val="20"/>
              </w:rPr>
              <w:t>Дни здоровья</w:t>
            </w:r>
            <w:r w:rsidR="001359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C16C6" w:rsidRPr="005C24F6" w:rsidRDefault="00FC16C6" w:rsidP="00AF47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24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всех </w:t>
            </w:r>
            <w:r w:rsidR="00CE3F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застрах</w:t>
            </w:r>
            <w:r w:rsidRPr="005C24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ованных по ДМС.</w:t>
            </w:r>
          </w:p>
          <w:p w:rsidR="009C0185" w:rsidRPr="009C0185" w:rsidRDefault="009C0185" w:rsidP="00AF4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Организация дней здоровья с участием ведущих врачей ЛПУ-партнеров Страховщика. Темы «Дней здоровья» определяются Страхователем.</w:t>
            </w:r>
          </w:p>
          <w:p w:rsidR="00FC16C6" w:rsidRPr="007717A8" w:rsidRDefault="009C0185" w:rsidP="00AF4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185">
              <w:rPr>
                <w:rFonts w:ascii="Times New Roman" w:hAnsi="Times New Roman" w:cs="Times New Roman"/>
                <w:sz w:val="20"/>
                <w:szCs w:val="20"/>
              </w:rPr>
              <w:t xml:space="preserve">Формат проведения/ количество мероприятий: 4 очных мероприятия за каждый страховой год в офисе Страхователя (Москва, регионы РФ), включая маркетинговую поддержку Страховщика. 4 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Дня здоровья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C0185">
              <w:rPr>
                <w:rFonts w:ascii="Times New Roman" w:hAnsi="Times New Roman" w:cs="Times New Roman"/>
                <w:sz w:val="20"/>
                <w:szCs w:val="20"/>
              </w:rPr>
              <w:t xml:space="preserve"> в год с охватом не менее 100 работников Страхователя в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мках одного очного 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Дня здоровья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C018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День здоровья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C0185">
              <w:rPr>
                <w:rFonts w:ascii="Times New Roman" w:hAnsi="Times New Roman" w:cs="Times New Roman"/>
                <w:sz w:val="20"/>
                <w:szCs w:val="20"/>
              </w:rPr>
              <w:t xml:space="preserve"> включает в себя – лекцию/</w:t>
            </w:r>
            <w:proofErr w:type="spellStart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Дня здоровья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, отв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еты на вопросы застрахованных, п</w:t>
            </w:r>
            <w:r w:rsidRPr="009C0185">
              <w:rPr>
                <w:rFonts w:ascii="Times New Roman" w:hAnsi="Times New Roman" w:cs="Times New Roman"/>
                <w:sz w:val="20"/>
                <w:szCs w:val="20"/>
              </w:rPr>
              <w:t xml:space="preserve">роведение инструментальной/лабораторной экспресс диагностики работников, по итогу осмотра врач озвучивает пациенту рекомендации, выдаются раздаточные информационные материалы на тему 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Дня здоровья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. Проведение очных «Дней здоровья» возможно только при благоприятной эпидемиологической обстановк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0185">
              <w:rPr>
                <w:rFonts w:ascii="Times New Roman" w:hAnsi="Times New Roman" w:cs="Times New Roman"/>
                <w:sz w:val="20"/>
                <w:szCs w:val="20"/>
              </w:rPr>
              <w:t xml:space="preserve">. При невозможности проведения очных мероприятий, Страховщик организовывает услугу в </w:t>
            </w:r>
            <w:proofErr w:type="spellStart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 xml:space="preserve"> формате.</w:t>
            </w:r>
          </w:p>
        </w:tc>
      </w:tr>
      <w:tr w:rsidR="00FC16C6" w:rsidTr="00135989">
        <w:trPr>
          <w:trHeight w:val="454"/>
          <w:jc w:val="center"/>
        </w:trPr>
        <w:tc>
          <w:tcPr>
            <w:tcW w:w="438" w:type="dxa"/>
          </w:tcPr>
          <w:p w:rsidR="00FC16C6" w:rsidRPr="007717A8" w:rsidRDefault="00FC16C6" w:rsidP="001359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63" w:type="dxa"/>
          </w:tcPr>
          <w:p w:rsidR="002A07A5" w:rsidRPr="002A07A5" w:rsidRDefault="002A07A5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7A5">
              <w:rPr>
                <w:rFonts w:ascii="Times New Roman" w:hAnsi="Times New Roman" w:cs="Times New Roman"/>
                <w:b/>
                <w:sz w:val="20"/>
                <w:szCs w:val="20"/>
              </w:rPr>
              <w:t>Альтернативный дополнительный способ сдачи анализов.</w:t>
            </w:r>
          </w:p>
          <w:p w:rsidR="002A07A5" w:rsidRPr="002A07A5" w:rsidRDefault="002A07A5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7A5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сдавать медицинские анализы, назначенные врачом в ЛПУ по программе страхования на базе федеральных и/или частных клинических лабораторий с количеством действующих лабораторий, филиалов, заборных пунктов не менее 200 адресов по России, при этом региональный охват лабораторий должен покрывать все федеральные округа РФ. Сеть должна входить в актуальный перечень лабораторий, допущенных к проведению исследований на COVID-19 </w:t>
            </w:r>
            <w:proofErr w:type="spellStart"/>
            <w:r w:rsidRPr="002A07A5">
              <w:rPr>
                <w:rFonts w:ascii="Times New Roman" w:hAnsi="Times New Roman" w:cs="Times New Roman"/>
                <w:sz w:val="20"/>
                <w:szCs w:val="20"/>
              </w:rPr>
              <w:t>Роспотребнадзором</w:t>
            </w:r>
            <w:proofErr w:type="spellEnd"/>
            <w:r w:rsidRPr="002A07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07A5" w:rsidRPr="002A07A5" w:rsidRDefault="002A07A5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7A5">
              <w:rPr>
                <w:rFonts w:ascii="Times New Roman" w:hAnsi="Times New Roman" w:cs="Times New Roman"/>
                <w:sz w:val="20"/>
                <w:szCs w:val="20"/>
              </w:rPr>
              <w:t xml:space="preserve">Сеть лабораторий определяется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 w:rsidRPr="002A07A5">
              <w:rPr>
                <w:rFonts w:ascii="Times New Roman" w:hAnsi="Times New Roman" w:cs="Times New Roman"/>
                <w:sz w:val="20"/>
                <w:szCs w:val="20"/>
              </w:rPr>
              <w:t>иком.</w:t>
            </w:r>
          </w:p>
          <w:p w:rsidR="00FC16C6" w:rsidRPr="002A07A5" w:rsidRDefault="002A07A5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7A5">
              <w:rPr>
                <w:rFonts w:ascii="Times New Roman" w:hAnsi="Times New Roman" w:cs="Times New Roman"/>
                <w:sz w:val="20"/>
                <w:szCs w:val="20"/>
              </w:rPr>
              <w:t xml:space="preserve">Услуга предоставляется в объеме лабораторной диагностики в соответствии с 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огов</w:t>
            </w:r>
            <w:r w:rsidRPr="002A07A5">
              <w:rPr>
                <w:rFonts w:ascii="Times New Roman" w:hAnsi="Times New Roman" w:cs="Times New Roman"/>
                <w:sz w:val="20"/>
                <w:szCs w:val="20"/>
              </w:rPr>
              <w:t xml:space="preserve">ором </w:t>
            </w:r>
            <w:r w:rsidRPr="002A07A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всех </w:t>
            </w:r>
            <w:r w:rsidR="00CE3F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застрах</w:t>
            </w:r>
            <w:r w:rsidRPr="002A07A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ованных по ДМС</w:t>
            </w:r>
            <w:r w:rsidRPr="002A07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C16C6" w:rsidTr="00135989">
        <w:trPr>
          <w:trHeight w:val="454"/>
          <w:jc w:val="center"/>
        </w:trPr>
        <w:tc>
          <w:tcPr>
            <w:tcW w:w="438" w:type="dxa"/>
          </w:tcPr>
          <w:p w:rsidR="00FC16C6" w:rsidRPr="007717A8" w:rsidRDefault="00FC16C6" w:rsidP="001359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63" w:type="dxa"/>
          </w:tcPr>
          <w:p w:rsidR="00FC16C6" w:rsidRDefault="00FC16C6" w:rsidP="00D402A4">
            <w:pPr>
              <w:spacing w:after="0" w:line="240" w:lineRule="auto"/>
            </w:pPr>
            <w:r w:rsidRPr="00D402A4">
              <w:rPr>
                <w:rFonts w:ascii="Times New Roman" w:hAnsi="Times New Roman" w:cs="Times New Roman"/>
                <w:b/>
                <w:sz w:val="20"/>
                <w:szCs w:val="20"/>
              </w:rPr>
              <w:t>Второе дистанционное мнение</w:t>
            </w:r>
            <w:r w:rsidR="001359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t xml:space="preserve"> </w:t>
            </w:r>
          </w:p>
          <w:p w:rsidR="00FC16C6" w:rsidRPr="008030F7" w:rsidRDefault="002730E0" w:rsidP="00D402A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</w:t>
            </w:r>
            <w:r w:rsidR="00FC16C6" w:rsidRPr="008030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ля всех </w:t>
            </w:r>
            <w:r w:rsidR="00CE3F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застрах</w:t>
            </w:r>
            <w:r w:rsidR="00FC16C6" w:rsidRPr="008030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ованных по ДМС.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получить альтернативное независимое экспертное заключение в отношении поставленного диагноза, медицинских показаний и плана лечения, полученных ранее и требующих уточнения. Консультации осуществляются экспертами ведущих клиник в России и за рубежом. 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наличии не менее двух из перечисленных ниже критериев: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• тяжелая форма заболевания;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• длительное рецидивирующее течение заболевания;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• отсутствие динамики / отрицательная динамика на фоне проведенного терапевтического / хирургического лечения на протяжении более 3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>-х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месяцев.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«Второе экспертное медицинское мнение за рубежом» включает:</w:t>
            </w:r>
          </w:p>
          <w:p w:rsidR="00FC16C6" w:rsidRPr="00D402A4" w:rsidRDefault="002730E0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б</w:t>
            </w:r>
            <w:r w:rsidR="00FC16C6" w:rsidRPr="00D402A4">
              <w:rPr>
                <w:rFonts w:ascii="Times New Roman" w:hAnsi="Times New Roman" w:cs="Times New Roman"/>
                <w:sz w:val="20"/>
                <w:szCs w:val="20"/>
              </w:rPr>
              <w:t>ыстрое получение второ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мнения у лучших специалистов;</w:t>
            </w:r>
          </w:p>
          <w:p w:rsidR="00FC16C6" w:rsidRPr="00D402A4" w:rsidRDefault="00FC16C6" w:rsidP="00D40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• одну консультацию по пяти областям медицины (онкология, неврология, ортопедия, кардиология и нефрология без привязки к дате постановки диагноза).</w:t>
            </w:r>
          </w:p>
          <w:p w:rsidR="00FC16C6" w:rsidRPr="007717A8" w:rsidRDefault="00FC16C6" w:rsidP="00D402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Медицинский перевод заключения на русский язык.</w:t>
            </w:r>
          </w:p>
        </w:tc>
      </w:tr>
      <w:tr w:rsidR="00FC16C6" w:rsidTr="00135989">
        <w:trPr>
          <w:trHeight w:val="454"/>
          <w:jc w:val="center"/>
        </w:trPr>
        <w:tc>
          <w:tcPr>
            <w:tcW w:w="438" w:type="dxa"/>
          </w:tcPr>
          <w:p w:rsidR="00FC16C6" w:rsidRPr="007717A8" w:rsidRDefault="00FC16C6" w:rsidP="0013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63" w:type="dxa"/>
          </w:tcPr>
          <w:p w:rsidR="00FC16C6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D402A4">
              <w:rPr>
                <w:rFonts w:ascii="Times New Roman" w:hAnsi="Times New Roman" w:cs="Times New Roman"/>
                <w:b/>
                <w:sz w:val="20"/>
                <w:szCs w:val="20"/>
              </w:rPr>
              <w:t>ысокоте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хнологичная медицинская помощь</w:t>
            </w:r>
            <w:r w:rsidR="001359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C16C6" w:rsidRPr="008030F7" w:rsidRDefault="002730E0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</w:t>
            </w:r>
            <w:r w:rsidR="00FC16C6" w:rsidRPr="008030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ля всех </w:t>
            </w:r>
            <w:r w:rsidR="00CE3F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застрах</w:t>
            </w:r>
            <w:r w:rsidR="00FC16C6" w:rsidRPr="008030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ованных по ДМС.</w:t>
            </w:r>
          </w:p>
          <w:p w:rsidR="00FC16C6" w:rsidRPr="007717A8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иком 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информационно-организационных услуг и содействия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ованным лицам для получения высокотехнологичной медицинской помощи (ВМП). Услуга предоставляется через вра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ча-куратора 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>Страховщика.</w:t>
            </w:r>
          </w:p>
        </w:tc>
      </w:tr>
      <w:tr w:rsidR="00FC16C6" w:rsidTr="002730E0">
        <w:trPr>
          <w:trHeight w:val="701"/>
          <w:jc w:val="center"/>
        </w:trPr>
        <w:tc>
          <w:tcPr>
            <w:tcW w:w="438" w:type="dxa"/>
          </w:tcPr>
          <w:p w:rsidR="00FC16C6" w:rsidRPr="007717A8" w:rsidRDefault="00186C40" w:rsidP="0013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163" w:type="dxa"/>
          </w:tcPr>
          <w:p w:rsidR="00FC16C6" w:rsidRPr="00D402A4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b/>
                <w:sz w:val="20"/>
                <w:szCs w:val="20"/>
              </w:rPr>
              <w:t>Дежурство бригады скорой медицинской помощ</w:t>
            </w:r>
            <w:r w:rsidRPr="00135989">
              <w:rPr>
                <w:rFonts w:ascii="Times New Roman" w:hAnsi="Times New Roman" w:cs="Times New Roman"/>
                <w:b/>
                <w:sz w:val="20"/>
                <w:szCs w:val="20"/>
              </w:rPr>
              <w:t>и.</w:t>
            </w:r>
          </w:p>
          <w:p w:rsidR="00FC16C6" w:rsidRPr="007717A8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Дежурство бригады скорой медицинской помощи на корпоративных мероприятиях без дополнительной оплаты (продолжительность д</w:t>
            </w:r>
            <w:r w:rsidR="0073596A">
              <w:rPr>
                <w:rFonts w:ascii="Times New Roman" w:hAnsi="Times New Roman" w:cs="Times New Roman"/>
                <w:sz w:val="20"/>
                <w:szCs w:val="20"/>
              </w:rPr>
              <w:t>ежурства до 6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часов, не менее </w:t>
            </w:r>
            <w:r w:rsidR="00D016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3596A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за один страховой 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год, по всей 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РФ).</w:t>
            </w:r>
          </w:p>
        </w:tc>
      </w:tr>
      <w:tr w:rsidR="00FC16C6" w:rsidTr="00135989">
        <w:trPr>
          <w:trHeight w:val="454"/>
          <w:jc w:val="center"/>
        </w:trPr>
        <w:tc>
          <w:tcPr>
            <w:tcW w:w="438" w:type="dxa"/>
          </w:tcPr>
          <w:p w:rsidR="00FC16C6" w:rsidRPr="007717A8" w:rsidRDefault="00186C40" w:rsidP="0013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63" w:type="dxa"/>
          </w:tcPr>
          <w:p w:rsidR="009C0185" w:rsidRDefault="00FC16C6" w:rsidP="002730E0">
            <w:pPr>
              <w:spacing w:after="0" w:line="240" w:lineRule="auto"/>
              <w:jc w:val="both"/>
            </w:pPr>
            <w:r w:rsidRPr="00D402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Программа </w:t>
            </w:r>
            <w:r w:rsidR="009C0185">
              <w:rPr>
                <w:rFonts w:ascii="Times New Roman" w:hAnsi="Times New Roman" w:cs="Times New Roman"/>
                <w:b/>
                <w:sz w:val="20"/>
                <w:szCs w:val="20"/>
              </w:rPr>
              <w:t>чек ап</w:t>
            </w:r>
          </w:p>
          <w:p w:rsidR="00FC16C6" w:rsidRDefault="00546E01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 (четыре) случая</w:t>
            </w:r>
            <w:r w:rsidR="009C01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на </w:t>
            </w:r>
            <w:r w:rsidR="00AF47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догов</w:t>
            </w:r>
            <w:r w:rsidR="009C01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ор </w:t>
            </w:r>
            <w:r w:rsidR="00FC16C6" w:rsidRPr="008030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</w:t>
            </w:r>
            <w:r w:rsidR="00CE3F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застрах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ованных по ДМС в г. Москва (за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искл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программ ВИП</w:t>
            </w:r>
            <w:r w:rsidR="00D10A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и ВИП</w:t>
            </w:r>
            <w:r w:rsidR="00D10A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2)</w:t>
            </w:r>
          </w:p>
          <w:p w:rsidR="009C0185" w:rsidRDefault="009C0185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услуг по чек-ап</w:t>
            </w:r>
          </w:p>
          <w:p w:rsidR="002730E0" w:rsidRDefault="009C0185" w:rsidP="002730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1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Мужчины:</w:t>
            </w:r>
            <w:r w:rsidRPr="009C018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Консультации: терапевта (2 врачебных приема), невролога, уролога, хирурга, офтальмолога и </w:t>
            </w:r>
            <w:proofErr w:type="spellStart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оториноларинголога</w:t>
            </w:r>
            <w:proofErr w:type="spellEnd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018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Лабораторно-инструментальные исследования: общий анализ крови; биохимический анализ крови: АЛТ, АСТ, билирубин общий, триглицериды, </w:t>
            </w:r>
            <w:proofErr w:type="spellStart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креатинин</w:t>
            </w:r>
            <w:proofErr w:type="spellEnd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 xml:space="preserve">, мочевина, мочевая кислота, общий белок, глюкоза, исследование уровня липидов в крови: общий холестерин, холестерин ЛОНП, холестерин ЛНП, холестерин ЛВП, триглицериды, индекс </w:t>
            </w:r>
            <w:proofErr w:type="spellStart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атерогенности</w:t>
            </w:r>
            <w:proofErr w:type="spellEnd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 xml:space="preserve">; определение 25-ОН витамина D в крови, ТТГ, Т4 свободный, </w:t>
            </w:r>
            <w:proofErr w:type="spellStart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онкомаркеры</w:t>
            </w:r>
            <w:proofErr w:type="spellEnd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 xml:space="preserve"> -  простат-специфический антиген (общий ПСА), раково-эмбриональный антиген (РЭА), СА 19-9, СА 72-4, общий анализ мочи; электрокардиограмма с расшифровкой; флюорография /или КТ органов грудной клетки; УЗИ органов брюшной полости, почек, надпочечников, мочевого пузыря, ТРУЗИ предстательной железы; определение простат-специфического антигена в крови у муж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>чин в возрасте 45 лет и старше.</w:t>
            </w:r>
          </w:p>
          <w:p w:rsidR="009C0185" w:rsidRPr="007717A8" w:rsidRDefault="009C0185" w:rsidP="002730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1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Женщины:</w:t>
            </w:r>
            <w:r w:rsidRPr="009C018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Консультации: терапевта (2 врачебных приема), невролога, гинеколога (2 врачебных приема), хирурга, офтальмолога и </w:t>
            </w:r>
            <w:proofErr w:type="spellStart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оториноларинголога</w:t>
            </w:r>
            <w:proofErr w:type="spellEnd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018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Лабораторно-инструментальные исследования: общий анализ крови; биохимический анализ крови: АЛТ, АСТ, билирубин общий, триглицериды, </w:t>
            </w:r>
            <w:proofErr w:type="spellStart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креатинин</w:t>
            </w:r>
            <w:proofErr w:type="spellEnd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 xml:space="preserve">, мочевина, мочевая кислота, общий белок, глюкоза; исследование уровня липидов в крови: общий холестерин, холестерин ЛОНП, холестерин ЛНП, холестерин ЛВП, триглицериды, индекс </w:t>
            </w:r>
            <w:proofErr w:type="spellStart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атерогенности</w:t>
            </w:r>
            <w:proofErr w:type="spellEnd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 xml:space="preserve">; определение 25-ОН витамина D в </w:t>
            </w:r>
            <w:proofErr w:type="spellStart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кровиуровень</w:t>
            </w:r>
            <w:proofErr w:type="spellEnd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ферритина</w:t>
            </w:r>
            <w:proofErr w:type="spellEnd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 xml:space="preserve"> в крови, ТТГ, Т4 свободный, </w:t>
            </w:r>
            <w:proofErr w:type="spellStart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онкомаркеры</w:t>
            </w:r>
            <w:proofErr w:type="spellEnd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 xml:space="preserve"> - альфа-</w:t>
            </w:r>
            <w:proofErr w:type="spellStart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фетопротеин</w:t>
            </w:r>
            <w:proofErr w:type="spellEnd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, раково-эмбриональный антиген (РЭА), антиген СА 19–9, антиген СА 125, антиген СА 15–3, антиген СА 72–4; общий анализ мочи; электрокардиограмма с расшифровкой; флюорография /или КТ органов грудной клетки; УЗИ органов брюшной полости, почек, надпочечников, мочевого пузыря, органов малого таза; цитологическое исследование соскоба (</w:t>
            </w:r>
            <w:proofErr w:type="spellStart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эндоцервикс</w:t>
            </w:r>
            <w:proofErr w:type="spellEnd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экзоцервикс</w:t>
            </w:r>
            <w:proofErr w:type="spellEnd"/>
            <w:r w:rsidRPr="009C0185">
              <w:rPr>
                <w:rFonts w:ascii="Times New Roman" w:hAnsi="Times New Roman" w:cs="Times New Roman"/>
                <w:sz w:val="20"/>
                <w:szCs w:val="20"/>
              </w:rPr>
              <w:t>), микроскопическое исследование влагалищных мазков (2-3 точки: "U","C", "V"). УЗИ молочной железы и/или маммография (маммография проводится для застрахованных женщин от 40 лет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 xml:space="preserve"> и старше или по </w:t>
            </w:r>
            <w:proofErr w:type="spellStart"/>
            <w:r w:rsidR="002730E0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показаниям</w:t>
            </w:r>
            <w:proofErr w:type="spellEnd"/>
            <w:r w:rsidR="002730E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FC16C6" w:rsidTr="00135989">
        <w:trPr>
          <w:trHeight w:val="454"/>
          <w:jc w:val="center"/>
        </w:trPr>
        <w:tc>
          <w:tcPr>
            <w:tcW w:w="438" w:type="dxa"/>
          </w:tcPr>
          <w:p w:rsidR="00FC16C6" w:rsidRPr="007717A8" w:rsidRDefault="00186C40" w:rsidP="0013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63" w:type="dxa"/>
          </w:tcPr>
          <w:p w:rsidR="00FC16C6" w:rsidRPr="00D402A4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b/>
                <w:sz w:val="20"/>
                <w:szCs w:val="20"/>
              </w:rPr>
              <w:t>«Личный кабинет для HR»</w:t>
            </w:r>
            <w:r w:rsidR="001359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C16C6" w:rsidRPr="00D402A4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Общие требования к работе HR портала:</w:t>
            </w:r>
          </w:p>
          <w:p w:rsidR="00FC16C6" w:rsidRPr="00D402A4" w:rsidRDefault="00FC16C6" w:rsidP="002730E0">
            <w:pPr>
              <w:pStyle w:val="a3"/>
              <w:numPr>
                <w:ilvl w:val="0"/>
                <w:numId w:val="6"/>
              </w:numPr>
              <w:tabs>
                <w:tab w:val="left" w:pos="189"/>
              </w:tabs>
              <w:spacing w:after="0" w:line="240" w:lineRule="auto"/>
              <w:ind w:left="163" w:hanging="1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Доступ в режиме 24/7 через механизм «пароль/логин». </w:t>
            </w:r>
          </w:p>
          <w:p w:rsidR="00FC16C6" w:rsidRPr="00D402A4" w:rsidRDefault="00CE3F7B" w:rsidP="002730E0">
            <w:pPr>
              <w:pStyle w:val="a3"/>
              <w:numPr>
                <w:ilvl w:val="0"/>
                <w:numId w:val="6"/>
              </w:numPr>
              <w:tabs>
                <w:tab w:val="left" w:pos="189"/>
              </w:tabs>
              <w:spacing w:after="0" w:line="240" w:lineRule="auto"/>
              <w:ind w:left="163" w:hanging="1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 w:rsidR="00FC16C6" w:rsidRPr="00D402A4">
              <w:rPr>
                <w:rFonts w:ascii="Times New Roman" w:hAnsi="Times New Roman" w:cs="Times New Roman"/>
                <w:sz w:val="20"/>
                <w:szCs w:val="20"/>
              </w:rPr>
              <w:t>ик обеспечивает соблюдение 152-ФЗ "О защите персональных данных" в рамках исполнения поручений Страхователя, требующих обработки персональных данных.</w:t>
            </w:r>
          </w:p>
          <w:p w:rsidR="00FC16C6" w:rsidRPr="00D402A4" w:rsidRDefault="00FC16C6" w:rsidP="002730E0">
            <w:pPr>
              <w:pStyle w:val="a3"/>
              <w:numPr>
                <w:ilvl w:val="0"/>
                <w:numId w:val="6"/>
              </w:numPr>
              <w:tabs>
                <w:tab w:val="left" w:pos="189"/>
              </w:tabs>
              <w:spacing w:after="0" w:line="240" w:lineRule="auto"/>
              <w:ind w:left="163" w:hanging="1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HR портал должен поддерживаться операционной системой семейства </w:t>
            </w: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от уровня XP и выше в браузерах IE 10.0, </w:t>
            </w: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Mozilla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Firefox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Portable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12.0, </w:t>
            </w: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Chrome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49.0 и выше.</w:t>
            </w:r>
          </w:p>
          <w:p w:rsidR="00FC16C6" w:rsidRPr="00D402A4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6C6" w:rsidRPr="00D402A4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Требования к функциональности HR портала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C16C6" w:rsidRPr="00D402A4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РАЗДЕЛ «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ДОГОВ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ОР ДМС»</w:t>
            </w:r>
          </w:p>
          <w:p w:rsidR="00FC16C6" w:rsidRPr="00D402A4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Данный раздел должен включать в себя следующую информацию по юр. лицу:</w:t>
            </w:r>
          </w:p>
          <w:p w:rsidR="00FC16C6" w:rsidRPr="00D402A4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I. «ОБЩАЯ ИНФОРМАЦИЯ»:</w:t>
            </w:r>
          </w:p>
          <w:p w:rsidR="00FC16C6" w:rsidRPr="00D402A4" w:rsidRDefault="00FC16C6" w:rsidP="002730E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63" w:hanging="1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срок действия 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догов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ора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16C6" w:rsidRPr="00D402A4" w:rsidRDefault="00FC16C6" w:rsidP="002730E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63" w:hanging="1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актуальное количество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ованных на заданную дату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C16C6" w:rsidRPr="00D402A4" w:rsidRDefault="00FC16C6" w:rsidP="002730E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63" w:hanging="1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актуальный список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ованных на заданную дату с указанием ФИО, планами и др. и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возможность экспорта списка в </w:t>
            </w:r>
            <w:proofErr w:type="spellStart"/>
            <w:r w:rsidR="002730E0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ксель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в заданном Страхователем формате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16C6" w:rsidRPr="00D402A4" w:rsidRDefault="00FC16C6" w:rsidP="002730E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63" w:hanging="1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сумма годовой премии по 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догов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ору на заданную дату (начисленной, оплаченной и подлежащей оплате)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C16C6" w:rsidRPr="00D402A4" w:rsidRDefault="00FC16C6" w:rsidP="002730E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63" w:hanging="1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контактная информация менеджера-куратора по 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догов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ору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C16C6" w:rsidRPr="00D402A4" w:rsidRDefault="00FC16C6" w:rsidP="002730E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63" w:hanging="1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возм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>ожность скачать печатную форму П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олиса по каждому сотруднику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16C6" w:rsidRPr="00D402A4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II. «ДОКУМЕНТЫ»</w:t>
            </w:r>
          </w:p>
          <w:p w:rsidR="00FC16C6" w:rsidRPr="00D402A4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Раздел «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ДОГОВ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ОР»: текст подписанного 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догов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ора с приложениями (в формате </w:t>
            </w: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сканкопия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подписанного 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догов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ора). </w:t>
            </w:r>
          </w:p>
          <w:p w:rsidR="00FC16C6" w:rsidRPr="00D402A4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Раздел «ДОПОЛНИТЕЛЬНЫЕ СОГЛАШЕНИЯ»: </w:t>
            </w:r>
          </w:p>
          <w:p w:rsidR="00FC16C6" w:rsidRPr="00D402A4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список подписанны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>х дополнительных с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оглашений с общей информацией (когда подписан, на какую сумму и т.д.), а также возможность экспорта Страхователем подготовленного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иком для подписания Страх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>ователем очередного проекта дополнительного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 (должен быть загружен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иком в течение 5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 xml:space="preserve"> (пяти)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после окончания отчетного квартала) и загрузка Страхова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 xml:space="preserve">телем </w:t>
            </w:r>
            <w:proofErr w:type="spellStart"/>
            <w:r w:rsidR="002730E0">
              <w:rPr>
                <w:rFonts w:ascii="Times New Roman" w:hAnsi="Times New Roman" w:cs="Times New Roman"/>
                <w:sz w:val="20"/>
                <w:szCs w:val="20"/>
              </w:rPr>
              <w:t>сканкопии</w:t>
            </w:r>
            <w:proofErr w:type="spellEnd"/>
            <w:r w:rsidR="002730E0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подписанных дополнительных с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оглашений.  </w:t>
            </w:r>
          </w:p>
          <w:p w:rsidR="00FC16C6" w:rsidRPr="00D402A4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Раздел «СЧЕТА»: </w:t>
            </w:r>
          </w:p>
          <w:p w:rsidR="00FC16C6" w:rsidRPr="00D402A4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список выставленных счетов с указанием суммы счета со статусом «оплачено/подлежит оплате до» и возможность загрузить </w:t>
            </w:r>
            <w:proofErr w:type="spellStart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сканкопию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 счета и платежного поручения по факту оплаты счета Страхователем.</w:t>
            </w:r>
          </w:p>
          <w:p w:rsidR="00FC16C6" w:rsidRPr="00D402A4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III. «ДЕЙСТВИЯ СО СПИСКОМ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ОВАННЫХ»:</w:t>
            </w:r>
          </w:p>
          <w:p w:rsidR="00FC16C6" w:rsidRPr="00D402A4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Раздел «ПРИКРЕПЛЕНИЯ»</w:t>
            </w:r>
          </w:p>
          <w:p w:rsidR="00FC16C6" w:rsidRPr="00D402A4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Раздел «ОТКРЕПЛЕНИЯ» </w:t>
            </w:r>
          </w:p>
          <w:p w:rsidR="00FC16C6" w:rsidRPr="00D402A4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Раздел «ИЗМЕНЕНИЕ ПЛАНА»</w:t>
            </w:r>
          </w:p>
          <w:p w:rsidR="00FC16C6" w:rsidRPr="00D402A4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Раздел «ИЗМЕНЕНИЕ ЛИЧНЫХ ДАННЫХ»</w:t>
            </w:r>
          </w:p>
          <w:p w:rsidR="00FC16C6" w:rsidRPr="00D402A4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Примечание:</w:t>
            </w:r>
          </w:p>
          <w:p w:rsidR="00FC16C6" w:rsidRPr="00D402A4" w:rsidRDefault="00FC16C6" w:rsidP="002730E0">
            <w:pPr>
              <w:tabs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В каждом разделе предусмотреть возможность: </w:t>
            </w:r>
          </w:p>
          <w:p w:rsidR="00FC16C6" w:rsidRPr="00EF2580" w:rsidRDefault="00FC16C6" w:rsidP="002730E0">
            <w:pPr>
              <w:pStyle w:val="a3"/>
              <w:numPr>
                <w:ilvl w:val="1"/>
                <w:numId w:val="10"/>
              </w:numPr>
              <w:tabs>
                <w:tab w:val="left" w:pos="304"/>
              </w:tabs>
              <w:spacing w:after="0" w:line="240" w:lineRule="auto"/>
              <w:ind w:left="163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 xml:space="preserve">прикрепить/открепить/изменить план/изменить личную информацию вручную, заполнив соответствующие поля по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>ованному на сайте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16C6" w:rsidRPr="00EF2580" w:rsidRDefault="00FC16C6" w:rsidP="002730E0">
            <w:pPr>
              <w:pStyle w:val="a3"/>
              <w:numPr>
                <w:ilvl w:val="1"/>
                <w:numId w:val="10"/>
              </w:numPr>
              <w:tabs>
                <w:tab w:val="left" w:pos="304"/>
              </w:tabs>
              <w:spacing w:after="0" w:line="240" w:lineRule="auto"/>
              <w:ind w:left="163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>заг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 xml:space="preserve">рузить информацию через импорт </w:t>
            </w:r>
            <w:proofErr w:type="spellStart"/>
            <w:r w:rsidR="002730E0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>ксель</w:t>
            </w:r>
            <w:proofErr w:type="spellEnd"/>
            <w:r w:rsidRPr="00EF2580">
              <w:rPr>
                <w:rFonts w:ascii="Times New Roman" w:hAnsi="Times New Roman" w:cs="Times New Roman"/>
                <w:sz w:val="20"/>
                <w:szCs w:val="20"/>
              </w:rPr>
              <w:t xml:space="preserve"> файла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16C6" w:rsidRPr="00D402A4" w:rsidRDefault="00FC16C6" w:rsidP="002730E0">
            <w:pPr>
              <w:tabs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ab/>
              <w:t>Должна быть предусмотрена возможность п</w:t>
            </w:r>
            <w:r w:rsidR="00AD780E">
              <w:rPr>
                <w:rFonts w:ascii="Times New Roman" w:hAnsi="Times New Roman" w:cs="Times New Roman"/>
                <w:sz w:val="20"/>
                <w:szCs w:val="20"/>
              </w:rPr>
              <w:t>оиска сотрудника и родственника.</w:t>
            </w:r>
          </w:p>
          <w:p w:rsidR="00FC16C6" w:rsidRPr="00D402A4" w:rsidRDefault="00FC16C6" w:rsidP="002730E0">
            <w:pPr>
              <w:tabs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IV. «СТАТИСТИЧЕСКИЕ ОТЧЕТЫ»</w:t>
            </w:r>
          </w:p>
          <w:p w:rsidR="00FC16C6" w:rsidRPr="00D402A4" w:rsidRDefault="00FC16C6" w:rsidP="002730E0">
            <w:pPr>
              <w:tabs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Раздел «ВЫПЛАТЫ»: </w:t>
            </w:r>
          </w:p>
          <w:p w:rsidR="00FC16C6" w:rsidRPr="00D402A4" w:rsidRDefault="00FC16C6" w:rsidP="002730E0">
            <w:pPr>
              <w:tabs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возможность наглядно (в виде графиков) на заданную дату видеть выплаты по ЛПУ, по городу обслуживания и по страховым рискам в разрезе сотрудники/родственники/дети с возможностью выгрузки д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 xml:space="preserve">анных в </w:t>
            </w:r>
            <w:proofErr w:type="spellStart"/>
            <w:r w:rsidR="002730E0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ксель</w:t>
            </w:r>
            <w:proofErr w:type="spellEnd"/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C16C6" w:rsidRPr="00D402A4" w:rsidRDefault="00FC16C6" w:rsidP="002730E0">
            <w:pPr>
              <w:tabs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«УБЫТОЧНОСТЬ»: коэффициент убыточности по каждому 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догов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ору на заданную дату.</w:t>
            </w:r>
          </w:p>
          <w:p w:rsidR="00FC16C6" w:rsidRPr="00D402A4" w:rsidRDefault="002730E0" w:rsidP="002730E0">
            <w:pPr>
              <w:tabs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FC16C6" w:rsidRPr="00D40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C16C6" w:rsidRPr="00D402A4">
              <w:rPr>
                <w:rFonts w:ascii="Times New Roman" w:hAnsi="Times New Roman" w:cs="Times New Roman"/>
                <w:sz w:val="20"/>
                <w:szCs w:val="20"/>
              </w:rPr>
              <w:tab/>
              <w:t>РАЗДЕЛ «ИСТОРИЯ»</w:t>
            </w:r>
          </w:p>
          <w:p w:rsidR="00FC16C6" w:rsidRPr="007717A8" w:rsidRDefault="00FC16C6" w:rsidP="0027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 xml:space="preserve">Маршрут движения документов, а также история изменений администратором Страхователя на HR-портале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 w:rsidRPr="00D402A4">
              <w:rPr>
                <w:rFonts w:ascii="Times New Roman" w:hAnsi="Times New Roman" w:cs="Times New Roman"/>
                <w:sz w:val="20"/>
                <w:szCs w:val="20"/>
              </w:rPr>
              <w:t>ика (кто, когда и во сколько отправил списки на прикрепление или открепление, изменял личные данные, загружал документы и т.д.)</w:t>
            </w:r>
            <w:r w:rsidR="002730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C16C6" w:rsidTr="00135989">
        <w:trPr>
          <w:trHeight w:val="454"/>
          <w:jc w:val="center"/>
        </w:trPr>
        <w:tc>
          <w:tcPr>
            <w:tcW w:w="438" w:type="dxa"/>
          </w:tcPr>
          <w:p w:rsidR="00FC16C6" w:rsidRDefault="00186C40" w:rsidP="0013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63" w:type="dxa"/>
          </w:tcPr>
          <w:p w:rsidR="00FC16C6" w:rsidRDefault="00FC16C6" w:rsidP="00EF25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5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Личный кабинет на сайте </w:t>
            </w:r>
            <w:r w:rsidR="00CE3F7B">
              <w:rPr>
                <w:rFonts w:ascii="Times New Roman" w:hAnsi="Times New Roman" w:cs="Times New Roman"/>
                <w:b/>
                <w:sz w:val="20"/>
                <w:szCs w:val="20"/>
              </w:rPr>
              <w:t>Страховщ</w:t>
            </w:r>
            <w:r w:rsidRPr="00EF2580">
              <w:rPr>
                <w:rFonts w:ascii="Times New Roman" w:hAnsi="Times New Roman" w:cs="Times New Roman"/>
                <w:b/>
                <w:sz w:val="20"/>
                <w:szCs w:val="20"/>
              </w:rPr>
              <w:t>ика и в мобильном приложении</w:t>
            </w:r>
            <w:r w:rsidR="001359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C16C6" w:rsidRPr="008030F7" w:rsidRDefault="002730E0" w:rsidP="00EF2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</w:t>
            </w:r>
            <w:r w:rsidR="00FC16C6" w:rsidRPr="008030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ля всех </w:t>
            </w:r>
            <w:r w:rsidR="00CE3F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застрах</w:t>
            </w:r>
            <w:r w:rsidR="00FC16C6" w:rsidRPr="008030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ованных по ДМС.</w:t>
            </w:r>
          </w:p>
          <w:p w:rsidR="00FC16C6" w:rsidRPr="00EF2580" w:rsidRDefault="00135989" w:rsidP="00EF2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  <w:r w:rsidR="00FC16C6" w:rsidRPr="00EF2580">
              <w:rPr>
                <w:rFonts w:ascii="Times New Roman" w:hAnsi="Times New Roman" w:cs="Times New Roman"/>
                <w:sz w:val="20"/>
                <w:szCs w:val="20"/>
              </w:rPr>
              <w:t xml:space="preserve">лайн сервис, в котором можно получить следующую информацию по 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догов</w:t>
            </w:r>
            <w:r w:rsidR="00FC16C6" w:rsidRPr="00EF2580">
              <w:rPr>
                <w:rFonts w:ascii="Times New Roman" w:hAnsi="Times New Roman" w:cs="Times New Roman"/>
                <w:sz w:val="20"/>
                <w:szCs w:val="20"/>
              </w:rPr>
              <w:t>ору ДМС:</w:t>
            </w:r>
          </w:p>
          <w:p w:rsidR="00FC16C6" w:rsidRPr="001F08E3" w:rsidRDefault="002730E0" w:rsidP="001F08E3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6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F08E3">
              <w:rPr>
                <w:rFonts w:ascii="Times New Roman" w:hAnsi="Times New Roman" w:cs="Times New Roman"/>
                <w:sz w:val="20"/>
                <w:szCs w:val="20"/>
              </w:rPr>
              <w:t>номер Полиса;</w:t>
            </w:r>
          </w:p>
          <w:p w:rsidR="00FC16C6" w:rsidRPr="001F08E3" w:rsidRDefault="002730E0" w:rsidP="001F08E3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6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F08E3">
              <w:rPr>
                <w:rFonts w:ascii="Times New Roman" w:hAnsi="Times New Roman" w:cs="Times New Roman"/>
                <w:sz w:val="20"/>
                <w:szCs w:val="20"/>
              </w:rPr>
              <w:t xml:space="preserve">сроки действия </w:t>
            </w:r>
            <w:r w:rsidR="001F08E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F08E3">
              <w:rPr>
                <w:rFonts w:ascii="Times New Roman" w:hAnsi="Times New Roman" w:cs="Times New Roman"/>
                <w:sz w:val="20"/>
                <w:szCs w:val="20"/>
              </w:rPr>
              <w:t>олиса;</w:t>
            </w:r>
          </w:p>
          <w:p w:rsidR="00FC16C6" w:rsidRPr="001F08E3" w:rsidRDefault="002730E0" w:rsidP="001F08E3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6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F08E3">
              <w:rPr>
                <w:rFonts w:ascii="Times New Roman" w:hAnsi="Times New Roman" w:cs="Times New Roman"/>
                <w:sz w:val="20"/>
                <w:szCs w:val="20"/>
              </w:rPr>
              <w:t>контакты врача-куратора</w:t>
            </w:r>
            <w:r w:rsidR="001F08E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C16C6" w:rsidRPr="001F08E3" w:rsidRDefault="001F08E3" w:rsidP="001F08E3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6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C16C6" w:rsidRPr="001F08E3">
              <w:rPr>
                <w:rFonts w:ascii="Times New Roman" w:hAnsi="Times New Roman" w:cs="Times New Roman"/>
                <w:sz w:val="20"/>
                <w:szCs w:val="20"/>
              </w:rPr>
              <w:t>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акты административного куратора;</w:t>
            </w:r>
          </w:p>
          <w:p w:rsidR="00FC16C6" w:rsidRPr="001F08E3" w:rsidRDefault="001F08E3" w:rsidP="001F08E3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6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C16C6" w:rsidRPr="001F08E3">
              <w:rPr>
                <w:rFonts w:ascii="Times New Roman" w:hAnsi="Times New Roman" w:cs="Times New Roman"/>
                <w:sz w:val="20"/>
                <w:szCs w:val="20"/>
              </w:rPr>
              <w:t xml:space="preserve">еречень лечебных учреждений по 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страхования (на карте, списком);</w:t>
            </w:r>
          </w:p>
          <w:p w:rsidR="00FC16C6" w:rsidRPr="001F08E3" w:rsidRDefault="001F08E3" w:rsidP="001F08E3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6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C16C6" w:rsidRPr="001F08E3">
              <w:rPr>
                <w:rFonts w:ascii="Times New Roman" w:hAnsi="Times New Roman" w:cs="Times New Roman"/>
                <w:sz w:val="20"/>
                <w:szCs w:val="20"/>
              </w:rPr>
              <w:t xml:space="preserve">анные </w:t>
            </w:r>
            <w:r w:rsidR="00CE3F7B" w:rsidRPr="001F08E3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ованного лица;</w:t>
            </w:r>
          </w:p>
          <w:p w:rsidR="00FC16C6" w:rsidRPr="001F08E3" w:rsidRDefault="001F08E3" w:rsidP="001F08E3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6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C16C6" w:rsidRPr="001F08E3">
              <w:rPr>
                <w:rFonts w:ascii="Times New Roman" w:hAnsi="Times New Roman" w:cs="Times New Roman"/>
                <w:sz w:val="20"/>
                <w:szCs w:val="20"/>
              </w:rPr>
              <w:t>аявка на запись в ЛПУ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C16C6" w:rsidRPr="001F08E3" w:rsidRDefault="001F08E3" w:rsidP="001F08E3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6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C16C6" w:rsidRPr="001F08E3">
              <w:rPr>
                <w:rFonts w:ascii="Times New Roman" w:hAnsi="Times New Roman" w:cs="Times New Roman"/>
                <w:sz w:val="20"/>
                <w:szCs w:val="20"/>
              </w:rPr>
              <w:t xml:space="preserve">нтеграция ЛК </w:t>
            </w:r>
            <w:r w:rsidR="00CE3F7B" w:rsidRPr="001F08E3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="00FC16C6" w:rsidRPr="001F08E3">
              <w:rPr>
                <w:rFonts w:ascii="Times New Roman" w:hAnsi="Times New Roman" w:cs="Times New Roman"/>
                <w:sz w:val="20"/>
                <w:szCs w:val="20"/>
              </w:rPr>
              <w:t>ованного ребенка и родителя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C16C6" w:rsidRPr="001F08E3" w:rsidRDefault="001F08E3" w:rsidP="001F08E3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6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C16C6" w:rsidRPr="001F08E3">
              <w:rPr>
                <w:rFonts w:ascii="Times New Roman" w:hAnsi="Times New Roman" w:cs="Times New Roman"/>
                <w:sz w:val="20"/>
                <w:szCs w:val="20"/>
              </w:rPr>
              <w:t xml:space="preserve">озможность для </w:t>
            </w:r>
            <w:r w:rsidR="00CE3F7B" w:rsidRPr="001F08E3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="00FC16C6" w:rsidRPr="001F08E3">
              <w:rPr>
                <w:rFonts w:ascii="Times New Roman" w:hAnsi="Times New Roman" w:cs="Times New Roman"/>
                <w:sz w:val="20"/>
                <w:szCs w:val="20"/>
              </w:rPr>
              <w:t>ованного само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стоятельно выписать «бонусный» П</w:t>
            </w:r>
            <w:r w:rsidR="00FC16C6" w:rsidRPr="001F08E3">
              <w:rPr>
                <w:rFonts w:ascii="Times New Roman" w:hAnsi="Times New Roman" w:cs="Times New Roman"/>
                <w:sz w:val="20"/>
                <w:szCs w:val="20"/>
              </w:rPr>
              <w:t>олис ВЗР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C16C6" w:rsidTr="00135989">
        <w:trPr>
          <w:trHeight w:val="454"/>
          <w:jc w:val="center"/>
        </w:trPr>
        <w:tc>
          <w:tcPr>
            <w:tcW w:w="438" w:type="dxa"/>
          </w:tcPr>
          <w:p w:rsidR="00FC16C6" w:rsidRDefault="00186C40" w:rsidP="0013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63" w:type="dxa"/>
          </w:tcPr>
          <w:p w:rsidR="00FC16C6" w:rsidRDefault="00FC16C6" w:rsidP="00EF25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580">
              <w:rPr>
                <w:rFonts w:ascii="Times New Roman" w:hAnsi="Times New Roman" w:cs="Times New Roman"/>
                <w:b/>
                <w:sz w:val="20"/>
                <w:szCs w:val="20"/>
              </w:rPr>
              <w:t>Страхование родственников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FC16C6" w:rsidRPr="008030F7" w:rsidRDefault="001F08E3" w:rsidP="00EF2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</w:t>
            </w:r>
            <w:r w:rsidR="00FC16C6" w:rsidRPr="008030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ля всех </w:t>
            </w:r>
            <w:r w:rsidR="00CE3F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застрах</w:t>
            </w:r>
            <w:r w:rsidR="00FC16C6" w:rsidRPr="008030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ованных по ДМС.</w:t>
            </w:r>
          </w:p>
          <w:p w:rsidR="00FC16C6" w:rsidRPr="00E97896" w:rsidRDefault="00FC16C6" w:rsidP="001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страхования родственников (родителей, супругов, детей) по корпоративным тарифам и на корпоративных условиях в рамках индивидуальных 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догов</w:t>
            </w: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 xml:space="preserve">оров ДМС, заключаемых между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Страховщ</w:t>
            </w: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 xml:space="preserve">иком и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="001F08E3">
              <w:rPr>
                <w:rFonts w:ascii="Times New Roman" w:hAnsi="Times New Roman" w:cs="Times New Roman"/>
                <w:sz w:val="20"/>
                <w:szCs w:val="20"/>
              </w:rPr>
              <w:t>ованным лицом - работником С</w:t>
            </w: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 xml:space="preserve">трахователя. Принятие на страхование осуществляется в течение 90 </w:t>
            </w:r>
            <w:r w:rsidRPr="00EF25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(девяноста) календарных дней с даты принятия на страхование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>ованного лица (работника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1EF9">
              <w:rPr>
                <w:rFonts w:ascii="Times New Roman" w:hAnsi="Times New Roman" w:cs="Times New Roman"/>
                <w:sz w:val="20"/>
                <w:szCs w:val="20"/>
              </w:rPr>
              <w:t xml:space="preserve">Родственники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принимаю</w:t>
            </w:r>
            <w:r w:rsidRPr="003B1EF9">
              <w:rPr>
                <w:rFonts w:ascii="Times New Roman" w:hAnsi="Times New Roman" w:cs="Times New Roman"/>
                <w:sz w:val="20"/>
                <w:szCs w:val="20"/>
              </w:rPr>
              <w:t xml:space="preserve">тся на страхование без анкетирования по программам и тарифам </w:t>
            </w:r>
            <w:r w:rsidR="001F08E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огов</w:t>
            </w:r>
            <w:r w:rsidRPr="003B1EF9">
              <w:rPr>
                <w:rFonts w:ascii="Times New Roman" w:hAnsi="Times New Roman" w:cs="Times New Roman"/>
                <w:sz w:val="20"/>
                <w:szCs w:val="20"/>
              </w:rPr>
              <w:t>ора с коэффициентом 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 xml:space="preserve">Прикрепление и внесение изменений в </w:t>
            </w:r>
            <w:r w:rsidR="001F08E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огов</w:t>
            </w: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>ор страхования родственников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осуществляется в срок до </w:t>
            </w:r>
            <w:r w:rsidR="004D64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F08E3">
              <w:rPr>
                <w:rFonts w:ascii="Times New Roman" w:hAnsi="Times New Roman" w:cs="Times New Roman"/>
                <w:sz w:val="20"/>
                <w:szCs w:val="20"/>
              </w:rPr>
              <w:t>-х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месяцев</w:t>
            </w: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 xml:space="preserve"> до даты окончания срока действия 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догов</w:t>
            </w:r>
            <w:r w:rsidRPr="00EF2580">
              <w:rPr>
                <w:rFonts w:ascii="Times New Roman" w:hAnsi="Times New Roman" w:cs="Times New Roman"/>
                <w:sz w:val="20"/>
                <w:szCs w:val="20"/>
              </w:rPr>
              <w:t xml:space="preserve">ора. При увольнении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ованного работника </w:t>
            </w:r>
            <w:r w:rsidR="001F08E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огов</w:t>
            </w:r>
            <w:r w:rsidR="00E97896" w:rsidRPr="00E97896">
              <w:rPr>
                <w:rFonts w:ascii="Times New Roman" w:hAnsi="Times New Roman" w:cs="Times New Roman"/>
                <w:sz w:val="20"/>
                <w:szCs w:val="20"/>
              </w:rPr>
              <w:t xml:space="preserve">ор не расторгается и действует до окончания срока, указанного в 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догов</w:t>
            </w:r>
            <w:r w:rsidR="00E97896" w:rsidRPr="00E97896">
              <w:rPr>
                <w:rFonts w:ascii="Times New Roman" w:hAnsi="Times New Roman" w:cs="Times New Roman"/>
                <w:sz w:val="20"/>
                <w:szCs w:val="20"/>
              </w:rPr>
              <w:t>оре.</w:t>
            </w:r>
          </w:p>
          <w:p w:rsidR="00FC16C6" w:rsidRDefault="00FC16C6" w:rsidP="001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6C6" w:rsidRDefault="00FC16C6" w:rsidP="001F08E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</w:t>
            </w:r>
            <w:r w:rsidR="00CE3F7B">
              <w:rPr>
                <w:rFonts w:ascii="Times New Roman" w:hAnsi="Times New Roman" w:cs="Times New Roman"/>
                <w:b/>
                <w:sz w:val="20"/>
                <w:szCs w:val="20"/>
              </w:rPr>
              <w:t>застрах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ованного на более высокую категорию программы.</w:t>
            </w:r>
            <w:r>
              <w:t xml:space="preserve"> </w:t>
            </w:r>
          </w:p>
          <w:p w:rsidR="00FC16C6" w:rsidRPr="008030F7" w:rsidRDefault="001F08E3" w:rsidP="001F08E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</w:t>
            </w:r>
            <w:r w:rsidR="00FC16C6" w:rsidRPr="008030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ля всех </w:t>
            </w:r>
            <w:r w:rsidR="00CE3F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застрах</w:t>
            </w:r>
            <w:r w:rsidR="00FC16C6" w:rsidRPr="008030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ованных по ДМС.</w:t>
            </w:r>
            <w:bookmarkStart w:id="0" w:name="_GoBack"/>
            <w:bookmarkEnd w:id="0"/>
          </w:p>
          <w:p w:rsidR="00FC16C6" w:rsidRPr="007717A8" w:rsidRDefault="00FC16C6" w:rsidP="001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ованных сотрудников предоставляется возможность о</w:t>
            </w:r>
            <w:r w:rsidRPr="003B1EF9">
              <w:rPr>
                <w:rFonts w:ascii="Times New Roman" w:hAnsi="Times New Roman" w:cs="Times New Roman"/>
                <w:sz w:val="20"/>
                <w:szCs w:val="20"/>
              </w:rPr>
              <w:t xml:space="preserve">формить перевод в более высокую категорию Программы страхования при возмещении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3B1EF9">
              <w:rPr>
                <w:rFonts w:ascii="Times New Roman" w:hAnsi="Times New Roman" w:cs="Times New Roman"/>
                <w:sz w:val="20"/>
                <w:szCs w:val="20"/>
              </w:rPr>
              <w:t xml:space="preserve">ованным лицом стоимостной разницы страховой премии за каждый год страхования за свой счет, при этом данная разница рассчитывается по дням пропорционально не истекшему сроку действия </w:t>
            </w:r>
            <w:r w:rsidR="001F08E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F47CB">
              <w:rPr>
                <w:rFonts w:ascii="Times New Roman" w:hAnsi="Times New Roman" w:cs="Times New Roman"/>
                <w:sz w:val="20"/>
                <w:szCs w:val="20"/>
              </w:rPr>
              <w:t>огов</w:t>
            </w:r>
            <w:r w:rsidRPr="003B1EF9">
              <w:rPr>
                <w:rFonts w:ascii="Times New Roman" w:hAnsi="Times New Roman" w:cs="Times New Roman"/>
                <w:sz w:val="20"/>
                <w:szCs w:val="20"/>
              </w:rPr>
              <w:t>ора в течение 90 (девяноста) календарных дней с даты принятия на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трахование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ованного лица.</w:t>
            </w:r>
          </w:p>
        </w:tc>
      </w:tr>
      <w:tr w:rsidR="00FC16C6" w:rsidTr="00135989">
        <w:trPr>
          <w:trHeight w:val="454"/>
          <w:jc w:val="center"/>
        </w:trPr>
        <w:tc>
          <w:tcPr>
            <w:tcW w:w="438" w:type="dxa"/>
          </w:tcPr>
          <w:p w:rsidR="00FC16C6" w:rsidRDefault="00186C40" w:rsidP="0013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63" w:type="dxa"/>
          </w:tcPr>
          <w:p w:rsidR="00FC16C6" w:rsidRDefault="00FC16C6" w:rsidP="001F0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48E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единого специально </w:t>
            </w:r>
            <w:r w:rsidRPr="00435D6D">
              <w:rPr>
                <w:rFonts w:ascii="Times New Roman" w:hAnsi="Times New Roman" w:cs="Times New Roman"/>
                <w:b/>
                <w:sz w:val="20"/>
                <w:szCs w:val="20"/>
              </w:rPr>
              <w:t>выделенного электронного адреса и выделенной бесплатной телефонной линии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(8-800…)</w:t>
            </w:r>
            <w:r w:rsidRPr="00103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F08E3">
              <w:rPr>
                <w:rFonts w:ascii="Times New Roman" w:hAnsi="Times New Roman" w:cs="Times New Roman"/>
                <w:sz w:val="20"/>
                <w:szCs w:val="20"/>
              </w:rPr>
              <w:t>для обращений</w:t>
            </w:r>
            <w:proofErr w:type="gramEnd"/>
            <w:r w:rsidR="001F0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F7B">
              <w:rPr>
                <w:rFonts w:ascii="Times New Roman" w:hAnsi="Times New Roman" w:cs="Times New Roman"/>
                <w:sz w:val="20"/>
                <w:szCs w:val="20"/>
              </w:rPr>
              <w:t>застрах</w:t>
            </w:r>
            <w:r w:rsidRPr="0010348E">
              <w:rPr>
                <w:rFonts w:ascii="Times New Roman" w:hAnsi="Times New Roman" w:cs="Times New Roman"/>
                <w:sz w:val="20"/>
                <w:szCs w:val="20"/>
              </w:rPr>
              <w:t xml:space="preserve">ованных </w:t>
            </w:r>
            <w:r w:rsidR="00A4512B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Почт</w:t>
            </w:r>
            <w:r w:rsidR="00A451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A4512B">
              <w:rPr>
                <w:rFonts w:ascii="Times New Roman" w:hAnsi="Times New Roman" w:cs="Times New Roman"/>
                <w:sz w:val="20"/>
                <w:szCs w:val="20"/>
              </w:rPr>
              <w:t>оссии»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16C6" w:rsidRPr="0067463A" w:rsidRDefault="00FC16C6" w:rsidP="001F08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Услуга предоставляется </w:t>
            </w:r>
            <w:r w:rsidRPr="006746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всех </w:t>
            </w:r>
            <w:r w:rsidR="00CE3F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застрах</w:t>
            </w:r>
            <w:r w:rsidRPr="006746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ованных по ДМС.</w:t>
            </w:r>
          </w:p>
        </w:tc>
      </w:tr>
    </w:tbl>
    <w:p w:rsidR="009957F6" w:rsidRDefault="009957F6" w:rsidP="0099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96F" w:rsidRDefault="000D296F" w:rsidP="0099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96F" w:rsidRPr="009957F6" w:rsidRDefault="000D296F" w:rsidP="0099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296F" w:rsidRPr="009957F6" w:rsidSect="00AF47C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875"/>
    <w:multiLevelType w:val="hybridMultilevel"/>
    <w:tmpl w:val="03F2D350"/>
    <w:lvl w:ilvl="0" w:tplc="9C12D39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3F1A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69C1"/>
    <w:multiLevelType w:val="hybridMultilevel"/>
    <w:tmpl w:val="B3F09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6453A"/>
    <w:multiLevelType w:val="hybridMultilevel"/>
    <w:tmpl w:val="1D70A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06A1"/>
    <w:multiLevelType w:val="hybridMultilevel"/>
    <w:tmpl w:val="98824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C480D"/>
    <w:multiLevelType w:val="hybridMultilevel"/>
    <w:tmpl w:val="7A4C4F00"/>
    <w:lvl w:ilvl="0" w:tplc="3A94C6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BEA72B4"/>
    <w:multiLevelType w:val="hybridMultilevel"/>
    <w:tmpl w:val="5A6E815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70748BB"/>
    <w:multiLevelType w:val="hybridMultilevel"/>
    <w:tmpl w:val="EEC24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C1EC7"/>
    <w:multiLevelType w:val="hybridMultilevel"/>
    <w:tmpl w:val="62B2B526"/>
    <w:lvl w:ilvl="0" w:tplc="230CF7D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30FA6"/>
    <w:multiLevelType w:val="hybridMultilevel"/>
    <w:tmpl w:val="084A5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13B93"/>
    <w:multiLevelType w:val="hybridMultilevel"/>
    <w:tmpl w:val="4CFE2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62ADC"/>
    <w:multiLevelType w:val="hybridMultilevel"/>
    <w:tmpl w:val="0C3A8EE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9F87F01"/>
    <w:multiLevelType w:val="hybridMultilevel"/>
    <w:tmpl w:val="450C5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0"/>
  </w:num>
  <w:num w:numId="5">
    <w:abstractNumId w:val="1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39"/>
    <w:rsid w:val="00003648"/>
    <w:rsid w:val="00036C88"/>
    <w:rsid w:val="00054FF0"/>
    <w:rsid w:val="00063A85"/>
    <w:rsid w:val="000A721E"/>
    <w:rsid w:val="000D296F"/>
    <w:rsid w:val="000D308E"/>
    <w:rsid w:val="000E4861"/>
    <w:rsid w:val="0010348E"/>
    <w:rsid w:val="00135989"/>
    <w:rsid w:val="0017020E"/>
    <w:rsid w:val="00171F12"/>
    <w:rsid w:val="00177A00"/>
    <w:rsid w:val="00186C40"/>
    <w:rsid w:val="001A431E"/>
    <w:rsid w:val="001F08E3"/>
    <w:rsid w:val="001F1B8A"/>
    <w:rsid w:val="00224C35"/>
    <w:rsid w:val="002303B8"/>
    <w:rsid w:val="00233AF6"/>
    <w:rsid w:val="00234712"/>
    <w:rsid w:val="002730E0"/>
    <w:rsid w:val="002A07A5"/>
    <w:rsid w:val="00303B20"/>
    <w:rsid w:val="0031124D"/>
    <w:rsid w:val="00334944"/>
    <w:rsid w:val="0034300F"/>
    <w:rsid w:val="00353A96"/>
    <w:rsid w:val="003B1EF9"/>
    <w:rsid w:val="003F3BCD"/>
    <w:rsid w:val="00404D44"/>
    <w:rsid w:val="00417432"/>
    <w:rsid w:val="00435D6D"/>
    <w:rsid w:val="00460F79"/>
    <w:rsid w:val="004724F3"/>
    <w:rsid w:val="004A16C0"/>
    <w:rsid w:val="004D64D2"/>
    <w:rsid w:val="004E5F83"/>
    <w:rsid w:val="00546E01"/>
    <w:rsid w:val="00547558"/>
    <w:rsid w:val="005C24F6"/>
    <w:rsid w:val="00655789"/>
    <w:rsid w:val="006740AF"/>
    <w:rsid w:val="0067463A"/>
    <w:rsid w:val="00682DBA"/>
    <w:rsid w:val="006A4699"/>
    <w:rsid w:val="006D3D2F"/>
    <w:rsid w:val="006D718A"/>
    <w:rsid w:val="006E0CF0"/>
    <w:rsid w:val="006E4E2E"/>
    <w:rsid w:val="007016D6"/>
    <w:rsid w:val="0073596A"/>
    <w:rsid w:val="007717A8"/>
    <w:rsid w:val="00780678"/>
    <w:rsid w:val="00786A1D"/>
    <w:rsid w:val="007D614D"/>
    <w:rsid w:val="008030F7"/>
    <w:rsid w:val="00832B47"/>
    <w:rsid w:val="00894A3B"/>
    <w:rsid w:val="008A5F71"/>
    <w:rsid w:val="008A6A21"/>
    <w:rsid w:val="008B6E84"/>
    <w:rsid w:val="0096158E"/>
    <w:rsid w:val="00970603"/>
    <w:rsid w:val="00970978"/>
    <w:rsid w:val="0098179F"/>
    <w:rsid w:val="00992896"/>
    <w:rsid w:val="009957F6"/>
    <w:rsid w:val="009A7D67"/>
    <w:rsid w:val="009C0185"/>
    <w:rsid w:val="00A4512B"/>
    <w:rsid w:val="00A72768"/>
    <w:rsid w:val="00AA5DAA"/>
    <w:rsid w:val="00AD0BFB"/>
    <w:rsid w:val="00AD780E"/>
    <w:rsid w:val="00AF47CB"/>
    <w:rsid w:val="00B40099"/>
    <w:rsid w:val="00B4295E"/>
    <w:rsid w:val="00B65347"/>
    <w:rsid w:val="00BA2998"/>
    <w:rsid w:val="00C040EE"/>
    <w:rsid w:val="00C47C5A"/>
    <w:rsid w:val="00C911B4"/>
    <w:rsid w:val="00CA5E51"/>
    <w:rsid w:val="00CE3F7B"/>
    <w:rsid w:val="00D01638"/>
    <w:rsid w:val="00D10AAC"/>
    <w:rsid w:val="00D14439"/>
    <w:rsid w:val="00D402A4"/>
    <w:rsid w:val="00D44547"/>
    <w:rsid w:val="00DB3D8B"/>
    <w:rsid w:val="00DD1794"/>
    <w:rsid w:val="00DD6C7A"/>
    <w:rsid w:val="00DF279F"/>
    <w:rsid w:val="00E321D8"/>
    <w:rsid w:val="00E97896"/>
    <w:rsid w:val="00EB1D04"/>
    <w:rsid w:val="00EE2E25"/>
    <w:rsid w:val="00EF2580"/>
    <w:rsid w:val="00EF3605"/>
    <w:rsid w:val="00EF4587"/>
    <w:rsid w:val="00F85969"/>
    <w:rsid w:val="00FA23D1"/>
    <w:rsid w:val="00FB4483"/>
    <w:rsid w:val="00FC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51D9"/>
  <w15:chartTrackingRefBased/>
  <w15:docId w15:val="{B291E17C-2376-41EC-87FC-7225AB3C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4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12B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F45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F458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F458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F458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F45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Паниткова Мария Валерьевна</dc:creator>
  <cp:keywords/>
  <dc:description/>
  <cp:lastModifiedBy>Горина Тамара Александровна</cp:lastModifiedBy>
  <cp:revision>10</cp:revision>
  <dcterms:created xsi:type="dcterms:W3CDTF">2023-07-06T12:43:00Z</dcterms:created>
  <dcterms:modified xsi:type="dcterms:W3CDTF">2026-05-15T13:34:00Z</dcterms:modified>
</cp:coreProperties>
</file>