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8C3F8D" w:rsidRDefault="008C3F8D">
      <w:pPr>
        <w:keepNext/>
        <w:keepLines/>
        <w:rPr>
          <w:sz w:val="26"/>
          <w:szCs w:val="26"/>
          <w:highlight w:val="white"/>
        </w:rPr>
      </w:pPr>
    </w:p>
    <w:p w:rsidR="008C3F8D" w:rsidRDefault="008C3F8D">
      <w:pPr>
        <w:keepNext/>
        <w:keepLines/>
        <w:rPr>
          <w:sz w:val="26"/>
          <w:szCs w:val="26"/>
          <w:highlight w:val="white"/>
        </w:rPr>
      </w:pPr>
    </w:p>
    <w:p w:rsidR="008C3F8D" w:rsidRDefault="008C3F8D">
      <w:pPr>
        <w:keepNext/>
        <w:keepLines/>
        <w:rPr>
          <w:sz w:val="26"/>
          <w:szCs w:val="26"/>
          <w:highlight w:val="white"/>
        </w:rPr>
      </w:pPr>
    </w:p>
    <w:p w:rsidR="008C3F8D" w:rsidRDefault="008C3F8D">
      <w:pPr>
        <w:keepNext/>
        <w:keepLines/>
        <w:rPr>
          <w:sz w:val="26"/>
          <w:szCs w:val="26"/>
          <w:highlight w:val="white"/>
        </w:rPr>
      </w:pPr>
    </w:p>
    <w:p w:rsidR="008C3F8D" w:rsidRDefault="008C3F8D">
      <w:pPr>
        <w:keepNext/>
        <w:keepLines/>
        <w:rPr>
          <w:sz w:val="26"/>
          <w:szCs w:val="26"/>
          <w:highlight w:val="white"/>
        </w:rPr>
      </w:pPr>
    </w:p>
    <w:p w:rsidR="008C3F8D" w:rsidRDefault="008C3F8D">
      <w:pPr>
        <w:keepNext/>
        <w:keepLines/>
        <w:rPr>
          <w:sz w:val="26"/>
          <w:szCs w:val="26"/>
          <w:highlight w:val="white"/>
        </w:rPr>
      </w:pPr>
    </w:p>
    <w:p w:rsidR="008C3F8D" w:rsidRDefault="008C3F8D">
      <w:pPr>
        <w:keepNext/>
        <w:keepLines/>
        <w:rPr>
          <w:sz w:val="26"/>
          <w:szCs w:val="26"/>
          <w:highlight w:val="white"/>
        </w:rPr>
      </w:pPr>
    </w:p>
    <w:p w:rsidR="008C3F8D" w:rsidRDefault="008C3F8D">
      <w:pPr>
        <w:keepNext/>
        <w:keepLines/>
        <w:rPr>
          <w:sz w:val="26"/>
          <w:szCs w:val="26"/>
          <w:highlight w:val="white"/>
        </w:rPr>
      </w:pPr>
    </w:p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FB387B" w:rsidRDefault="00FB387B">
      <w:pPr>
        <w:keepNext/>
        <w:keepLines/>
        <w:rPr>
          <w:sz w:val="26"/>
          <w:szCs w:val="26"/>
          <w:highlight w:val="white"/>
        </w:rPr>
      </w:pPr>
    </w:p>
    <w:p w:rsidR="00FB387B" w:rsidRDefault="00464F5A">
      <w:pPr>
        <w:keepNext/>
        <w:keepLines/>
        <w:jc w:val="center"/>
        <w:rPr>
          <w:rFonts w:eastAsia="Calibri"/>
          <w:b/>
          <w:sz w:val="26"/>
          <w:szCs w:val="26"/>
          <w:highlight w:val="white"/>
        </w:rPr>
      </w:pPr>
      <w:bookmarkStart w:id="0" w:name="_Hlk120615187"/>
      <w:r>
        <w:rPr>
          <w:rFonts w:eastAsia="Calibri"/>
          <w:b/>
          <w:sz w:val="26"/>
          <w:szCs w:val="26"/>
          <w:highlight w:val="white"/>
        </w:rPr>
        <w:t>Технические требования на поставку МТР</w:t>
      </w:r>
    </w:p>
    <w:p w:rsidR="00FB387B" w:rsidRDefault="00FB387B">
      <w:pPr>
        <w:keepNext/>
        <w:keepLines/>
        <w:jc w:val="center"/>
        <w:rPr>
          <w:rFonts w:eastAsia="Calibri"/>
          <w:b/>
          <w:sz w:val="26"/>
          <w:szCs w:val="26"/>
          <w:highlight w:val="white"/>
        </w:rPr>
      </w:pPr>
    </w:p>
    <w:p w:rsidR="00FB387B" w:rsidRDefault="00464F5A">
      <w:pPr>
        <w:spacing w:line="276" w:lineRule="auto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ОКПД2 </w:t>
      </w:r>
      <w:r>
        <w:rPr>
          <w:b/>
          <w:sz w:val="24"/>
          <w:szCs w:val="24"/>
        </w:rPr>
        <w:t>26.20.40.110.</w:t>
      </w:r>
      <w:r>
        <w:rPr>
          <w:b/>
          <w:sz w:val="24"/>
          <w:szCs w:val="24"/>
          <w:highlight w:val="white"/>
        </w:rPr>
        <w:t xml:space="preserve"> Поставка модуля питания контроллера NPT BAY </w:t>
      </w:r>
    </w:p>
    <w:bookmarkEnd w:id="0"/>
    <w:p w:rsidR="00FB387B" w:rsidRDefault="00FB387B">
      <w:pPr>
        <w:keepNext/>
        <w:keepLines/>
        <w:jc w:val="center"/>
        <w:rPr>
          <w:rFonts w:eastAsia="Calibri"/>
          <w:b/>
          <w:i/>
          <w:sz w:val="26"/>
          <w:szCs w:val="26"/>
          <w:highlight w:val="white"/>
        </w:rPr>
      </w:pPr>
    </w:p>
    <w:p w:rsidR="00FB387B" w:rsidRDefault="00FB387B">
      <w:pPr>
        <w:keepNext/>
        <w:keepLines/>
        <w:jc w:val="both"/>
        <w:rPr>
          <w:sz w:val="26"/>
          <w:szCs w:val="26"/>
          <w:highlight w:val="white"/>
        </w:rPr>
      </w:pPr>
    </w:p>
    <w:p w:rsidR="00FB387B" w:rsidRDefault="00464F5A">
      <w:pPr>
        <w:rPr>
          <w:sz w:val="26"/>
          <w:szCs w:val="26"/>
          <w:highlight w:val="white"/>
        </w:rPr>
      </w:pPr>
      <w:r>
        <w:br w:type="page"/>
      </w:r>
    </w:p>
    <w:p w:rsidR="00FB387B" w:rsidRDefault="00464F5A">
      <w:pPr>
        <w:jc w:val="center"/>
        <w:rPr>
          <w:b/>
          <w:highlight w:val="white"/>
        </w:rPr>
      </w:pPr>
      <w:r>
        <w:rPr>
          <w:b/>
          <w:highlight w:val="white"/>
        </w:rPr>
        <w:lastRenderedPageBreak/>
        <w:t>СОДЕРЖАНИЕ</w:t>
      </w:r>
    </w:p>
    <w:p w:rsidR="00FB387B" w:rsidRDefault="00FB387B">
      <w:pPr>
        <w:keepNext/>
        <w:keepLines/>
        <w:jc w:val="center"/>
        <w:rPr>
          <w:rFonts w:eastAsia="Calibri"/>
          <w:b/>
          <w:i/>
          <w:sz w:val="24"/>
          <w:szCs w:val="24"/>
          <w:highlight w:val="white"/>
        </w:rPr>
      </w:pPr>
    </w:p>
    <w:sdt>
      <w:sdtPr>
        <w:id w:val="1683927412"/>
        <w:docPartObj>
          <w:docPartGallery w:val="Table of Contents"/>
          <w:docPartUnique/>
        </w:docPartObj>
      </w:sdtPr>
      <w:sdtEndPr/>
      <w:sdtContent>
        <w:p w:rsidR="00FB387B" w:rsidRDefault="00464F5A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cs="Times New Roman"/>
              <w:highlight w:val="white"/>
            </w:rPr>
            <w:instrText xml:space="preserve"> TOC \o "1-3" \h</w:instrText>
          </w:r>
          <w:r>
            <w:rPr>
              <w:rStyle w:val="affc"/>
              <w:rFonts w:cs="Times New Roman"/>
              <w:highlight w:val="white"/>
            </w:rPr>
            <w:fldChar w:fldCharType="separate"/>
          </w:r>
          <w:hyperlink w:anchor="_Toc230255673">
            <w:r>
              <w:rPr>
                <w:rStyle w:val="affc"/>
                <w:rFonts w:cs="Times New Roman"/>
                <w:highlight w:val="white"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highlight w:val="white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_Toc230255673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B387B" w:rsidRDefault="008C3F8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255674">
            <w:r w:rsidR="00464F5A">
              <w:rPr>
                <w:rStyle w:val="affc"/>
                <w:rFonts w:cs="Times New Roman"/>
                <w:highlight w:val="white"/>
              </w:rPr>
              <w:t>2.</w:t>
            </w:r>
            <w:r w:rsidR="00464F5A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464F5A">
              <w:rPr>
                <w:rStyle w:val="affc"/>
                <w:highlight w:val="white"/>
              </w:rPr>
              <w:t>Требования к продукции</w:t>
            </w:r>
            <w:r w:rsidR="00464F5A">
              <w:rPr>
                <w:webHidden/>
              </w:rPr>
              <w:fldChar w:fldCharType="begin"/>
            </w:r>
            <w:r w:rsidR="00464F5A">
              <w:rPr>
                <w:webHidden/>
              </w:rPr>
              <w:instrText>PAGEREF _Toc230255674 \h</w:instrText>
            </w:r>
            <w:r w:rsidR="00464F5A">
              <w:rPr>
                <w:webHidden/>
              </w:rPr>
            </w:r>
            <w:r w:rsidR="00464F5A">
              <w:rPr>
                <w:webHidden/>
              </w:rPr>
              <w:fldChar w:fldCharType="separate"/>
            </w:r>
            <w:r w:rsidR="00464F5A">
              <w:rPr>
                <w:rStyle w:val="affc"/>
              </w:rPr>
              <w:tab/>
              <w:t>4</w:t>
            </w:r>
            <w:r w:rsidR="00464F5A">
              <w:rPr>
                <w:webHidden/>
              </w:rPr>
              <w:fldChar w:fldCharType="end"/>
            </w:r>
          </w:hyperlink>
        </w:p>
        <w:p w:rsidR="00FB387B" w:rsidRDefault="008C3F8D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55675">
            <w:r w:rsidR="00464F5A">
              <w:rPr>
                <w:rStyle w:val="affc"/>
                <w:highlight w:val="white"/>
              </w:rPr>
              <w:t>2.1.1.</w:t>
            </w:r>
            <w:r w:rsidR="00464F5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64F5A">
              <w:rPr>
                <w:rStyle w:val="affc"/>
                <w:highlight w:val="white"/>
              </w:rPr>
              <w:t>Перечень и объем закупаемой продукции</w:t>
            </w:r>
            <w:r w:rsidR="00464F5A">
              <w:rPr>
                <w:webHidden/>
              </w:rPr>
              <w:fldChar w:fldCharType="begin"/>
            </w:r>
            <w:r w:rsidR="00464F5A">
              <w:rPr>
                <w:webHidden/>
              </w:rPr>
              <w:instrText>PAGEREF _Toc230255675 \h</w:instrText>
            </w:r>
            <w:r w:rsidR="00464F5A">
              <w:rPr>
                <w:webHidden/>
              </w:rPr>
            </w:r>
            <w:r w:rsidR="00464F5A">
              <w:rPr>
                <w:webHidden/>
              </w:rPr>
              <w:fldChar w:fldCharType="separate"/>
            </w:r>
            <w:r w:rsidR="00464F5A">
              <w:rPr>
                <w:rStyle w:val="affc"/>
              </w:rPr>
              <w:tab/>
              <w:t>4</w:t>
            </w:r>
            <w:r w:rsidR="00464F5A">
              <w:rPr>
                <w:webHidden/>
              </w:rPr>
              <w:fldChar w:fldCharType="end"/>
            </w:r>
          </w:hyperlink>
        </w:p>
        <w:p w:rsidR="00FB387B" w:rsidRDefault="008C3F8D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55676">
            <w:r w:rsidR="00464F5A">
              <w:rPr>
                <w:rStyle w:val="affc"/>
                <w:highlight w:val="white"/>
              </w:rPr>
              <w:t>2.1.2.</w:t>
            </w:r>
            <w:r w:rsidR="00464F5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64F5A">
              <w:rPr>
                <w:rStyle w:val="affc"/>
                <w:highlight w:val="white"/>
              </w:rPr>
              <w:t>Требования к срокам поставки продукции</w:t>
            </w:r>
            <w:r w:rsidR="00464F5A">
              <w:rPr>
                <w:webHidden/>
              </w:rPr>
              <w:fldChar w:fldCharType="begin"/>
            </w:r>
            <w:r w:rsidR="00464F5A">
              <w:rPr>
                <w:webHidden/>
              </w:rPr>
              <w:instrText>PAGEREF _Toc230255676 \h</w:instrText>
            </w:r>
            <w:r w:rsidR="00464F5A">
              <w:rPr>
                <w:webHidden/>
              </w:rPr>
            </w:r>
            <w:r w:rsidR="00464F5A">
              <w:rPr>
                <w:webHidden/>
              </w:rPr>
              <w:fldChar w:fldCharType="separate"/>
            </w:r>
            <w:r w:rsidR="00464F5A">
              <w:rPr>
                <w:rStyle w:val="affc"/>
              </w:rPr>
              <w:tab/>
              <w:t>4</w:t>
            </w:r>
            <w:r w:rsidR="00464F5A">
              <w:rPr>
                <w:webHidden/>
              </w:rPr>
              <w:fldChar w:fldCharType="end"/>
            </w:r>
          </w:hyperlink>
        </w:p>
        <w:p w:rsidR="00FB387B" w:rsidRDefault="008C3F8D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255677">
            <w:r w:rsidR="00464F5A">
              <w:rPr>
                <w:rStyle w:val="affc"/>
                <w:highlight w:val="white"/>
              </w:rPr>
              <w:t>Таблица 2. Требования к продукции</w:t>
            </w:r>
            <w:r w:rsidR="00464F5A">
              <w:rPr>
                <w:webHidden/>
              </w:rPr>
              <w:fldChar w:fldCharType="begin"/>
            </w:r>
            <w:r w:rsidR="00464F5A">
              <w:rPr>
                <w:webHidden/>
              </w:rPr>
              <w:instrText>PAGEREF _Toc230255677 \h</w:instrText>
            </w:r>
            <w:r w:rsidR="00464F5A">
              <w:rPr>
                <w:webHidden/>
              </w:rPr>
            </w:r>
            <w:r w:rsidR="00464F5A">
              <w:rPr>
                <w:webHidden/>
              </w:rPr>
              <w:fldChar w:fldCharType="separate"/>
            </w:r>
            <w:r w:rsidR="00464F5A">
              <w:rPr>
                <w:rStyle w:val="affc"/>
              </w:rPr>
              <w:tab/>
              <w:t>5</w:t>
            </w:r>
            <w:r w:rsidR="00464F5A">
              <w:rPr>
                <w:webHidden/>
              </w:rPr>
              <w:fldChar w:fldCharType="end"/>
            </w:r>
          </w:hyperlink>
        </w:p>
        <w:p w:rsidR="00FB387B" w:rsidRDefault="008C3F8D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255678">
            <w:r w:rsidR="00464F5A">
              <w:rPr>
                <w:rStyle w:val="affc"/>
                <w:rFonts w:cs="Times New Roman"/>
                <w:highlight w:val="white"/>
              </w:rPr>
              <w:t>3.</w:t>
            </w:r>
            <w:r w:rsidR="00464F5A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464F5A">
              <w:rPr>
                <w:rStyle w:val="affc"/>
                <w:highlight w:val="white"/>
              </w:rPr>
              <w:t>Требования к документации по ценообразованию на этапе закупки</w:t>
            </w:r>
            <w:r w:rsidR="00464F5A">
              <w:rPr>
                <w:webHidden/>
              </w:rPr>
              <w:fldChar w:fldCharType="begin"/>
            </w:r>
            <w:r w:rsidR="00464F5A">
              <w:rPr>
                <w:webHidden/>
              </w:rPr>
              <w:instrText>PAGEREF _Toc230255678 \h</w:instrText>
            </w:r>
            <w:r w:rsidR="00464F5A">
              <w:rPr>
                <w:webHidden/>
              </w:rPr>
            </w:r>
            <w:r w:rsidR="00464F5A">
              <w:rPr>
                <w:webHidden/>
              </w:rPr>
              <w:fldChar w:fldCharType="separate"/>
            </w:r>
            <w:r w:rsidR="00464F5A">
              <w:rPr>
                <w:rStyle w:val="affc"/>
              </w:rPr>
              <w:tab/>
              <w:t>7</w:t>
            </w:r>
            <w:r w:rsidR="00464F5A">
              <w:rPr>
                <w:webHidden/>
              </w:rPr>
              <w:fldChar w:fldCharType="end"/>
            </w:r>
          </w:hyperlink>
          <w:r w:rsidR="00464F5A">
            <w:rPr>
              <w:rStyle w:val="affc"/>
            </w:rPr>
            <w:fldChar w:fldCharType="end"/>
          </w:r>
        </w:p>
      </w:sdtContent>
    </w:sdt>
    <w:p w:rsidR="00FB387B" w:rsidRDefault="00FB387B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highlight w:val="white"/>
        </w:rPr>
      </w:pPr>
    </w:p>
    <w:p w:rsidR="00FB387B" w:rsidRDefault="00FB387B">
      <w:pPr>
        <w:pStyle w:val="17"/>
        <w:tabs>
          <w:tab w:val="left" w:pos="560"/>
          <w:tab w:val="right" w:leader="dot" w:pos="9911"/>
        </w:tabs>
        <w:rPr>
          <w:rFonts w:ascii="Calibri" w:eastAsia="PMingLiU" w:hAnsi="Calibri" w:cs="Arial"/>
          <w:b w:val="0"/>
          <w:bCs w:val="0"/>
          <w:sz w:val="22"/>
          <w:szCs w:val="22"/>
          <w:highlight w:val="white"/>
        </w:rPr>
      </w:pPr>
    </w:p>
    <w:p w:rsidR="00FB387B" w:rsidRDefault="00FB387B">
      <w:pPr>
        <w:rPr>
          <w:highlight w:val="white"/>
        </w:rPr>
      </w:pPr>
    </w:p>
    <w:p w:rsidR="00FB387B" w:rsidRDefault="00FB387B">
      <w:pPr>
        <w:keepNext/>
        <w:keepLines/>
        <w:jc w:val="center"/>
        <w:rPr>
          <w:rFonts w:eastAsia="Calibri"/>
          <w:b/>
          <w:i/>
          <w:sz w:val="24"/>
          <w:szCs w:val="24"/>
          <w:highlight w:val="white"/>
        </w:rPr>
      </w:pPr>
    </w:p>
    <w:p w:rsidR="00FB387B" w:rsidRDefault="00FB387B">
      <w:pPr>
        <w:keepNext/>
        <w:keepLines/>
        <w:jc w:val="center"/>
        <w:rPr>
          <w:rFonts w:eastAsia="Calibri"/>
          <w:b/>
          <w:i/>
          <w:sz w:val="24"/>
          <w:szCs w:val="24"/>
          <w:highlight w:val="white"/>
        </w:rPr>
      </w:pPr>
    </w:p>
    <w:p w:rsidR="00FB387B" w:rsidRDefault="00464F5A">
      <w:pPr>
        <w:keepNext/>
        <w:keepLines/>
        <w:jc w:val="center"/>
        <w:rPr>
          <w:rFonts w:eastAsia="Calibri"/>
          <w:b/>
          <w:i/>
          <w:sz w:val="24"/>
          <w:szCs w:val="24"/>
          <w:highlight w:val="white"/>
        </w:rPr>
      </w:pPr>
      <w:r>
        <w:br w:type="page"/>
      </w:r>
    </w:p>
    <w:p w:rsidR="00FB387B" w:rsidRDefault="00464F5A">
      <w:pPr>
        <w:pStyle w:val="1"/>
        <w:tabs>
          <w:tab w:val="left" w:pos="788"/>
        </w:tabs>
        <w:ind w:left="0" w:firstLine="0"/>
        <w:jc w:val="center"/>
        <w:rPr>
          <w:highlight w:val="white"/>
        </w:rPr>
      </w:pPr>
      <w:bookmarkStart w:id="1" w:name="_Toc230255673"/>
      <w:r>
        <w:rPr>
          <w:highlight w:val="white"/>
        </w:rPr>
        <w:lastRenderedPageBreak/>
        <w:t>Общие сведения</w:t>
      </w:r>
      <w:bookmarkEnd w:id="1"/>
    </w:p>
    <w:p w:rsidR="00FB387B" w:rsidRDefault="00464F5A">
      <w:pPr>
        <w:pStyle w:val="40"/>
        <w:numPr>
          <w:ilvl w:val="1"/>
          <w:numId w:val="3"/>
        </w:numPr>
        <w:tabs>
          <w:tab w:val="clear" w:pos="426"/>
          <w:tab w:val="left" w:pos="0"/>
        </w:tabs>
        <w:ind w:left="0" w:firstLine="0"/>
        <w:rPr>
          <w:highlight w:val="white"/>
        </w:rPr>
      </w:pPr>
      <w:bookmarkStart w:id="2" w:name="_Hlk120615316"/>
      <w:bookmarkStart w:id="3" w:name="_Toc46743505"/>
      <w:bookmarkStart w:id="4" w:name="_Toc75446567"/>
      <w:r>
        <w:rPr>
          <w:highlight w:val="white"/>
        </w:rPr>
        <w:t>Обозначения и сокращения</w:t>
      </w:r>
      <w:bookmarkEnd w:id="2"/>
      <w:bookmarkEnd w:id="3"/>
      <w:bookmarkEnd w:id="4"/>
    </w:p>
    <w:tbl>
      <w:tblPr>
        <w:tblW w:w="9783" w:type="dxa"/>
        <w:jc w:val="center"/>
        <w:tblLayout w:type="fixed"/>
        <w:tblLook w:val="0000" w:firstRow="0" w:lastRow="0" w:firstColumn="0" w:lastColumn="0" w:noHBand="0" w:noVBand="0"/>
      </w:tblPr>
      <w:tblGrid>
        <w:gridCol w:w="1785"/>
        <w:gridCol w:w="7998"/>
      </w:tblGrid>
      <w:tr w:rsidR="00FB387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Технические требования</w:t>
            </w:r>
          </w:p>
        </w:tc>
      </w:tr>
    </w:tbl>
    <w:p w:rsidR="00FB387B" w:rsidRDefault="00FB387B">
      <w:pPr>
        <w:keepNext/>
        <w:keepLines/>
        <w:jc w:val="both"/>
        <w:rPr>
          <w:sz w:val="24"/>
          <w:szCs w:val="24"/>
          <w:highlight w:val="white"/>
        </w:rPr>
      </w:pPr>
    </w:p>
    <w:p w:rsidR="00FB387B" w:rsidRDefault="00FB387B">
      <w:pPr>
        <w:keepNext/>
        <w:keepLines/>
        <w:jc w:val="both"/>
        <w:rPr>
          <w:sz w:val="24"/>
          <w:szCs w:val="24"/>
          <w:highlight w:val="white"/>
        </w:rPr>
      </w:pPr>
    </w:p>
    <w:p w:rsidR="00FB387B" w:rsidRDefault="00464F5A">
      <w:pPr>
        <w:keepNext/>
        <w:keepLines/>
        <w:rPr>
          <w:sz w:val="24"/>
          <w:szCs w:val="24"/>
          <w:highlight w:val="white"/>
        </w:rPr>
      </w:pPr>
      <w:r>
        <w:br w:type="page"/>
      </w:r>
    </w:p>
    <w:p w:rsidR="00FB387B" w:rsidRDefault="00464F5A">
      <w:pPr>
        <w:pStyle w:val="40"/>
        <w:numPr>
          <w:ilvl w:val="1"/>
          <w:numId w:val="3"/>
        </w:numPr>
        <w:tabs>
          <w:tab w:val="clear" w:pos="426"/>
          <w:tab w:val="left" w:pos="0"/>
        </w:tabs>
        <w:ind w:left="567" w:hanging="567"/>
        <w:rPr>
          <w:highlight w:val="white"/>
        </w:rPr>
      </w:pPr>
      <w:bookmarkStart w:id="5" w:name="_Toc75446568"/>
      <w:bookmarkStart w:id="6" w:name="_Toc46743506"/>
      <w:r>
        <w:rPr>
          <w:highlight w:val="white"/>
        </w:rPr>
        <w:lastRenderedPageBreak/>
        <w:t>Наименование закупаемой продукции</w:t>
      </w:r>
      <w:bookmarkEnd w:id="5"/>
      <w:bookmarkEnd w:id="6"/>
    </w:p>
    <w:p w:rsidR="00FB387B" w:rsidRDefault="00464F5A">
      <w:pPr>
        <w:spacing w:line="276" w:lineRule="auto"/>
        <w:ind w:firstLine="567"/>
        <w:jc w:val="both"/>
        <w:rPr>
          <w:rFonts w:eastAsia="Calibri"/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ОКПД2 </w:t>
      </w:r>
      <w:r>
        <w:rPr>
          <w:rFonts w:eastAsia="Calibri"/>
          <w:sz w:val="24"/>
          <w:szCs w:val="24"/>
        </w:rPr>
        <w:t>26.20.40.110</w:t>
      </w:r>
      <w:r>
        <w:rPr>
          <w:rFonts w:eastAsia="Calibri"/>
          <w:sz w:val="24"/>
          <w:szCs w:val="24"/>
          <w:highlight w:val="white"/>
        </w:rPr>
        <w:t>. Поставка модуля питания контроллера NPT BAY.</w:t>
      </w:r>
    </w:p>
    <w:p w:rsidR="00FB387B" w:rsidRDefault="00464F5A">
      <w:pPr>
        <w:pStyle w:val="40"/>
        <w:numPr>
          <w:ilvl w:val="1"/>
          <w:numId w:val="3"/>
        </w:numPr>
        <w:tabs>
          <w:tab w:val="clear" w:pos="426"/>
          <w:tab w:val="left" w:pos="0"/>
        </w:tabs>
        <w:ind w:left="567" w:hanging="567"/>
        <w:rPr>
          <w:highlight w:val="white"/>
        </w:rPr>
      </w:pPr>
      <w:bookmarkStart w:id="7" w:name="_Toc46743507"/>
      <w:bookmarkStart w:id="8" w:name="_Toc75446569"/>
      <w:r>
        <w:rPr>
          <w:highlight w:val="white"/>
        </w:rPr>
        <w:t xml:space="preserve">Цель </w:t>
      </w:r>
      <w:bookmarkEnd w:id="7"/>
      <w:r>
        <w:rPr>
          <w:highlight w:val="white"/>
        </w:rPr>
        <w:t xml:space="preserve">использования закупаемой продукции </w:t>
      </w:r>
      <w:bookmarkEnd w:id="8"/>
      <w:r>
        <w:rPr>
          <w:highlight w:val="white"/>
        </w:rPr>
        <w:t xml:space="preserve"> </w:t>
      </w:r>
    </w:p>
    <w:p w:rsidR="00FB387B" w:rsidRDefault="00464F5A">
      <w:pPr>
        <w:spacing w:line="276" w:lineRule="auto"/>
        <w:ind w:firstLine="567"/>
        <w:jc w:val="both"/>
        <w:rPr>
          <w:rFonts w:eastAsia="Calibri"/>
          <w:sz w:val="24"/>
          <w:szCs w:val="24"/>
          <w:highlight w:val="white"/>
        </w:rPr>
      </w:pPr>
      <w:bookmarkStart w:id="9" w:name="_Toc75446570"/>
      <w:bookmarkStart w:id="10" w:name="_Toc46743508"/>
      <w:bookmarkEnd w:id="9"/>
      <w:bookmarkEnd w:id="10"/>
      <w:r>
        <w:rPr>
          <w:rFonts w:eastAsia="Calibri"/>
          <w:sz w:val="24"/>
          <w:szCs w:val="24"/>
          <w:highlight w:val="white"/>
        </w:rPr>
        <w:t xml:space="preserve">Обеспечение бесперебойной работы оборудования САУ КРУЭ 500 </w:t>
      </w:r>
      <w:proofErr w:type="spellStart"/>
      <w:r>
        <w:rPr>
          <w:rFonts w:eastAsia="Calibri"/>
          <w:sz w:val="24"/>
          <w:szCs w:val="24"/>
          <w:highlight w:val="white"/>
        </w:rPr>
        <w:t>кВ</w:t>
      </w:r>
      <w:proofErr w:type="spellEnd"/>
      <w:r>
        <w:rPr>
          <w:rFonts w:eastAsia="Calibri"/>
          <w:sz w:val="24"/>
          <w:szCs w:val="24"/>
          <w:highlight w:val="white"/>
        </w:rPr>
        <w:t xml:space="preserve"> филиала ПАО «</w:t>
      </w:r>
      <w:proofErr w:type="spellStart"/>
      <w:r>
        <w:rPr>
          <w:rFonts w:eastAsia="Calibri"/>
          <w:sz w:val="24"/>
          <w:szCs w:val="24"/>
          <w:highlight w:val="white"/>
        </w:rPr>
        <w:t>РусГидро</w:t>
      </w:r>
      <w:proofErr w:type="spellEnd"/>
      <w:r>
        <w:rPr>
          <w:rFonts w:eastAsia="Calibri"/>
          <w:sz w:val="24"/>
          <w:szCs w:val="24"/>
          <w:highlight w:val="white"/>
        </w:rPr>
        <w:t>» - «</w:t>
      </w:r>
      <w:proofErr w:type="spellStart"/>
      <w:r>
        <w:rPr>
          <w:rFonts w:eastAsia="Calibri"/>
          <w:sz w:val="24"/>
          <w:szCs w:val="24"/>
          <w:highlight w:val="white"/>
        </w:rPr>
        <w:t>Воткинская</w:t>
      </w:r>
      <w:proofErr w:type="spellEnd"/>
      <w:r>
        <w:rPr>
          <w:rFonts w:eastAsia="Calibri"/>
          <w:sz w:val="24"/>
          <w:szCs w:val="24"/>
          <w:highlight w:val="white"/>
        </w:rPr>
        <w:t xml:space="preserve"> ГЭС».</w:t>
      </w:r>
    </w:p>
    <w:p w:rsidR="00FB387B" w:rsidRDefault="00464F5A">
      <w:pPr>
        <w:pStyle w:val="1"/>
        <w:ind w:left="-1077" w:firstLine="0"/>
        <w:jc w:val="center"/>
        <w:rPr>
          <w:highlight w:val="white"/>
        </w:rPr>
      </w:pPr>
      <w:bookmarkStart w:id="11" w:name="_Toc50125126"/>
      <w:bookmarkStart w:id="12" w:name="_Toc75446570_Копия_1"/>
      <w:bookmarkStart w:id="13" w:name="_Toc46743510"/>
      <w:bookmarkStart w:id="14" w:name="_Toc46743508_Копия_1"/>
      <w:bookmarkStart w:id="15" w:name="_Toc75446573"/>
      <w:bookmarkStart w:id="16" w:name="_Toc51339693"/>
      <w:bookmarkStart w:id="17" w:name="_Toc120606397"/>
      <w:bookmarkStart w:id="18" w:name="_Toc230255674"/>
      <w:bookmarkEnd w:id="11"/>
      <w:bookmarkEnd w:id="12"/>
      <w:bookmarkEnd w:id="13"/>
      <w:bookmarkEnd w:id="14"/>
      <w:r>
        <w:rPr>
          <w:highlight w:val="white"/>
        </w:rPr>
        <w:t>Требования к продукции</w:t>
      </w:r>
      <w:bookmarkEnd w:id="15"/>
      <w:bookmarkEnd w:id="16"/>
      <w:bookmarkEnd w:id="17"/>
      <w:bookmarkEnd w:id="18"/>
    </w:p>
    <w:p w:rsidR="00FB387B" w:rsidRDefault="00464F5A">
      <w:pPr>
        <w:pStyle w:val="40"/>
        <w:numPr>
          <w:ilvl w:val="1"/>
          <w:numId w:val="3"/>
        </w:numPr>
        <w:tabs>
          <w:tab w:val="clear" w:pos="426"/>
          <w:tab w:val="left" w:pos="0"/>
        </w:tabs>
        <w:ind w:left="567" w:hanging="567"/>
        <w:rPr>
          <w:highlight w:val="white"/>
        </w:rPr>
      </w:pPr>
      <w:bookmarkStart w:id="19" w:name="_Toc75446574"/>
      <w:r>
        <w:rPr>
          <w:highlight w:val="white"/>
        </w:rPr>
        <w:t>Требования к объемам и срокам поставки</w:t>
      </w:r>
      <w:bookmarkEnd w:id="19"/>
    </w:p>
    <w:p w:rsidR="00FB387B" w:rsidRDefault="00464F5A">
      <w:pPr>
        <w:pStyle w:val="3"/>
        <w:rPr>
          <w:highlight w:val="white"/>
        </w:rPr>
      </w:pPr>
      <w:bookmarkStart w:id="20" w:name="_Toc230255675"/>
      <w:r>
        <w:rPr>
          <w:highlight w:val="white"/>
        </w:rPr>
        <w:t>Перечень и объем закупаемой продукции</w:t>
      </w:r>
      <w:bookmarkEnd w:id="20"/>
    </w:p>
    <w:p w:rsidR="00FB387B" w:rsidRDefault="00FB387B">
      <w:pPr>
        <w:rPr>
          <w:highlight w:val="white"/>
        </w:rPr>
      </w:pPr>
    </w:p>
    <w:p w:rsidR="00FB387B" w:rsidRDefault="00464F5A">
      <w:pPr>
        <w:rPr>
          <w:highlight w:val="white"/>
        </w:rPr>
      </w:pPr>
      <w:r>
        <w:rPr>
          <w:rFonts w:eastAsia="Calibri" w:cs="Times New Roman"/>
          <w:b/>
          <w:iCs/>
          <w:color w:val="00000A"/>
          <w:sz w:val="24"/>
          <w:szCs w:val="24"/>
          <w:lang w:val="x-none" w:eastAsia="x-none"/>
        </w:rPr>
        <w:t xml:space="preserve">Таблица </w:t>
      </w:r>
      <w:r>
        <w:rPr>
          <w:rFonts w:eastAsia="Calibri" w:cs="Times New Roman"/>
          <w:b/>
          <w:iCs/>
          <w:color w:val="00000A"/>
          <w:sz w:val="24"/>
          <w:szCs w:val="24"/>
          <w:lang w:eastAsia="x-none"/>
        </w:rPr>
        <w:t>1.</w:t>
      </w:r>
      <w:r>
        <w:rPr>
          <w:rFonts w:eastAsia="Calibri" w:cs="Times New Roman"/>
          <w:b/>
          <w:iCs/>
          <w:color w:val="00000A"/>
          <w:sz w:val="24"/>
          <w:szCs w:val="24"/>
          <w:lang w:val="x-none" w:eastAsia="x-none"/>
        </w:rPr>
        <w:t xml:space="preserve"> </w:t>
      </w:r>
      <w:r>
        <w:rPr>
          <w:rFonts w:eastAsia="Calibri" w:cs="Times New Roman"/>
          <w:b/>
          <w:iCs/>
          <w:color w:val="00000A"/>
          <w:sz w:val="24"/>
          <w:szCs w:val="24"/>
          <w:lang w:eastAsia="x-none"/>
        </w:rPr>
        <w:t>Перечень и объем закупаемой продукции</w:t>
      </w:r>
    </w:p>
    <w:tbl>
      <w:tblPr>
        <w:tblW w:w="9923" w:type="dxa"/>
        <w:tblInd w:w="88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666"/>
        <w:gridCol w:w="1746"/>
        <w:gridCol w:w="2977"/>
        <w:gridCol w:w="2980"/>
        <w:gridCol w:w="845"/>
        <w:gridCol w:w="709"/>
      </w:tblGrid>
      <w:tr w:rsidR="00FB387B">
        <w:trPr>
          <w:tblHeader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B387B" w:rsidRDefault="00464F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B387B" w:rsidRDefault="00464F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B387B" w:rsidRDefault="00464F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ОКПД 2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B387B" w:rsidRDefault="00464F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Марка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тип</w:t>
            </w:r>
            <w:proofErr w:type="spellEnd"/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B387B" w:rsidRDefault="00464F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B387B" w:rsidRDefault="00464F5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FB387B">
        <w:trPr>
          <w:tblHeader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FB387B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widowControl w:val="0"/>
              <w:ind w:left="-111" w:right="-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pStyle w:val="affff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pStyle w:val="affff7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>Модуль питания контроллера NPT BAY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pStyle w:val="affff7"/>
              <w:rPr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>М6-2PWR220-40</w:t>
            </w:r>
            <w:r>
              <w:rPr>
                <w:rStyle w:val="a8"/>
                <w:rFonts w:eastAsia="Calibri"/>
                <w:sz w:val="24"/>
                <w:szCs w:val="24"/>
                <w:highlight w:val="white"/>
              </w:rPr>
              <w:footnoteReference w:id="1"/>
            </w:r>
            <w:r>
              <w:rPr>
                <w:rFonts w:eastAsia="Times New Roman" w:cs="Times New Roman"/>
                <w:lang w:eastAsia="zh-C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pStyle w:val="affff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387B" w:rsidRDefault="00464F5A">
            <w:pPr>
              <w:pStyle w:val="affff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FB387B" w:rsidRDefault="00FB387B">
      <w:pPr>
        <w:rPr>
          <w:highlight w:val="white"/>
        </w:rPr>
      </w:pPr>
    </w:p>
    <w:p w:rsidR="00FB387B" w:rsidRDefault="00464F5A">
      <w:pPr>
        <w:pStyle w:val="3"/>
        <w:rPr>
          <w:highlight w:val="white"/>
        </w:rPr>
      </w:pPr>
      <w:bookmarkStart w:id="21" w:name="_Toc51339696"/>
      <w:bookmarkStart w:id="22" w:name="_Toc230255676"/>
      <w:bookmarkStart w:id="23" w:name="_Toc120614376"/>
      <w:bookmarkStart w:id="24" w:name="_Toc120606400"/>
      <w:bookmarkStart w:id="25" w:name="_Toc75446578"/>
      <w:r>
        <w:rPr>
          <w:highlight w:val="white"/>
        </w:rPr>
        <w:t xml:space="preserve">Требования </w:t>
      </w:r>
      <w:bookmarkEnd w:id="21"/>
      <w:r>
        <w:rPr>
          <w:highlight w:val="white"/>
        </w:rPr>
        <w:t>к срокам поставки продукции</w:t>
      </w:r>
      <w:bookmarkEnd w:id="22"/>
      <w:r>
        <w:rPr>
          <w:highlight w:val="white"/>
        </w:rPr>
        <w:t xml:space="preserve"> </w:t>
      </w:r>
      <w:bookmarkEnd w:id="23"/>
      <w:bookmarkEnd w:id="24"/>
      <w:bookmarkEnd w:id="25"/>
    </w:p>
    <w:p w:rsidR="00FB387B" w:rsidRDefault="00464F5A">
      <w:pPr>
        <w:ind w:right="-23"/>
        <w:jc w:val="both"/>
        <w:rPr>
          <w:sz w:val="24"/>
          <w:szCs w:val="24"/>
          <w:highlight w:val="white"/>
        </w:rPr>
      </w:pPr>
      <w:bookmarkStart w:id="26" w:name="_Toc75446579"/>
      <w:bookmarkStart w:id="27" w:name="_Toc50125126_Копия_1"/>
      <w:bookmarkStart w:id="28" w:name="_Toc50125127"/>
      <w:bookmarkStart w:id="29" w:name="_Toc51339697"/>
      <w:bookmarkEnd w:id="26"/>
      <w:bookmarkEnd w:id="27"/>
      <w:bookmarkEnd w:id="28"/>
      <w:bookmarkEnd w:id="29"/>
      <w:r>
        <w:rPr>
          <w:sz w:val="24"/>
          <w:szCs w:val="24"/>
          <w:highlight w:val="white"/>
        </w:rPr>
        <w:t>Начало поставки продукции:</w:t>
      </w:r>
      <w:r>
        <w:rPr>
          <w:i/>
          <w:highlight w:val="white"/>
        </w:rPr>
        <w:t xml:space="preserve"> </w:t>
      </w:r>
      <w:r>
        <w:rPr>
          <w:i/>
          <w:sz w:val="24"/>
          <w:szCs w:val="24"/>
          <w:highlight w:val="white"/>
        </w:rPr>
        <w:t>со дня, следующего за днем заключения договора.</w:t>
      </w:r>
    </w:p>
    <w:p w:rsidR="00FB387B" w:rsidRDefault="00464F5A">
      <w:pPr>
        <w:ind w:right="-23"/>
        <w:jc w:val="both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Окончание поставки продукции: </w:t>
      </w:r>
      <w:r>
        <w:rPr>
          <w:i/>
          <w:sz w:val="24"/>
          <w:szCs w:val="24"/>
          <w:highlight w:val="white"/>
        </w:rPr>
        <w:t xml:space="preserve">в течение </w:t>
      </w:r>
      <w:r w:rsidRPr="00464F5A">
        <w:rPr>
          <w:i/>
          <w:sz w:val="24"/>
          <w:szCs w:val="24"/>
        </w:rPr>
        <w:t xml:space="preserve">60 </w:t>
      </w:r>
      <w:r>
        <w:rPr>
          <w:i/>
          <w:sz w:val="24"/>
          <w:szCs w:val="24"/>
          <w:highlight w:val="white"/>
        </w:rPr>
        <w:t>календарных дней со дня, следующего за днем заключения договора.</w:t>
      </w:r>
    </w:p>
    <w:p w:rsidR="00FB387B" w:rsidRDefault="00464F5A">
      <w:pPr>
        <w:ind w:right="-23"/>
        <w:jc w:val="both"/>
        <w:rPr>
          <w:sz w:val="24"/>
          <w:szCs w:val="24"/>
          <w:highlight w:val="white"/>
        </w:rPr>
        <w:sectPr w:rsidR="00FB387B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  <w:highlight w:val="white"/>
        </w:rPr>
        <w:t xml:space="preserve"> </w:t>
      </w:r>
      <w:bookmarkStart w:id="30" w:name="_Toc75446579_Копия_1"/>
      <w:bookmarkStart w:id="31" w:name="_Toc50125127_Копия_1"/>
      <w:bookmarkStart w:id="32" w:name="_Toc46743510_Копия_1"/>
      <w:bookmarkStart w:id="33" w:name="_Toc51339697_Копия_1"/>
    </w:p>
    <w:p w:rsidR="00FB387B" w:rsidRDefault="00464F5A">
      <w:pPr>
        <w:pStyle w:val="40"/>
        <w:numPr>
          <w:ilvl w:val="1"/>
          <w:numId w:val="3"/>
        </w:numPr>
        <w:tabs>
          <w:tab w:val="clear" w:pos="426"/>
          <w:tab w:val="left" w:pos="0"/>
        </w:tabs>
        <w:ind w:left="567" w:hanging="567"/>
        <w:rPr>
          <w:highlight w:val="white"/>
        </w:rPr>
      </w:pPr>
      <w:bookmarkStart w:id="34" w:name="_Toc46743511"/>
      <w:bookmarkStart w:id="35" w:name="_Toc75446581"/>
      <w:bookmarkStart w:id="36" w:name="_Toc120606402"/>
      <w:bookmarkStart w:id="37" w:name="_Toc75446582"/>
      <w:bookmarkStart w:id="38" w:name="_Toc120614378"/>
      <w:bookmarkStart w:id="39" w:name="_Toc50125131"/>
      <w:bookmarkStart w:id="40" w:name="_Toc51339698"/>
      <w:bookmarkEnd w:id="30"/>
      <w:bookmarkEnd w:id="31"/>
      <w:bookmarkEnd w:id="32"/>
      <w:bookmarkEnd w:id="33"/>
      <w:r>
        <w:rPr>
          <w:highlight w:val="white"/>
        </w:rPr>
        <w:lastRenderedPageBreak/>
        <w:t xml:space="preserve">Требования к </w:t>
      </w:r>
      <w:bookmarkEnd w:id="34"/>
      <w:r>
        <w:rPr>
          <w:highlight w:val="white"/>
        </w:rPr>
        <w:t>качеству продукции</w:t>
      </w:r>
      <w:bookmarkEnd w:id="35"/>
    </w:p>
    <w:p w:rsidR="00FB387B" w:rsidRDefault="00464F5A">
      <w:pPr>
        <w:pStyle w:val="1"/>
        <w:numPr>
          <w:ilvl w:val="0"/>
          <w:numId w:val="0"/>
        </w:numPr>
        <w:rPr>
          <w:sz w:val="24"/>
          <w:szCs w:val="24"/>
          <w:highlight w:val="white"/>
        </w:rPr>
      </w:pPr>
      <w:bookmarkStart w:id="41" w:name="_Toc230255677"/>
      <w:r>
        <w:rPr>
          <w:sz w:val="24"/>
          <w:szCs w:val="24"/>
          <w:highlight w:val="white"/>
        </w:rPr>
        <w:t>Таблица 2. Требования к продукции</w:t>
      </w:r>
      <w:bookmarkEnd w:id="41"/>
      <w:r>
        <w:rPr>
          <w:sz w:val="24"/>
          <w:szCs w:val="24"/>
          <w:highlight w:val="white"/>
        </w:rPr>
        <w:t xml:space="preserve"> </w:t>
      </w:r>
      <w:bookmarkEnd w:id="36"/>
      <w:bookmarkEnd w:id="37"/>
      <w:bookmarkEnd w:id="38"/>
      <w:bookmarkEnd w:id="39"/>
      <w:bookmarkEnd w:id="40"/>
      <w:r>
        <w:br w:type="page"/>
      </w:r>
    </w:p>
    <w:tbl>
      <w:tblPr>
        <w:tblW w:w="1531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52"/>
        <w:gridCol w:w="2125"/>
        <w:gridCol w:w="29"/>
        <w:gridCol w:w="6237"/>
        <w:gridCol w:w="2099"/>
        <w:gridCol w:w="2125"/>
        <w:gridCol w:w="1843"/>
      </w:tblGrid>
      <w:tr w:rsidR="00FB387B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pageBreakBefore/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lastRenderedPageBreak/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Наименование параметра</w:t>
            </w:r>
          </w:p>
        </w:tc>
        <w:tc>
          <w:tcPr>
            <w:tcW w:w="6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Требование Заказчика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Предложение Участника по характеристикам и параметрам</w:t>
            </w:r>
          </w:p>
        </w:tc>
      </w:tr>
      <w:tr w:rsidR="00FB387B">
        <w:trPr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FB387B">
            <w:pPr>
              <w:widowControl w:val="0"/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FB387B">
            <w:pPr>
              <w:widowControl w:val="0"/>
            </w:pPr>
          </w:p>
        </w:tc>
        <w:tc>
          <w:tcPr>
            <w:tcW w:w="62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FB387B">
            <w:pPr>
              <w:widowControl w:val="0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Согласие с требованием/ указание характеристик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ind w:left="-114" w:right="-10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widowControl w:val="0"/>
            </w:pPr>
          </w:p>
        </w:tc>
      </w:tr>
      <w:tr w:rsidR="00FB387B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spacing w:before="60" w:after="60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6</w:t>
            </w:r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highlight w:val="white"/>
              </w:rPr>
            </w:pPr>
          </w:p>
        </w:tc>
        <w:tc>
          <w:tcPr>
            <w:tcW w:w="8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highlight w:val="white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spacing w:before="60" w:after="60"/>
              <w:ind w:left="25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>Модуль питания контроллера NPT BAY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spacing w:before="60" w:after="60"/>
              <w:ind w:left="25"/>
              <w:rPr>
                <w:sz w:val="24"/>
                <w:szCs w:val="24"/>
              </w:rPr>
            </w:pPr>
            <w:r w:rsidRPr="00464F5A">
              <w:rPr>
                <w:rFonts w:eastAsia="Calibri"/>
                <w:sz w:val="24"/>
                <w:szCs w:val="24"/>
                <w:highlight w:val="white"/>
              </w:rPr>
              <w:t xml:space="preserve">Марка </w:t>
            </w:r>
            <w:r>
              <w:rPr>
                <w:rFonts w:eastAsia="Calibri"/>
                <w:sz w:val="24"/>
                <w:szCs w:val="24"/>
                <w:highlight w:val="white"/>
              </w:rPr>
              <w:t>М6-2PWR220-40</w:t>
            </w:r>
          </w:p>
          <w:p w:rsidR="00FB387B" w:rsidRDefault="00464F5A">
            <w:pPr>
              <w:widowControl w:val="0"/>
              <w:spacing w:before="60" w:after="60"/>
              <w:ind w:left="25"/>
              <w:rPr>
                <w:sz w:val="24"/>
                <w:szCs w:val="24"/>
              </w:rPr>
            </w:pPr>
            <w:r w:rsidRPr="00464F5A">
              <w:rPr>
                <w:rFonts w:eastAsia="Calibri"/>
                <w:sz w:val="24"/>
                <w:szCs w:val="24"/>
              </w:rPr>
              <w:t>Основные характеристики:</w:t>
            </w:r>
          </w:p>
          <w:p w:rsidR="00FB387B" w:rsidRDefault="00464F5A">
            <w:pPr>
              <w:widowControl w:val="0"/>
              <w:spacing w:before="60" w:after="60"/>
              <w:ind w:left="25"/>
              <w:rPr>
                <w:sz w:val="24"/>
                <w:szCs w:val="24"/>
              </w:rPr>
            </w:pPr>
            <w:r w:rsidRPr="00464F5A">
              <w:rPr>
                <w:sz w:val="24"/>
                <w:szCs w:val="24"/>
                <w:highlight w:val="white"/>
              </w:rPr>
              <w:t>Напряжение питания по постоянному току, В - От 100 до 375</w:t>
            </w:r>
            <w:r w:rsidRPr="00464F5A">
              <w:rPr>
                <w:sz w:val="24"/>
                <w:szCs w:val="24"/>
                <w:highlight w:val="white"/>
              </w:rPr>
              <w:br/>
              <w:t>Напряжение питания по переменному току. В - От 90 до 264</w:t>
            </w:r>
            <w:r w:rsidRPr="00464F5A">
              <w:rPr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>Максимальная мощность каждого входа питания, Вт - 40</w:t>
            </w:r>
            <w:r>
              <w:rPr>
                <w:sz w:val="24"/>
                <w:szCs w:val="24"/>
              </w:rPr>
              <w:br/>
              <w:t xml:space="preserve">Выходное напряжение питания </w:t>
            </w:r>
            <w:proofErr w:type="spellStart"/>
            <w:r>
              <w:rPr>
                <w:sz w:val="24"/>
                <w:szCs w:val="24"/>
              </w:rPr>
              <w:t>крейта</w:t>
            </w:r>
            <w:proofErr w:type="spellEnd"/>
            <w:r>
              <w:rPr>
                <w:sz w:val="24"/>
                <w:szCs w:val="24"/>
              </w:rPr>
              <w:t>, В - 24 В ± 5 %</w:t>
            </w:r>
            <w:r>
              <w:rPr>
                <w:sz w:val="24"/>
                <w:szCs w:val="24"/>
              </w:rPr>
              <w:br/>
              <w:t xml:space="preserve">Порог срабатывания дискретного сигнала о неисправности питания </w:t>
            </w:r>
            <w:proofErr w:type="spellStart"/>
            <w:r>
              <w:rPr>
                <w:sz w:val="24"/>
                <w:szCs w:val="24"/>
              </w:rPr>
              <w:t>крейта</w:t>
            </w:r>
            <w:proofErr w:type="spellEnd"/>
            <w:r>
              <w:rPr>
                <w:sz w:val="24"/>
                <w:szCs w:val="24"/>
              </w:rPr>
              <w:t>, В - 22 В ± 2 %</w:t>
            </w:r>
            <w:r>
              <w:rPr>
                <w:sz w:val="24"/>
                <w:szCs w:val="24"/>
              </w:rPr>
              <w:br/>
              <w:t xml:space="preserve">Выходное напряжение питания интерфейсов </w:t>
            </w:r>
            <w:proofErr w:type="spellStart"/>
            <w:r>
              <w:rPr>
                <w:sz w:val="24"/>
                <w:szCs w:val="24"/>
              </w:rPr>
              <w:t>крейта</w:t>
            </w:r>
            <w:proofErr w:type="spellEnd"/>
            <w:r>
              <w:rPr>
                <w:sz w:val="24"/>
                <w:szCs w:val="24"/>
              </w:rPr>
              <w:t>, В - 3,3 В ± 1 %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spacing w:before="60" w:after="60"/>
              <w:ind w:left="25"/>
              <w:jc w:val="center"/>
              <w:rPr>
                <w:highlight w:val="white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spacing w:before="60" w:after="60"/>
              <w:ind w:left="25"/>
              <w:jc w:val="center"/>
              <w:rPr>
                <w:i/>
                <w:highlight w:val="white"/>
                <w:lang w:val="en-US"/>
              </w:rPr>
            </w:pPr>
            <w:r>
              <w:rPr>
                <w:i/>
                <w:iCs/>
                <w:sz w:val="24"/>
                <w:szCs w:val="24"/>
                <w:highlight w:val="white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spacing w:before="60" w:after="60"/>
              <w:ind w:left="25"/>
              <w:jc w:val="center"/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</w:pP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заполняется</w:t>
            </w:r>
            <w:proofErr w:type="spellEnd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Участником</w:t>
            </w:r>
            <w:proofErr w:type="spellEnd"/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FB387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highlight w:val="white"/>
              </w:rPr>
            </w:pPr>
          </w:p>
        </w:tc>
        <w:tc>
          <w:tcPr>
            <w:tcW w:w="8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Требования к доставке, маркировке, упаковке, транспортировке, перемещению.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highlight w:val="whit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Место поставки продукции</w:t>
            </w:r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pStyle w:val="aff0"/>
              <w:widowControl w:val="0"/>
              <w:tabs>
                <w:tab w:val="left" w:pos="438"/>
              </w:tabs>
              <w:ind w:left="31"/>
              <w:jc w:val="both"/>
              <w:rPr>
                <w:highlight w:val="white"/>
              </w:rPr>
            </w:pPr>
            <w:r>
              <w:rPr>
                <w:highlight w:val="white"/>
              </w:rPr>
              <w:t>Филиал ПАО «</w:t>
            </w:r>
            <w:proofErr w:type="spellStart"/>
            <w:r>
              <w:rPr>
                <w:highlight w:val="white"/>
              </w:rPr>
              <w:t>РусГидро</w:t>
            </w:r>
            <w:proofErr w:type="spellEnd"/>
            <w:r>
              <w:rPr>
                <w:highlight w:val="white"/>
              </w:rPr>
              <w:t>»-«</w:t>
            </w:r>
            <w:proofErr w:type="spellStart"/>
            <w:r>
              <w:rPr>
                <w:highlight w:val="white"/>
              </w:rPr>
              <w:t>Воткинская</w:t>
            </w:r>
            <w:proofErr w:type="spellEnd"/>
            <w:r>
              <w:rPr>
                <w:highlight w:val="white"/>
              </w:rPr>
              <w:t xml:space="preserve"> ГЭС», 617760,</w:t>
            </w:r>
          </w:p>
          <w:p w:rsidR="00FB387B" w:rsidRDefault="00464F5A">
            <w:pPr>
              <w:pStyle w:val="aff0"/>
              <w:widowControl w:val="0"/>
              <w:tabs>
                <w:tab w:val="left" w:pos="438"/>
              </w:tabs>
              <w:ind w:left="31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Российская Федерация, Пермский край, </w:t>
            </w:r>
            <w:proofErr w:type="spellStart"/>
            <w:r>
              <w:rPr>
                <w:highlight w:val="white"/>
              </w:rPr>
              <w:t>г.о</w:t>
            </w:r>
            <w:proofErr w:type="spellEnd"/>
            <w:r>
              <w:rPr>
                <w:highlight w:val="white"/>
              </w:rPr>
              <w:t>. Чайковский,</w:t>
            </w:r>
          </w:p>
          <w:p w:rsidR="00FB387B" w:rsidRDefault="00464F5A">
            <w:pPr>
              <w:pStyle w:val="aff0"/>
              <w:widowControl w:val="0"/>
              <w:tabs>
                <w:tab w:val="left" w:pos="438"/>
              </w:tabs>
              <w:ind w:left="31"/>
              <w:jc w:val="both"/>
              <w:rPr>
                <w:highlight w:val="white"/>
              </w:rPr>
            </w:pPr>
            <w:r>
              <w:rPr>
                <w:highlight w:val="white"/>
              </w:rPr>
              <w:t>г. Чайковский, территория Воткинской ГЭС, д. 1/2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>Согласие с требованием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pStyle w:val="affff2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highlight w:val="white"/>
              </w:rPr>
            </w:pPr>
            <w:r>
              <w:rPr>
                <w:rFonts w:eastAsia="Times New Roman"/>
                <w:b w:val="0"/>
                <w:i/>
                <w:iCs/>
                <w:sz w:val="20"/>
                <w:szCs w:val="20"/>
                <w:highlight w:val="white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highlight w:val="white"/>
              </w:rPr>
            </w:pP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заполняется</w:t>
            </w:r>
            <w:proofErr w:type="spellEnd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Участником</w:t>
            </w:r>
            <w:proofErr w:type="spellEnd"/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highlight w:val="whit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  <w:lang w:val="en-US"/>
              </w:rPr>
              <w:t>Условия</w:t>
            </w:r>
            <w:proofErr w:type="spellEnd"/>
            <w:r>
              <w:rPr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  <w:lang w:val="en-US"/>
              </w:rPr>
              <w:t>поставки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Доставка продукции Заказчику осуществляется силами, средствами и за счет Поставщика в рабочее время с 9-00 до 15-00 часов в срок, указанный в подразделе 2.1.2 настоящих ТТ.</w:t>
            </w:r>
          </w:p>
          <w:p w:rsidR="00FB387B" w:rsidRDefault="00464F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:rsidR="00FB387B" w:rsidRDefault="00464F5A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lastRenderedPageBreak/>
              <w:t>Дата, время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Заказчика не позднее 12-00 часов дня по московскому времени, предшествующего дню поставки.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lastRenderedPageBreak/>
              <w:t>Согласие с требованием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iCs/>
                <w:highlight w:val="white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highlight w:val="white"/>
              </w:rPr>
            </w:pP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заполняется</w:t>
            </w:r>
            <w:proofErr w:type="spellEnd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Участником</w:t>
            </w:r>
            <w:proofErr w:type="spellEnd"/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highlight w:val="whit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Требования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упаковке</w:t>
            </w:r>
            <w:proofErr w:type="spellEnd"/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 должна быть упакована в заводскую упаковку, упаковка должна обеспечивать их защиту от загрязнения и обеспечивать сохранность при транспортировке. Упаковка не должна быть нарушена или повреждена.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>Согласие с требованием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iCs/>
                <w:highlight w:val="white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highlight w:val="white"/>
              </w:rPr>
            </w:pP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заполняется</w:t>
            </w:r>
            <w:proofErr w:type="spellEnd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Участником</w:t>
            </w:r>
            <w:proofErr w:type="spellEnd"/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highlight w:val="whit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Требования к маркировке</w:t>
            </w:r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567"/>
              </w:tabs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Поставщик маркирует упаковку следующим образом: наименование организации, номер и дата договора, дата отгрузки согласно накладной ТОРГ-12 или Универсального передаточного документа (далее - УПД).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>Согласие с требованием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iCs/>
                <w:highlight w:val="white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highlight w:val="white"/>
              </w:rPr>
            </w:pP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заполняется</w:t>
            </w:r>
            <w:proofErr w:type="spellEnd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i/>
                <w:color w:val="A6A6A6" w:themeColor="background1" w:themeShade="A6"/>
                <w:sz w:val="24"/>
                <w:szCs w:val="24"/>
                <w:highlight w:val="white"/>
                <w:lang w:val="en-US"/>
              </w:rPr>
              <w:t>Участником</w:t>
            </w:r>
            <w:proofErr w:type="spellEnd"/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0"/>
                <w:numId w:val="6"/>
              </w:numPr>
              <w:spacing w:before="40" w:after="96"/>
              <w:jc w:val="center"/>
              <w:rPr>
                <w:highlight w:val="white"/>
              </w:rPr>
            </w:pPr>
          </w:p>
        </w:tc>
        <w:tc>
          <w:tcPr>
            <w:tcW w:w="8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spacing w:before="40" w:after="96"/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spacing w:before="40" w:after="96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spacing w:before="40" w:after="96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widowControl w:val="0"/>
              <w:spacing w:before="40" w:after="96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highlight w:val="whit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Срок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гарантии</w:t>
            </w:r>
            <w:proofErr w:type="spellEnd"/>
          </w:p>
        </w:tc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 w:rsidP="00C7221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</w:t>
            </w:r>
            <w:r w:rsidR="00C72214" w:rsidRPr="00C72214">
              <w:rPr>
                <w:rFonts w:eastAsia="Times New Roman" w:cs="Times New Roman"/>
                <w:sz w:val="24"/>
                <w:szCs w:val="20"/>
              </w:rPr>
              <w:t xml:space="preserve">составлять не менее 12 (двенадцать) месяцев и </w:t>
            </w:r>
            <w:r>
              <w:rPr>
                <w:sz w:val="24"/>
                <w:szCs w:val="24"/>
              </w:rPr>
              <w:t xml:space="preserve">исчисляться с даты подписания Заказчиком товарной накладной унифицированной формы ТОРГ-12 </w:t>
            </w:r>
            <w:r>
              <w:rPr>
                <w:rFonts w:eastAsia="Calibri"/>
                <w:sz w:val="24"/>
                <w:szCs w:val="24"/>
                <w:lang w:eastAsia="en-US"/>
              </w:rPr>
              <w:t>или УПД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>Согласие с требованием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i/>
                <w:iCs/>
                <w:highlight w:val="white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pStyle w:val="affff2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sz w:val="20"/>
                <w:szCs w:val="20"/>
                <w:highlight w:val="white"/>
              </w:rPr>
            </w:pPr>
            <w:r w:rsidRPr="00C72214">
              <w:rPr>
                <w:b w:val="0"/>
                <w:i/>
                <w:color w:val="A6A6A6" w:themeColor="background1" w:themeShade="A6"/>
                <w:highlight w:val="white"/>
              </w:rPr>
              <w:t>заполняется Участником</w:t>
            </w:r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0"/>
                <w:numId w:val="6"/>
              </w:numPr>
              <w:spacing w:before="40" w:after="96"/>
              <w:jc w:val="center"/>
              <w:rPr>
                <w:highlight w:val="white"/>
              </w:rPr>
            </w:pPr>
          </w:p>
        </w:tc>
        <w:tc>
          <w:tcPr>
            <w:tcW w:w="8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7B" w:rsidRDefault="00464F5A">
            <w:pPr>
              <w:widowControl w:val="0"/>
              <w:spacing w:before="40" w:after="96"/>
              <w:jc w:val="both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spacing w:before="40" w:after="96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spacing w:before="40" w:after="96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widowControl w:val="0"/>
              <w:spacing w:before="40" w:after="96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FB38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FB387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highlight w:val="white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комплектации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сертификаты соответствия продукции от завода-изготовителя.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>Согласие с требованием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i/>
                <w:iCs/>
                <w:highlight w:val="white"/>
              </w:rPr>
              <w:t>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7B" w:rsidRDefault="00464F5A">
            <w:pPr>
              <w:pStyle w:val="affff2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sz w:val="20"/>
                <w:szCs w:val="20"/>
                <w:highlight w:val="white"/>
              </w:rPr>
            </w:pPr>
            <w:proofErr w:type="spellStart"/>
            <w:r>
              <w:rPr>
                <w:b w:val="0"/>
                <w:i/>
                <w:color w:val="A6A6A6" w:themeColor="background1" w:themeShade="A6"/>
                <w:highlight w:val="white"/>
                <w:lang w:val="en-US"/>
              </w:rPr>
              <w:t>заполняется</w:t>
            </w:r>
            <w:proofErr w:type="spellEnd"/>
            <w:r>
              <w:rPr>
                <w:b w:val="0"/>
                <w:i/>
                <w:color w:val="A6A6A6" w:themeColor="background1" w:themeShade="A6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b w:val="0"/>
                <w:i/>
                <w:color w:val="A6A6A6" w:themeColor="background1" w:themeShade="A6"/>
                <w:highlight w:val="white"/>
                <w:lang w:val="en-US"/>
              </w:rPr>
              <w:t>Участником</w:t>
            </w:r>
            <w:proofErr w:type="spellEnd"/>
          </w:p>
        </w:tc>
      </w:tr>
    </w:tbl>
    <w:p w:rsidR="00FB387B" w:rsidRDefault="00FB387B">
      <w:pPr>
        <w:sectPr w:rsidR="00FB387B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60"/>
        </w:sectPr>
      </w:pPr>
    </w:p>
    <w:p w:rsidR="00FB387B" w:rsidRDefault="00464F5A">
      <w:pPr>
        <w:pStyle w:val="1"/>
        <w:ind w:left="0" w:firstLine="0"/>
        <w:jc w:val="center"/>
        <w:rPr>
          <w:highlight w:val="white"/>
        </w:rPr>
      </w:pPr>
      <w:bookmarkStart w:id="42" w:name="_Toc230255678"/>
      <w:bookmarkStart w:id="43" w:name="_Toc120606403"/>
      <w:bookmarkStart w:id="44" w:name="_Toc53393312"/>
      <w:bookmarkStart w:id="45" w:name="_Toc75446583"/>
      <w:r>
        <w:rPr>
          <w:highlight w:val="white"/>
        </w:rPr>
        <w:lastRenderedPageBreak/>
        <w:t>Требования к документации по ценообразованию на этапе закупки</w:t>
      </w:r>
      <w:bookmarkEnd w:id="42"/>
      <w:r>
        <w:rPr>
          <w:highlight w:val="white"/>
        </w:rPr>
        <w:t xml:space="preserve"> </w:t>
      </w:r>
      <w:bookmarkEnd w:id="43"/>
      <w:bookmarkEnd w:id="44"/>
      <w:bookmarkEnd w:id="45"/>
    </w:p>
    <w:p w:rsidR="00FB387B" w:rsidRDefault="00464F5A">
      <w:pPr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3.1. В обоснование стоимости своей заявки Участник предоставляет Коммерческое предложение в произвольной форме.</w:t>
      </w:r>
    </w:p>
    <w:p w:rsidR="00FB387B" w:rsidRDefault="00464F5A">
      <w:pPr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3.2. Стоимость продукции (товара) должна включать в себя упаковку, транспортировку товара до места поставки, погрузку, разгрузку, подлежащие уплате налоги, сборы и пошлины, прочие затраты и расходы Поставщика, связанные с поставкой товара.</w:t>
      </w:r>
    </w:p>
    <w:p w:rsidR="00FB387B" w:rsidRDefault="00464F5A">
      <w:pPr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3.3. Дополнительные документы по ценообразованию в состав заявки не включаются.</w:t>
      </w:r>
    </w:p>
    <w:p w:rsidR="00FB387B" w:rsidRDefault="00FB387B">
      <w:pPr>
        <w:jc w:val="both"/>
        <w:rPr>
          <w:sz w:val="24"/>
          <w:szCs w:val="24"/>
        </w:rPr>
      </w:pPr>
    </w:p>
    <w:p w:rsidR="00FB387B" w:rsidRDefault="00FB387B">
      <w:pPr>
        <w:ind w:firstLine="567"/>
        <w:jc w:val="both"/>
        <w:rPr>
          <w:rFonts w:eastAsia="Calibri"/>
          <w:sz w:val="24"/>
          <w:szCs w:val="24"/>
        </w:rPr>
      </w:pPr>
    </w:p>
    <w:p w:rsidR="00FB387B" w:rsidRDefault="00FB387B">
      <w:pPr>
        <w:ind w:firstLine="567"/>
        <w:jc w:val="both"/>
        <w:rPr>
          <w:rFonts w:eastAsia="Calibri"/>
          <w:sz w:val="24"/>
          <w:szCs w:val="24"/>
        </w:rPr>
      </w:pPr>
      <w:bookmarkStart w:id="46" w:name="_Toc51339699_Копия_1"/>
      <w:bookmarkStart w:id="47" w:name="_Toc46743519_Копия_1"/>
      <w:bookmarkEnd w:id="46"/>
      <w:bookmarkEnd w:id="47"/>
    </w:p>
    <w:p w:rsidR="00FB387B" w:rsidRDefault="00FB387B">
      <w:pPr>
        <w:ind w:firstLine="567"/>
        <w:jc w:val="both"/>
        <w:rPr>
          <w:iCs/>
          <w:sz w:val="24"/>
          <w:szCs w:val="24"/>
        </w:rPr>
      </w:pPr>
    </w:p>
    <w:p w:rsidR="00FB387B" w:rsidRDefault="00464F5A">
      <w:pPr>
        <w:ind w:firstLine="567"/>
        <w:jc w:val="both"/>
        <w:rPr>
          <w:color w:val="FF0000"/>
          <w:sz w:val="24"/>
          <w:shd w:val="clear" w:color="auto" w:fill="FFFF99"/>
        </w:rPr>
      </w:pPr>
      <w:bookmarkStart w:id="48" w:name="_GoBack"/>
      <w:bookmarkEnd w:id="48"/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           </w:t>
      </w:r>
    </w:p>
    <w:p w:rsidR="00FB387B" w:rsidRDefault="00FB387B">
      <w:pPr>
        <w:jc w:val="both"/>
        <w:rPr>
          <w:sz w:val="24"/>
          <w:szCs w:val="24"/>
        </w:rPr>
      </w:pPr>
    </w:p>
    <w:p w:rsidR="00FB387B" w:rsidRDefault="00FB387B">
      <w:pPr>
        <w:spacing w:after="120"/>
        <w:rPr>
          <w:highlight w:val="white"/>
        </w:rPr>
      </w:pPr>
    </w:p>
    <w:sectPr w:rsidR="00FB387B">
      <w:headerReference w:type="default" r:id="rId12"/>
      <w:head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C8D" w:rsidRDefault="00464F5A">
      <w:r>
        <w:separator/>
      </w:r>
    </w:p>
  </w:endnote>
  <w:endnote w:type="continuationSeparator" w:id="0">
    <w:p w:rsidR="00482C8D" w:rsidRDefault="0046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7B" w:rsidRDefault="00464F5A">
      <w:pPr>
        <w:rPr>
          <w:sz w:val="12"/>
        </w:rPr>
      </w:pPr>
      <w:r>
        <w:separator/>
      </w:r>
    </w:p>
  </w:footnote>
  <w:footnote w:type="continuationSeparator" w:id="0">
    <w:p w:rsidR="00FB387B" w:rsidRDefault="00464F5A">
      <w:pPr>
        <w:rPr>
          <w:sz w:val="12"/>
        </w:rPr>
      </w:pPr>
      <w:r>
        <w:continuationSeparator/>
      </w:r>
    </w:p>
  </w:footnote>
  <w:footnote w:id="1">
    <w:p w:rsidR="00FB387B" w:rsidRDefault="00464F5A">
      <w:pPr>
        <w:pStyle w:val="afc"/>
        <w:widowControl w:val="0"/>
      </w:pPr>
      <w:r>
        <w:rPr>
          <w:rStyle w:val="a7"/>
        </w:rPr>
        <w:footnoteRef/>
      </w:r>
      <w:r>
        <w:t xml:space="preserve"> Поставка эквивалентов не допускается, т.к. закупаемая продукция будет использоваться во взаимодействии с установленным оборудованием, уже использующимся Заказчиком, и использование именно этих запчастей и комплектующих предусмотрено документацией.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7B" w:rsidRDefault="00464F5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C3F8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7B" w:rsidRDefault="00FB387B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7B" w:rsidRDefault="00464F5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C3F8D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7B" w:rsidRDefault="00FB387B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7B" w:rsidRDefault="00464F5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7B" w:rsidRDefault="00FB387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5B1C"/>
    <w:multiLevelType w:val="multilevel"/>
    <w:tmpl w:val="160626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E7E62"/>
    <w:multiLevelType w:val="multilevel"/>
    <w:tmpl w:val="A10E23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DAF76CC"/>
    <w:multiLevelType w:val="multilevel"/>
    <w:tmpl w:val="9C783F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FD57D0F"/>
    <w:multiLevelType w:val="multilevel"/>
    <w:tmpl w:val="1A72F0DE"/>
    <w:lvl w:ilvl="0">
      <w:start w:val="1"/>
      <w:numFmt w:val="bullet"/>
      <w:pStyle w:val="4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DC5AA2"/>
    <w:multiLevelType w:val="multilevel"/>
    <w:tmpl w:val="7F8EF2E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80E4CF2"/>
    <w:multiLevelType w:val="multilevel"/>
    <w:tmpl w:val="6130CF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73C64BDA"/>
    <w:multiLevelType w:val="multilevel"/>
    <w:tmpl w:val="6A3C0F9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7B"/>
    <w:rsid w:val="00464F5A"/>
    <w:rsid w:val="00482C8D"/>
    <w:rsid w:val="008C3F8D"/>
    <w:rsid w:val="00C72214"/>
    <w:rsid w:val="00F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1008"/>
  <w15:docId w15:val="{8FCC03E4-6ECF-4501-8B39-FAC7AC89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uppressAutoHyphens w:val="0"/>
    </w:pPr>
    <w:rPr>
      <w:sz w:val="28"/>
      <w:szCs w:val="28"/>
    </w:rPr>
  </w:style>
  <w:style w:type="paragraph" w:styleId="1">
    <w:name w:val="heading 1"/>
    <w:basedOn w:val="3"/>
    <w:next w:val="a3"/>
    <w:link w:val="10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0"/>
    <w:next w:val="a3"/>
    <w:link w:val="23"/>
    <w:qFormat/>
    <w:pPr>
      <w:outlineLvl w:val="1"/>
    </w:pPr>
  </w:style>
  <w:style w:type="paragraph" w:styleId="3">
    <w:name w:val="heading 3"/>
    <w:basedOn w:val="a3"/>
    <w:next w:val="a3"/>
    <w:link w:val="32"/>
    <w:qFormat/>
    <w:pPr>
      <w:keepNext/>
      <w:numPr>
        <w:ilvl w:val="2"/>
        <w:numId w:val="3"/>
      </w:numPr>
      <w:tabs>
        <w:tab w:val="left" w:pos="426"/>
        <w:tab w:val="left" w:pos="709"/>
      </w:tabs>
      <w:spacing w:before="120" w:after="60"/>
      <w:ind w:left="0" w:firstLine="567"/>
      <w:jc w:val="both"/>
      <w:outlineLvl w:val="2"/>
    </w:pPr>
    <w:rPr>
      <w:rFonts w:eastAsia="Calibri"/>
      <w:b/>
      <w:sz w:val="24"/>
      <w:szCs w:val="24"/>
    </w:rPr>
  </w:style>
  <w:style w:type="paragraph" w:styleId="40">
    <w:name w:val="heading 4"/>
    <w:basedOn w:val="3"/>
    <w:next w:val="a3"/>
    <w:link w:val="41"/>
    <w:qFormat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4"/>
    <w:uiPriority w:val="10"/>
    <w:qFormat/>
    <w:rPr>
      <w:sz w:val="48"/>
      <w:szCs w:val="48"/>
    </w:rPr>
  </w:style>
  <w:style w:type="character" w:customStyle="1" w:styleId="SubtitleChar">
    <w:name w:val="Subtitle Char"/>
    <w:basedOn w:val="a4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4"/>
    <w:uiPriority w:val="99"/>
    <w:qFormat/>
  </w:style>
  <w:style w:type="character" w:customStyle="1" w:styleId="FooterChar">
    <w:name w:val="Footer Char"/>
    <w:basedOn w:val="a4"/>
    <w:uiPriority w:val="99"/>
    <w:qFormat/>
  </w:style>
  <w:style w:type="character" w:customStyle="1" w:styleId="CaptionChar">
    <w:name w:val="Caption Char"/>
    <w:basedOn w:val="a4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"/>
    <w:qFormat/>
    <w:rPr>
      <w:rFonts w:eastAsia="Calibri"/>
      <w:b/>
      <w:sz w:val="24"/>
      <w:szCs w:val="24"/>
    </w:rPr>
  </w:style>
  <w:style w:type="character" w:customStyle="1" w:styleId="41">
    <w:name w:val="Заголовок 4 Знак"/>
    <w:link w:val="40"/>
    <w:qFormat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qFormat/>
    <w:rPr>
      <w:sz w:val="28"/>
    </w:rPr>
  </w:style>
  <w:style w:type="character" w:customStyle="1" w:styleId="ae">
    <w:name w:val="Подзаголовок Знак"/>
    <w:link w:val="af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0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</w:rPr>
  </w:style>
  <w:style w:type="character" w:customStyle="1" w:styleId="af1">
    <w:name w:val="Выделенная цитата Знак"/>
    <w:link w:val="af2"/>
    <w:qFormat/>
    <w:rPr>
      <w:rFonts w:ascii="Calibri" w:eastAsia="Calibri" w:hAnsi="Calibri"/>
      <w:b/>
      <w:bCs/>
      <w:i/>
      <w:iCs/>
      <w:color w:val="4F81BD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uiPriority w:val="34"/>
    <w:qFormat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1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linenumber1">
    <w:name w:val="line number1"/>
    <w:qFormat/>
  </w:style>
  <w:style w:type="character" w:customStyle="1" w:styleId="affc">
    <w:name w:val="Ссылка указателя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customStyle="1" w:styleId="linenumber5">
    <w:name w:val="line number5"/>
    <w:qFormat/>
  </w:style>
  <w:style w:type="character" w:styleId="affd">
    <w:name w:val="line number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hAnsi="Liberation Sans"/>
    </w:rPr>
  </w:style>
  <w:style w:type="paragraph" w:styleId="afe">
    <w:name w:val="Body Text"/>
    <w:basedOn w:val="a3"/>
    <w:link w:val="afd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e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e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e"/>
    <w:qFormat/>
  </w:style>
  <w:style w:type="paragraph" w:styleId="afff2">
    <w:name w:val="table of figures"/>
    <w:basedOn w:val="a3"/>
    <w:next w:val="a3"/>
    <w:uiPriority w:val="99"/>
    <w:unhideWhenUsed/>
    <w:qFormat/>
  </w:style>
  <w:style w:type="paragraph" w:customStyle="1" w:styleId="indexheading1111111">
    <w:name w:val="index heading1111111"/>
    <w:basedOn w:val="affe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fe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fe"/>
    <w:qFormat/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fe"/>
    <w:qFormat/>
  </w:style>
  <w:style w:type="paragraph" w:customStyle="1" w:styleId="afff3">
    <w:name w:val="Название раздела инструкции"/>
    <w:basedOn w:val="a3"/>
    <w:qFormat/>
    <w:pPr>
      <w:jc w:val="center"/>
    </w:pPr>
    <w:rPr>
      <w:b/>
    </w:rPr>
  </w:style>
  <w:style w:type="paragraph" w:customStyle="1" w:styleId="a">
    <w:name w:val="Раздел положения"/>
    <w:basedOn w:val="a3"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single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single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qFormat/>
    <w:pPr>
      <w:jc w:val="center"/>
    </w:pPr>
    <w:rPr>
      <w:szCs w:val="20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pPr>
      <w:ind w:left="360"/>
    </w:pPr>
    <w:rPr>
      <w:sz w:val="24"/>
      <w:szCs w:val="24"/>
    </w:rPr>
  </w:style>
  <w:style w:type="paragraph" w:styleId="afff6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7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pPr>
      <w:tabs>
        <w:tab w:val="left" w:pos="1134"/>
      </w:tabs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uiPriority w:val="39"/>
    <w:pPr>
      <w:tabs>
        <w:tab w:val="left" w:pos="1120"/>
        <w:tab w:val="right" w:leader="dot" w:pos="9911"/>
      </w:tabs>
      <w:ind w:left="280"/>
    </w:pPr>
    <w:rPr>
      <w:rFonts w:cs="Calibri"/>
      <w:sz w:val="24"/>
      <w:szCs w:val="24"/>
    </w:rPr>
  </w:style>
  <w:style w:type="paragraph" w:customStyle="1" w:styleId="afff8">
    <w:name w:val="Раздел регламента"/>
    <w:basedOn w:val="a3"/>
    <w:qFormat/>
  </w:style>
  <w:style w:type="paragraph" w:customStyle="1" w:styleId="afff9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pPr>
      <w:spacing w:before="240"/>
    </w:pPr>
    <w:rPr>
      <w:rFonts w:cs="Calibri"/>
      <w:b/>
      <w:bCs/>
      <w:sz w:val="20"/>
      <w:szCs w:val="20"/>
    </w:rPr>
  </w:style>
  <w:style w:type="paragraph" w:styleId="afffa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Pr>
      <w:sz w:val="20"/>
      <w:szCs w:val="20"/>
    </w:rPr>
  </w:style>
  <w:style w:type="paragraph" w:styleId="afffb">
    <w:name w:val="annotation subject"/>
    <w:basedOn w:val="aff7"/>
    <w:next w:val="aff7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hAnsi="Arial Unicode MS"/>
      <w:sz w:val="24"/>
      <w:szCs w:val="24"/>
    </w:rPr>
  </w:style>
  <w:style w:type="paragraph" w:styleId="91">
    <w:name w:val="toc 9"/>
    <w:basedOn w:val="a3"/>
    <w:next w:val="a3"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1">
    <w:name w:val="caption1111111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List Paragraph"/>
    <w:basedOn w:val="a3"/>
    <w:link w:val="aff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</w:rPr>
  </w:style>
  <w:style w:type="paragraph" w:styleId="af2">
    <w:name w:val="Intense Quote"/>
    <w:basedOn w:val="a3"/>
    <w:next w:val="a3"/>
    <w:link w:val="a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e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qFormat/>
    <w:rPr>
      <w:rFonts w:eastAsia="Calibri"/>
      <w:sz w:val="24"/>
      <w:szCs w:val="24"/>
    </w:rPr>
  </w:style>
  <w:style w:type="paragraph" w:customStyle="1" w:styleId="affff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">
    <w:name w:val="List Bullet 4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f3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pacing w:before="120" w:line="240" w:lineRule="auto"/>
      <w:ind w:left="5104" w:hanging="567"/>
    </w:pPr>
    <w:rPr>
      <w:sz w:val="26"/>
      <w:szCs w:val="26"/>
    </w:rPr>
  </w:style>
  <w:style w:type="paragraph" w:customStyle="1" w:styleId="a1">
    <w:name w:val="УРОВЕНЬ_(а)"/>
    <w:basedOn w:val="aff0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sz w:val="40"/>
      <w:szCs w:val="20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0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customStyle="1" w:styleId="affff4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Standard">
    <w:name w:val="Standard"/>
    <w:qFormat/>
    <w:rsid w:val="008867D7"/>
    <w:pPr>
      <w:textAlignment w:val="baseline"/>
    </w:pPr>
    <w:rPr>
      <w:rFonts w:eastAsia="Times New Roman" w:cs="Times New Roman"/>
      <w:sz w:val="28"/>
      <w:szCs w:val="28"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  <w:style w:type="table" w:styleId="affff8">
    <w:name w:val="Table Grid"/>
    <w:basedOn w:val="a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c">
    <w:name w:val="Plain Table 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e">
    <w:name w:val="Plain Table 2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3">
    <w:name w:val="Plain Table 4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E827-770F-4F04-9B10-7E9F8D7C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Салмина Ольга Алексеевна</cp:lastModifiedBy>
  <cp:revision>33</cp:revision>
  <dcterms:created xsi:type="dcterms:W3CDTF">2025-02-07T09:07:00Z</dcterms:created>
  <dcterms:modified xsi:type="dcterms:W3CDTF">2026-06-01T11:21:00Z</dcterms:modified>
  <dc:language>ru-RU</dc:language>
</cp:coreProperties>
</file>