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6BED02CF" w:rsidR="00642981" w:rsidRDefault="000D02D4" w:rsidP="001A46B8">
      <w:pPr>
        <w:tabs>
          <w:tab w:val="left" w:pos="567"/>
        </w:tabs>
        <w:spacing w:after="120"/>
        <w:ind w:firstLine="709"/>
        <w:jc w:val="both"/>
        <w:rPr>
          <w:rFonts w:ascii="Times New Roman" w:hAnsi="Times New Roman" w:cs="Times New Roman"/>
        </w:rPr>
      </w:pPr>
      <w:r w:rsidRPr="000D02D4">
        <w:rPr>
          <w:rFonts w:ascii="Times New Roman" w:hAnsi="Times New Roman" w:cs="Times New Roman"/>
        </w:rPr>
        <w:t>УФПС Самарской области</w:t>
      </w:r>
      <w:r w:rsidRPr="00BF3EA8">
        <w:rPr>
          <w:rFonts w:ascii="Times New Roman" w:hAnsi="Times New Roman" w:cs="Times New Roman"/>
        </w:rPr>
        <w:t xml:space="preserve">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Pr="000D02D4">
        <w:rPr>
          <w:rFonts w:ascii="Times New Roman" w:hAnsi="Times New Roman" w:cs="Times New Roman"/>
        </w:rPr>
        <w:t>Выполнение погрузочно-разгрузочных работ по перемещению почтоматов для нужд УФПС Самарской области</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109EEAA" w:rsidR="001A46B8" w:rsidRPr="00544963" w:rsidRDefault="000D02D4" w:rsidP="001A46B8">
            <w:pPr>
              <w:tabs>
                <w:tab w:val="left" w:pos="4820"/>
              </w:tabs>
              <w:rPr>
                <w:rFonts w:ascii="Times New Roman" w:hAnsi="Times New Roman" w:cs="Times New Roman"/>
                <w:color w:val="000000"/>
              </w:rPr>
            </w:pPr>
            <w:r w:rsidRPr="000D02D4">
              <w:rPr>
                <w:rFonts w:ascii="Times New Roman" w:hAnsi="Times New Roman" w:cs="Times New Roman"/>
              </w:rPr>
              <w:t>Выполнение погрузочно-разгрузочных работ по перемещению почтоматов для нужд УФПС Самарской области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08BF1EF"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Июнь-Июль</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w:t>
            </w:r>
            <w:r w:rsidRPr="002425CC">
              <w:rPr>
                <w:rFonts w:ascii="Times New Roman" w:hAnsi="Times New Roman" w:cs="Times New Roman"/>
              </w:rPr>
              <w:lastRenderedPageBreak/>
              <w:t>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39ECBB8C"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0D02D4">
        <w:rPr>
          <w:rFonts w:ascii="Times New Roman" w:hAnsi="Times New Roman" w:cs="Times New Roman"/>
        </w:rPr>
        <w:t>Козлов Алексей Б</w:t>
      </w:r>
      <w:r w:rsidR="00076CF9">
        <w:rPr>
          <w:rFonts w:ascii="Times New Roman" w:hAnsi="Times New Roman" w:cs="Times New Roman"/>
        </w:rPr>
        <w:t>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065E" w14:textId="77777777" w:rsidR="00F77D04" w:rsidRDefault="00F77D04" w:rsidP="00E4758E">
      <w:r>
        <w:separator/>
      </w:r>
    </w:p>
  </w:endnote>
  <w:endnote w:type="continuationSeparator" w:id="0">
    <w:p w14:paraId="300F79A6" w14:textId="77777777" w:rsidR="00F77D04" w:rsidRDefault="00F77D0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B78A" w14:textId="77777777" w:rsidR="00F77D04" w:rsidRDefault="00F77D04" w:rsidP="00E4758E">
      <w:r>
        <w:separator/>
      </w:r>
    </w:p>
  </w:footnote>
  <w:footnote w:type="continuationSeparator" w:id="0">
    <w:p w14:paraId="5B8FBB05" w14:textId="77777777" w:rsidR="00F77D04" w:rsidRDefault="00F77D0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2D4"/>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0B18"/>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97423"/>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A64"/>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1DCE"/>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77D04"/>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04DB-C56D-4AE3-A35D-7A7D7728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2026-06-01T12:45:00Z</dcterms:created>
  <dcterms:modified xsi:type="dcterms:W3CDTF">2026-06-01T12:45:00Z</dcterms:modified>
</cp:coreProperties>
</file>