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left="5245" w:right="0" w:hanging="0"/>
        <w:jc w:val="right"/>
        <w:outlineLvl w:val="0"/>
        <w:rPr>
          <w:lang w:eastAsia="x-none"/>
        </w:rPr>
      </w:pPr>
      <w:r>
        <w:rPr>
          <w:lang w:eastAsia="x-none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Технические требования на оказание услуг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ОКПД 2 86.21.10 Оказание услуг по проведению предрейсовых и послерейсовых медиц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инских осмотров водителей в г. Уссурийск, г. Партизанск, пос. Черниговка, пос. Пограничный, пос. Славянка, г. Арсеньев, г. Дальнереченск, г. Лесозаводск, г. Спаск-Дальний для нужд Владивостокского представительства АО «ТК РусГидро»</w:t>
      </w:r>
    </w:p>
    <w:p>
      <w:pPr>
        <w:pStyle w:val="Normal"/>
        <w:keepNext w:val="true"/>
        <w:keepLines/>
        <w:jc w:val="center"/>
        <w:rPr>
          <w:highlight w:val="none"/>
          <w:shd w:fill="auto" w:val="clear"/>
        </w:rPr>
      </w:pPr>
      <w:r>
        <w:rPr>
          <w:rFonts w:eastAsia="Calibri"/>
          <w:b/>
          <w:bCs/>
          <w:sz w:val="28"/>
          <w:szCs w:val="28"/>
          <w:shd w:fill="auto" w:val="clear"/>
        </w:rPr>
        <w:t>Лот №8005-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ЭКСП ПРОД-2027-Влад ТК РусГидро АО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</w:r>
    </w:p>
    <w:p>
      <w:pPr>
        <w:pStyle w:val="Normal"/>
        <w:rPr>
          <w:sz w:val="26"/>
          <w:szCs w:val="26"/>
          <w:highlight w:val="none"/>
          <w:shd w:fill="auto" w:val="clear"/>
        </w:rPr>
      </w:pPr>
      <w:r>
        <w:rPr>
          <w:sz w:val="26"/>
          <w:szCs w:val="26"/>
          <w:shd w:fill="auto" w:val="clear"/>
        </w:rPr>
      </w:r>
      <w:r>
        <w:br w:type="page"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instrText xml:space="preserve"> TOC \z \o "1-4" \u \h</w:instrText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fldChar w:fldCharType="separate"/>
          </w:r>
          <w:r>
            <w:rPr>
              <w:rFonts w:eastAsia="" w:cs="" w:cstheme="minorBidi" w:eastAsiaTheme="minorEastAsia" w:ascii="Calibri" w:hAnsi="Calibri"/>
              <w:b w:val="false"/>
              <w:bCs w:val="false"/>
              <w:sz w:val="22"/>
              <w:szCs w:val="22"/>
            </w:rPr>
          </w:r>
        </w:p>
        <w:p>
          <w:pPr>
            <w:pStyle w:val="TOC1"/>
            <w:rPr/>
          </w:pPr>
          <w:hyperlink w:anchor="_Toc135150390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1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2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3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4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Иные требования и сведения общего характера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5">
            <w:r>
              <w:rPr>
                <w:webHidden/>
                <w:rStyle w:val="Style14"/>
                <w:rFonts w:eastAsia="Calibri"/>
                <w:vanish w:val="false"/>
                <w:lang w:val="x-none" w:eastAsia="x-none"/>
              </w:rPr>
              <w:t>Таблица 1</w:t>
            </w:r>
            <w:r>
              <w:rPr>
                <w:rStyle w:val="Style14"/>
                <w:rFonts w:eastAsia="Calibri"/>
                <w:lang w:eastAsia="x-none"/>
              </w:rPr>
              <w:t>.</w:t>
            </w:r>
            <w:r>
              <w:rPr>
                <w:rStyle w:val="Style14"/>
                <w:rFonts w:eastAsia="Calibri"/>
                <w:lang w:val="x-none" w:eastAsia="x-none"/>
              </w:rPr>
              <w:t xml:space="preserve"> </w:t>
            </w:r>
            <w:r>
              <w:rPr>
                <w:rStyle w:val="Style14"/>
                <w:rFonts w:eastAsia="Calibri"/>
                <w:lang w:eastAsia="x-none"/>
              </w:rPr>
              <w:t>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6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продукции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4"/>
            <w:rPr/>
          </w:pPr>
          <w:hyperlink w:anchor="_Toc135150397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398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1"/>
            <w:rPr/>
          </w:pPr>
          <w:hyperlink w:anchor="_Toc135150399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400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402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4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5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</w:rPr>
      </w:pPr>
      <w:bookmarkStart w:id="0" w:name="_Toc54643694"/>
      <w:bookmarkStart w:id="1" w:name="_Toc135150390"/>
      <w:r>
        <w:rPr/>
        <w:t>Общие сведения</w:t>
      </w:r>
      <w:bookmarkEnd w:id="0"/>
      <w:bookmarkEnd w:id="1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" w:name="_Toc46743506"/>
      <w:bookmarkStart w:id="3" w:name="_Toc135150391"/>
      <w:bookmarkStart w:id="4" w:name="_Toc54643696"/>
      <w:r>
        <w:rPr/>
        <w:t>Наименование закупаемой продукции</w:t>
      </w:r>
      <w:bookmarkEnd w:id="2"/>
      <w:bookmarkEnd w:id="3"/>
      <w:bookmarkEnd w:id="4"/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ab/>
        <w:t xml:space="preserve">ОКПД 2 86.21.10 Оказание услуг по проведению предрейсовых и послерейсовых медицинских осмотров водителей </w:t>
      </w:r>
      <w:r>
        <w:rPr>
          <w:rFonts w:eastAsia="Times New Roman" w:cs="Times New Roman"/>
          <w:b w:val="false"/>
          <w:i w:val="false"/>
          <w:strike w:val="false"/>
          <w:dstrike w:val="false"/>
          <w:outline w:val="false"/>
          <w:shadow w:val="false"/>
          <w:color w:val="auto"/>
          <w:kern w:val="0"/>
          <w:sz w:val="24"/>
          <w:szCs w:val="24"/>
          <w:u w:val="none"/>
          <w:em w:val="none"/>
          <w:lang w:val="ru-RU" w:eastAsia="ru-RU" w:bidi="ar-SA"/>
        </w:rPr>
        <w:t xml:space="preserve">в г. Уссурийск, г. Партизанск, пос. Черниговка, пос. Пограничный, пос. Славянка, г. Арсеньев, г. Дальнереченск, г. Лесозаводск, г. Спаск-Дальний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для нужд Владивостокского представительства АО «ТК РусГидро»</w:t>
      </w:r>
    </w:p>
    <w:p>
      <w:pPr>
        <w:pStyle w:val="Heading4"/>
        <w:numPr>
          <w:ilvl w:val="1"/>
          <w:numId w:val="3"/>
        </w:numPr>
        <w:ind w:left="426" w:hanging="426"/>
        <w:rPr>
          <w:rFonts w:ascii="Times New Roman" w:hAnsi="Times New Roman"/>
          <w:sz w:val="24"/>
          <w:szCs w:val="24"/>
        </w:rPr>
      </w:pPr>
      <w:bookmarkStart w:id="5" w:name="_Toc54643697"/>
      <w:bookmarkStart w:id="6" w:name="_Toc135150392"/>
      <w:bookmarkStart w:id="7" w:name="_Toc46743507"/>
      <w:r>
        <w:rPr>
          <w:sz w:val="24"/>
          <w:szCs w:val="24"/>
        </w:rPr>
        <w:t xml:space="preserve">Цель </w:t>
      </w:r>
      <w:bookmarkEnd w:id="7"/>
      <w:r>
        <w:rPr>
          <w:sz w:val="24"/>
          <w:szCs w:val="24"/>
        </w:rPr>
        <w:t>оказания услуг</w:t>
      </w:r>
      <w:bookmarkEnd w:id="6"/>
      <w:r>
        <w:rPr>
          <w:sz w:val="24"/>
          <w:szCs w:val="24"/>
        </w:rPr>
        <w:t xml:space="preserve"> </w:t>
      </w:r>
      <w:bookmarkEnd w:id="5"/>
    </w:p>
    <w:p>
      <w:pPr>
        <w:pStyle w:val="Normal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bookmarkStart w:id="8" w:name="_Toc46743508"/>
      <w:bookmarkStart w:id="9" w:name="_Toc54643698"/>
      <w:bookmarkEnd w:id="8"/>
      <w:bookmarkEnd w:id="9"/>
      <w:r>
        <w:rPr>
          <w:sz w:val="24"/>
          <w:szCs w:val="24"/>
        </w:rPr>
        <w:t>Целью предрейсовых/ послерейсовых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0" w:name="_Toc54643700"/>
      <w:bookmarkStart w:id="11" w:name="_Toc46743509"/>
      <w:bookmarkStart w:id="12" w:name="_Toc135150393"/>
      <w:bookmarkStart w:id="13" w:name="_Hlk49857604"/>
      <w:bookmarkStart w:id="14" w:name="_Toc46743508_Копия_1"/>
      <w:bookmarkStart w:id="15" w:name="_Toc54643698_Копия_1"/>
      <w:bookmarkEnd w:id="14"/>
      <w:bookmarkEnd w:id="15"/>
      <w:r>
        <w:rPr/>
        <w:t xml:space="preserve">Информация в отношении исполнения договора, </w:t>
      </w:r>
      <w:bookmarkStart w:id="16" w:name="_Hlk46492347"/>
      <w:r>
        <w:rPr/>
        <w:t xml:space="preserve">которая должна быть учтена при подготовке заявки </w:t>
      </w:r>
      <w:bookmarkEnd w:id="16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1"/>
      <w:bookmarkEnd w:id="12"/>
      <w:bookmarkEnd w:id="13"/>
      <w:r>
        <w:rPr>
          <w:lang w:val="ru-RU"/>
        </w:rPr>
        <w:t xml:space="preserve"> </w:t>
      </w:r>
      <w:bookmarkStart w:id="17" w:name="_Hlk48209761"/>
      <w:bookmarkEnd w:id="10"/>
    </w:p>
    <w:p>
      <w:pPr>
        <w:pStyle w:val="Normal"/>
        <w:widowControl/>
        <w:bidi w:val="0"/>
        <w:ind w:left="0" w:right="0" w:firstLine="510"/>
        <w:jc w:val="both"/>
        <w:rPr>
          <w:lang w:val="ru-RU"/>
        </w:rPr>
      </w:pPr>
      <w:r>
        <w:rPr>
          <w:color w:val="22272F"/>
          <w:sz w:val="24"/>
          <w:szCs w:val="24"/>
          <w:shd w:fill="FFFFFF" w:val="clear"/>
          <w:lang w:val="ru-RU" w:eastAsia="x-none"/>
        </w:rPr>
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</w:r>
      <w:r>
        <w:rPr>
          <w:sz w:val="24"/>
          <w:szCs w:val="24"/>
          <w:lang w:val="ru-RU" w:eastAsia="x-none"/>
        </w:rPr>
        <w:t>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8" w:name="_Toc54643701"/>
      <w:bookmarkStart w:id="19" w:name="_Toc135150394"/>
      <w:bookmarkStart w:id="20" w:name="_Toc46743510"/>
      <w:bookmarkStart w:id="21" w:name="_Toc50125126"/>
      <w:bookmarkEnd w:id="17"/>
      <w:bookmarkEnd w:id="20"/>
      <w:bookmarkEnd w:id="21"/>
      <w:r>
        <w:rPr/>
        <w:t>Иные требования и сведения общего характера</w:t>
      </w:r>
      <w:bookmarkEnd w:id="19"/>
      <w:r>
        <w:rPr>
          <w:lang w:val="ru-RU"/>
        </w:rPr>
        <w:t xml:space="preserve"> </w:t>
      </w:r>
      <w:bookmarkEnd w:id="18"/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Ежедневное проведение предрейсовых и послерейсовых медицинских осмотров водителей транспортных средств.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rFonts w:eastAsia="Calibri"/>
          <w:b/>
          <w:lang w:eastAsia="x-none"/>
        </w:rPr>
      </w:pPr>
      <w:bookmarkStart w:id="22" w:name="_Toc129097754"/>
      <w:bookmarkStart w:id="23" w:name="_Toc135150395"/>
      <w:bookmarkStart w:id="24" w:name="_Toc54643699"/>
      <w:r>
        <w:rPr>
          <w:rFonts w:eastAsia="Calibri"/>
          <w:b/>
          <w:lang w:val="x-none" w:eastAsia="x-none"/>
        </w:rPr>
        <w:t>Таблица 1</w:t>
      </w:r>
      <w:r>
        <w:rPr>
          <w:rFonts w:eastAsia="Calibri"/>
          <w:b/>
          <w:lang w:eastAsia="x-none"/>
        </w:rPr>
        <w:t>.</w:t>
      </w:r>
      <w:r>
        <w:rPr>
          <w:rFonts w:eastAsia="Calibri"/>
          <w:b/>
          <w:lang w:val="x-none" w:eastAsia="x-none"/>
        </w:rPr>
        <w:t xml:space="preserve"> </w:t>
      </w:r>
      <w:r>
        <w:rPr>
          <w:rFonts w:eastAsia="Calibri"/>
          <w:b/>
          <w:lang w:eastAsia="x-none"/>
        </w:rPr>
        <w:t>Перечень объектов заказчика</w:t>
      </w:r>
      <w:bookmarkEnd w:id="22"/>
      <w:bookmarkEnd w:id="23"/>
      <w:bookmarkEnd w:id="24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261"/>
        <w:gridCol w:w="2103"/>
        <w:gridCol w:w="2008"/>
        <w:gridCol w:w="198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26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pacing w:val="-8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pacing w:val="-8"/>
                <w:sz w:val="24"/>
                <w:szCs w:val="24"/>
                <w:u w:val="none"/>
                <w:em w:val="none"/>
              </w:rPr>
              <w:t>ОКПД 2 86.21.10 Оказание услуг по проведению предрейсовых и послерейсовых медицинских осмотров водител</w:t>
            </w: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pacing w:val="-8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>ей в г. Уссурийск, г. Партизанск, пос. Черниговка, пос. Пограничный, пос. Славянка, г. Арсеньев, г. Дальнереченск, г. Лесозаводск, г. Спаск-Дальний для нужд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pacing w:val="-8"/>
                <w:sz w:val="24"/>
                <w:szCs w:val="24"/>
                <w:u w:val="none"/>
                <w:em w:val="none"/>
              </w:rPr>
              <w:t xml:space="preserve"> Владивостокского представительства АО «ТК РусГидро»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Проведение осмотров осуществляется в     г. Уссурийск, г. Партизанск, пос. Черниговка, пос. Пограничный, пос. Славянка, г. Арсеньев, г. Дальнереченск, г. Лесозаводск, г. Спаск-Дальний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firstLine="567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  <w:lang w:val="ru-RU"/>
        </w:rPr>
      </w:pPr>
      <w:bookmarkStart w:id="25" w:name="_Toc135150396"/>
      <w:bookmarkStart w:id="26" w:name="_Toc54643702"/>
      <w:bookmarkStart w:id="27" w:name="_Toc51339693"/>
      <w:r>
        <w:rPr>
          <w:lang w:val="ru-RU"/>
        </w:rPr>
        <w:t>Требования</w:t>
      </w:r>
      <w:r>
        <w:rPr/>
        <w:t xml:space="preserve"> к продукции</w:t>
      </w:r>
      <w:bookmarkEnd w:id="25"/>
      <w:bookmarkEnd w:id="26"/>
      <w:bookmarkEnd w:id="27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8" w:name="_Toc135150397"/>
      <w:bookmarkStart w:id="29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8"/>
      <w:bookmarkEnd w:id="29"/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0" w:name="_Toc135150398"/>
      <w:bookmarkStart w:id="31" w:name="_Toc54643704"/>
      <w:r>
        <w:rPr/>
        <w:t>Требования к перечню и объему услуг</w:t>
      </w:r>
      <w:bookmarkEnd w:id="30"/>
      <w:bookmarkEnd w:id="31"/>
    </w:p>
    <w:p>
      <w:pPr>
        <w:pStyle w:val="Heading1"/>
        <w:numPr>
          <w:ilvl w:val="0"/>
          <w:numId w:val="0"/>
        </w:numPr>
        <w:ind w:left="0" w:hanging="0"/>
        <w:rPr/>
      </w:pPr>
      <w:bookmarkStart w:id="32" w:name="_Toc135150399"/>
      <w:bookmarkStart w:id="33" w:name="_Toc54643705"/>
      <w:bookmarkStart w:id="34" w:name="_Toc51339695"/>
      <w:r>
        <w:rPr/>
        <w:t xml:space="preserve">Таблица 2. Перечень </w:t>
      </w:r>
      <w:bookmarkEnd w:id="34"/>
      <w:r>
        <w:rPr/>
        <w:t>и объем оказываемых услуг</w:t>
      </w:r>
      <w:bookmarkEnd w:id="32"/>
      <w:bookmarkEnd w:id="33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9633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Послерейсовый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9633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5" w:name="_Toc135150400"/>
      <w:bookmarkStart w:id="36" w:name="_Toc54643706"/>
      <w:bookmarkStart w:id="37" w:name="_Toc51339696"/>
      <w:r>
        <w:rPr/>
        <w:t xml:space="preserve">Требования </w:t>
      </w:r>
      <w:bookmarkEnd w:id="37"/>
      <w:r>
        <w:rPr/>
        <w:t>к срокам оказания услуг</w:t>
      </w:r>
      <w:bookmarkEnd w:id="35"/>
      <w:bookmarkEnd w:id="36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38" w:name="_Toc135150401"/>
      <w:bookmarkStart w:id="39" w:name="_Toc54643707"/>
      <w:bookmarkStart w:id="40" w:name="_Toc51339697"/>
      <w:bookmarkStart w:id="41" w:name="_Toc50125127"/>
      <w:bookmarkStart w:id="42" w:name="_Toc50125126_Копия_1"/>
      <w:bookmarkEnd w:id="42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43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40"/>
      <w:bookmarkEnd w:id="41"/>
      <w:bookmarkEnd w:id="43"/>
      <w:r>
        <w:rPr>
          <w:lang w:val="ru-RU"/>
        </w:rPr>
        <w:t>оказания услуг</w:t>
      </w:r>
      <w:bookmarkEnd w:id="38"/>
      <w:bookmarkEnd w:id="39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>г. Уссурийск, г. Партизанск, пос. Черниговка, пос. Пограничный, пос. Славянка, г. Арсеньев, г. Дальнереченск, г. Лесозаводск, г. Спаск-Дальний для нужд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 Владивостокского представительства АО «ТК РусГидро»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01.01.2027 г.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31.12.2027 г.</w:t>
            </w:r>
          </w:p>
        </w:tc>
      </w:tr>
    </w:tbl>
    <w:p>
      <w:pPr>
        <w:sectPr>
          <w:headerReference w:type="even" r:id="rId2"/>
          <w:headerReference w:type="defaul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44" w:name="_Toc51339698"/>
      <w:bookmarkStart w:id="45" w:name="_Toc54643709"/>
      <w:bookmarkStart w:id="46" w:name="_Toc135150402"/>
      <w:bookmarkStart w:id="47" w:name="_Toc54643708"/>
      <w:bookmarkStart w:id="48" w:name="_Toc46743511"/>
      <w:r>
        <w:rPr/>
        <w:t xml:space="preserve">Требования к </w:t>
      </w:r>
      <w:bookmarkEnd w:id="48"/>
      <w:r>
        <w:rPr>
          <w:lang w:val="ru-RU"/>
        </w:rPr>
        <w:t>качеству услуг</w:t>
      </w:r>
      <w:bookmarkEnd w:id="46"/>
      <w:bookmarkEnd w:id="47"/>
    </w:p>
    <w:p>
      <w:pPr>
        <w:pStyle w:val="Heading1"/>
        <w:numPr>
          <w:ilvl w:val="0"/>
          <w:numId w:val="0"/>
        </w:numPr>
        <w:ind w:left="0" w:hanging="0"/>
        <w:rPr/>
      </w:pPr>
      <w:bookmarkStart w:id="49" w:name="_Toc135150403"/>
      <w:r>
        <w:rPr/>
        <w:t>Таблица </w:t>
      </w:r>
      <w:r>
        <w:rPr>
          <w:lang w:val="ru-RU"/>
        </w:rPr>
        <w:t>4</w:t>
      </w:r>
      <w:r>
        <w:rPr/>
        <w:t>. Требования к</w:t>
      </w:r>
      <w:bookmarkEnd w:id="44"/>
      <w:bookmarkEnd w:id="45"/>
      <w:bookmarkEnd w:id="49"/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ОКПД 2 86.21.10 Оказание услуг по проведению предрейсовых и послерейсовых медицинских осмотров водителей</w:t>
      </w:r>
      <w:r>
        <w:rPr>
          <w:rFonts w:eastAsia="Calibri" w:cs="Times New Roman"/>
          <w:b/>
          <w:color w:val="auto"/>
          <w:kern w:val="0"/>
          <w:sz w:val="28"/>
          <w:szCs w:val="28"/>
          <w:lang w:val="x-none" w:eastAsia="x-none" w:bidi="ar-SA"/>
        </w:rPr>
        <w:t xml:space="preserve"> </w:t>
      </w:r>
      <w:r>
        <w:rPr>
          <w:rFonts w:eastAsia="Calibri" w:cs="Times New Roman"/>
          <w:b/>
          <w:bCs/>
          <w:i w:val="false"/>
          <w:strike w:val="false"/>
          <w:dstrike w:val="false"/>
          <w:outline w:val="false"/>
          <w:shadow w:val="false"/>
          <w:color w:val="auto"/>
          <w:kern w:val="0"/>
          <w:sz w:val="24"/>
          <w:szCs w:val="24"/>
          <w:u w:val="none"/>
          <w:em w:val="none"/>
          <w:lang w:val="x-none" w:eastAsia="x-none" w:bidi="ar-SA"/>
        </w:rPr>
        <w:t>в г. Уссурийск, г. Партизанск, пос. Черниговка, пос. Пограничный, пос. Славянка, г. Арсеньев, г. Дальнереченск, г. Лесозаводск, г. Спаск-Дальний для нужд Владивостокского представительства А</w:t>
      </w:r>
      <w:r>
        <w:rPr>
          <w:rFonts w:eastAsia="Calibri" w:cs="Times New Roman"/>
          <w:b/>
          <w:color w:val="auto"/>
          <w:kern w:val="0"/>
          <w:sz w:val="28"/>
          <w:szCs w:val="28"/>
          <w:lang w:val="x-none" w:eastAsia="x-none" w:bidi="ar-SA"/>
        </w:rPr>
        <w:t>О «ТК РусГидро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»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W w:w="1527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9"/>
        <w:gridCol w:w="5222"/>
        <w:gridCol w:w="1649"/>
        <w:gridCol w:w="2435"/>
        <w:gridCol w:w="2268"/>
        <w:gridCol w:w="2940"/>
      </w:tblGrid>
      <w:tr>
        <w:trPr>
          <w:trHeight w:val="276" w:hRule="atLeast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76" w:hRule="atLeast"/>
        </w:trPr>
        <w:tc>
          <w:tcPr>
            <w:tcW w:w="7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bookmarkStart w:id="50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50"/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604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/>
            </w:pPr>
            <w:r>
              <w:rPr>
                <w:b w:val="false"/>
                <w:bCs w:val="false"/>
                <w:color w:val="22272F"/>
                <w:sz w:val="24"/>
                <w:szCs w:val="24"/>
                <w:shd w:fill="FFFFFF" w:val="clear"/>
                <w:lang w:val="ru-RU" w:eastAsia="x-none"/>
              </w:rPr>
      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      </w:r>
            <w:r>
              <w:rPr>
                <w:b w:val="false"/>
                <w:bCs w:val="false"/>
                <w:sz w:val="24"/>
                <w:szCs w:val="24"/>
                <w:lang w:val="ru-RU"/>
              </w:rPr>
              <w:t>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/>
            </w:pPr>
            <w:r>
              <w:rPr>
                <w:b/>
                <w:sz w:val="24"/>
                <w:szCs w:val="24"/>
              </w:rPr>
              <w:t>-//-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421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 xml:space="preserve">Проведение осмотров осуществляется в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г. Уссурийск, г. Партизанск, пос. Черниговка, пос. Пограничный, пос. Славянка, г. Арсеньев, г. Дальнереченск, г. Лесозаводск, г. Спаск-Дальний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sz w:val="24"/>
                <w:szCs w:val="24"/>
              </w:rPr>
              <w:t>Ежедневное проводение предрейсовых и послерейсовых медицинских осмотров водителей транспортных средств.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/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Для решения вопроса о допуске водителя к работе при медицинском осмотре проводятся все необходимые исследования и мероприятия, в том числе: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- сбор анамнеза;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- определение артериального давления и пульса у водителей;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/>
            </w:pPr>
            <w:r>
              <w:rPr>
                <w:sz w:val="24"/>
                <w:szCs w:val="24"/>
              </w:rPr>
              <w:t>- при наличии показаний проведение любые других разрешенных медицинских исследований, необходимых для решения вопроса о допуске к работе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Для водителей, больных гипертонической болезнью, медицинским персоналом «Исполнителя» определяется индивидуальная норма артериального давления по результатам замеров не менее чем десяти предрейсовых медицинских осмотров.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/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Оборудование, применяемое для проведения медицинского осмотра должно</w:t>
            </w:r>
            <w:r>
              <w:rPr>
                <w:color w:val="333333"/>
                <w:sz w:val="24"/>
                <w:szCs w:val="24"/>
              </w:rPr>
              <w:t xml:space="preserve"> соответствовать нормам безопасности и технико-эксплуатационной надёжности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Оборудование должно иметь обязательную соответствующую сертификацию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333333"/>
                <w:sz w:val="24"/>
                <w:szCs w:val="24"/>
              </w:rPr>
              <w:t>Аппаратура и приборы не должны представлять угрозы для пациентов, сотрудников медучреждений и окружающей среды (при строгом соблюдении инструкций, правил применения и эксплуатации и подержании стабильных внешних условий).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>
                <w:sz w:val="24"/>
                <w:szCs w:val="24"/>
              </w:rPr>
              <w:t>1.4.4.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Все приборы, оборудование и материалы для оказания услуг, должны быть сертифицированы для применения на территории РФ, своевременно проходить все необходимые поверки, и применяться в соответствии с инструкцией по эксплуатации.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sz w:val="24"/>
                <w:szCs w:val="24"/>
              </w:rPr>
              <w:t xml:space="preserve">Медицинские работники, осуществляющие проведение медицинского осмотра </w:t>
            </w:r>
            <w:r>
              <w:rPr>
                <w:bCs/>
                <w:color w:val="202124"/>
                <w:sz w:val="24"/>
                <w:szCs w:val="24"/>
                <w:shd w:fill="FFFFFF" w:val="clear"/>
              </w:rPr>
              <w:t>должны иметь высшее и (или) среднее образование профессиональное образование, действующий сертификат специалиста и документ, подтверждающий прохождение специального обучения.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/>
            </w:pPr>
            <w:r>
              <w:rPr>
                <w:sz w:val="24"/>
                <w:szCs w:val="24"/>
              </w:rPr>
              <w:t>Предрейсовые и послерейсовые медицинские осмотры водителей должны проводятся медицинскими организациями любой формы собственности, имеющих лицензию на осуществление медицинской деятельности, с привлечением медицинского работника, прошедшего специальное обучение (врач, фельдшер, медицинская сестра)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/>
            </w:pPr>
            <w:r>
              <w:rPr>
                <w:sz w:val="24"/>
                <w:szCs w:val="24"/>
              </w:rPr>
              <w:t>Предоставление скана (копии) действующей лицензии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Данные результатов обследования вносятся в журнал предрейсовых/послерейсовых медицинских осмотров водителей автотранспортных средств. Обеспечение наличия, ведение (в бумажном или электронном виде) и архивное хранение указанного журнала осуществляются «Исполнителем» своими силами и за свой счет. После заполнения журнал хранится у «Исполнителя». В целях контроля результатов осмотров и соблюдения законодательства о персональных данных, «Исполнитель» обязуется ежемесячно, одновременно с предоставлением первичных учетных документов (актов оказанных услуг), направлять «Заказчику» надлежащим образом заверенные выписки из журнала в бумажном или электронном формате исключительно в отношении водителей «Заказчика». По результатам проводимых «Исполнителем» предрейсовых/послерейсовых медицинских осмотров водители «Заказчика» допускаются либо не допускаются к управлению автомобилем в случаях, указанных в приказе Минздрава РФ «Об утверждении Порядка и периодичности проведения предсменных, предрейсовых, послесменных‚ послерейсовых медицинских осмотров, медицинских осмотров в течение рабочего дня (смены) и перечня включаемых в них исследований» №266н от 30.05.2023г.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проведенных медицинских осмотров вносятся в Журналы, а также в предоставляемые «Заказчику» выписки из них, в которых указывается следующая информация об осматриваемом: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и время проведения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фамилия, имя, отчество (при наличии)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пол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рождения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исследований;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заключение о результатах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медицинского работника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усиленная квалифицированная электронная подпись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), с указанием фамилии, имени и отчества (при наличии) медицинского работника;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осматриваемого, проходящего медицинский осмотр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с использованием электронных носителей/терминалов в соответствии с законодательством РФ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).</w:t>
              <w:br/>
              <w:t>В случае ведения Журнала на бумажном носителе страницы должны быть прошнурованы, пронумерованы, скреплены печатью медицинской организации (при наличии), на оттиске которой идентифицируется название медицинской организации в соответствии с учредительными документами.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/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При проведении медицинского осмотра, в случае обнаружения факторов, препятствующих допуску водителя к работе, составляются акты в двух экземплярах. Один экземпляр акта остается у медицинского работника «Исполнителя», второй экземпляр передается руководителю или уполномоченному лицу «Заказчика», который, в свою очередь, принимает решение в отношении данного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/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Исполнитель обязуются сохранять конфиденциальность информации, полученной в ходе исполнения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/>
            </w:pPr>
            <w:r>
              <w:rPr>
                <w:color w:val="000000"/>
                <w:sz w:val="24"/>
                <w:szCs w:val="24"/>
              </w:rPr>
      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color w:val="000000"/>
                <w:spacing w:val="7"/>
                <w:sz w:val="24"/>
                <w:szCs w:val="24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/>
            </w:pPr>
            <w:r>
              <w:rPr>
                <w:sz w:val="24"/>
                <w:szCs w:val="24"/>
              </w:rPr>
              <w:t>Услуги по проведению предрейсовых и послерейсовых медицинских осмотров должны быть безопасны и должны исключать возможность причинения вреда здоровью работникам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b w:val="false"/>
                <w:bCs w:val="false"/>
                <w:sz w:val="24"/>
                <w:szCs w:val="24"/>
              </w:rPr>
              <w:t>По результатам прохождения предсменного, предрейсового медицинского осмотра при вынесении медицинского заключения в путевом листе медицинским работником, проводившим соответствующий медицинский осмотр, проставляются дата, время и результат проведения медицинского осмотра в виде отметки "прошел предсменный (предрейсовый) медицинский осмотр, к исполнению трудовых обязанностей допущен", "прошел послесменный (послерейсовый) медицинский осмотр" или "прошел послесменный (послерейсовый) медицинский осмотр, выявлены признаки" с указанием воздействия вредных и (или) опасных производственных факторов рабочей среды и трудового процесса на состояние здоровья работника, острого профессионального заболевания или отравления, признаков алкогольного, наркотического или иного токсического опьянения и заверяются его собственноручной подписью на бумажном носителе либо усиленной квалифицированной электронной подписью в случае формирования электронного путевого листа с указанием фамилии, имени и отчества (при наличии) медицинского работника, наименования медицинской организации (если медицинский работник состоит в штате медицинской организации).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>
                <w:sz w:val="24"/>
                <w:szCs w:val="24"/>
              </w:rPr>
              <w:t>2.4.2.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sz w:val="24"/>
                <w:szCs w:val="24"/>
              </w:rPr>
              <w:t>Подводить итоги предрейсовых и послерейсовых медицинских осмотров с анализом причин отстранения от работы водителей транспортных средств и результаты доводить до сведения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/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/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Исполнитель обязан проводить предрейсовый и послерейсовый медицинский осмотр водителей транспортных средств Заказчика в соответствии с обязательными требованиями и правилами, установленными действующим законодательством в РФ.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/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Исполнитель несет ответственность предусмотренных законодательством РФ за качество проведенного предрейсового медицинского осмотра и выдачу заключения о допуске водителей к управлению транспортным средством.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Время оказания услуг предрейсовых осмотров в рабочие, выходные и праздничные дни (при необходимости) с 07.00ч. до 09.00ч.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Время оказания услуг послерейсовых осмотров в рабочие, выходные и праздничные дни (при необходимости) с 18.00ч. до 20.00ч.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1" w:name="_Toc135150404"/>
      <w:bookmarkStart w:id="52" w:name="_Toc54643710"/>
      <w:bookmarkStart w:id="53" w:name="_Toc53395937"/>
      <w:bookmarkStart w:id="54" w:name="_Toc53393312"/>
      <w:r>
        <w:rPr/>
        <w:t>Требования к документации по ценообразованию</w:t>
      </w:r>
      <w:bookmarkEnd w:id="53"/>
      <w:bookmarkEnd w:id="54"/>
      <w:r>
        <w:rPr/>
        <w:t xml:space="preserve"> на этапе закупки</w:t>
      </w:r>
      <w:bookmarkEnd w:id="51"/>
      <w:bookmarkEnd w:id="52"/>
    </w:p>
    <w:p>
      <w:pPr>
        <w:pStyle w:val="Normal"/>
        <w:widowControl w:val="false"/>
        <w:tabs>
          <w:tab w:val="clear" w:pos="708"/>
          <w:tab w:val="left" w:pos="0" w:leader="none"/>
        </w:tabs>
        <w:ind w:firstLine="680"/>
        <w:jc w:val="both"/>
        <w:rPr>
          <w:iCs/>
        </w:rPr>
      </w:pPr>
      <w:r>
        <w:rPr>
          <w:color w:val="000000"/>
        </w:rPr>
        <w:t>Цена на оказание услуг определяется на основании коммерческого предложения Исполнителя, действующего на момент заключения договора.</w:t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5" w:name="_Toc135150405"/>
      <w:bookmarkStart w:id="56" w:name="_Toc54643711"/>
      <w:bookmarkStart w:id="57" w:name="_Toc54281228"/>
      <w:r>
        <w:rPr/>
        <w:t>Требования к документации по ценообразованию на этапе заключения (исполнения) договора</w:t>
      </w:r>
      <w:bookmarkEnd w:id="55"/>
      <w:bookmarkEnd w:id="56"/>
      <w:bookmarkEnd w:id="57"/>
    </w:p>
    <w:p>
      <w:pPr>
        <w:pStyle w:val="Normal"/>
        <w:ind w:firstLine="709"/>
        <w:jc w:val="both"/>
        <w:rPr>
          <w:iCs/>
        </w:rPr>
      </w:pPr>
      <w:r>
        <w:rPr>
          <w:iCs/>
        </w:rPr>
        <w:t>После исполнения своих обязанностей по договору Исполнитель предоставляет Заказчику оригинал реестра, счета и акта приемки - передачи оказанных услуг.</w:t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snapToGrid w:val="false"/>
        <w:jc w:val="both"/>
        <w:rPr>
          <w:rFonts w:eastAsia="Times New Roman" w:cs="Times New Roman"/>
          <w:i/>
          <w:i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i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napToGrid w:val="false"/>
        <w:jc w:val="both"/>
        <w:rPr/>
      </w:pPr>
      <w:r>
        <w:rPr/>
      </w:r>
    </w:p>
    <w:p>
      <w:pPr>
        <w:pStyle w:val="Normal"/>
        <w:snapToGrid w:val="false"/>
        <w:jc w:val="both"/>
        <w:rPr/>
      </w:pPr>
      <w:r>
        <w:rPr/>
      </w:r>
      <w:bookmarkStart w:id="58" w:name="_Ref40301253"/>
      <w:bookmarkStart w:id="59" w:name="_Ref40301253"/>
      <w:bookmarkEnd w:id="59"/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  <w:bookmarkStart w:id="60" w:name="_Ref40301253_Копия_1"/>
      <w:bookmarkStart w:id="61" w:name="_Ref40301253_Копия_1"/>
      <w:bookmarkEnd w:id="61"/>
    </w:p>
    <w:p>
      <w:pPr>
        <w:pStyle w:val="Normal"/>
        <w:spacing w:before="0" w:after="120"/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5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/>
    </w:lvl>
    <w:lvl w:ilvl="2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  <w:rPr/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  <w:rPr/>
    </w:lvl>
    <w:lvl w:ilvl="4">
      <w:start w:val="1"/>
      <w:numFmt w:val="decimal"/>
      <w:lvlText w:val="%5."/>
      <w:lvlJc w:val="left"/>
      <w:pPr>
        <w:tabs>
          <w:tab w:val="num" w:pos="2727"/>
        </w:tabs>
        <w:ind w:left="2727" w:hanging="360"/>
      </w:pPr>
      <w:rPr/>
    </w:lvl>
    <w:lvl w:ilvl="5">
      <w:start w:val="1"/>
      <w:numFmt w:val="decimal"/>
      <w:lvlText w:val="%6."/>
      <w:lvlJc w:val="left"/>
      <w:pPr>
        <w:tabs>
          <w:tab w:val="num" w:pos="3087"/>
        </w:tabs>
        <w:ind w:left="3087" w:hanging="360"/>
      </w:pPr>
      <w:rPr/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  <w:rPr/>
    </w:lvl>
    <w:lvl w:ilvl="7">
      <w:start w:val="1"/>
      <w:numFmt w:val="decimal"/>
      <w:lvlText w:val="%8."/>
      <w:lvlJc w:val="left"/>
      <w:pPr>
        <w:tabs>
          <w:tab w:val="num" w:pos="3807"/>
        </w:tabs>
        <w:ind w:left="3807" w:hanging="360"/>
      </w:pPr>
      <w:rPr/>
    </w:lvl>
    <w:lvl w:ilvl="8">
      <w:start w:val="1"/>
      <w:numFmt w:val="decimal"/>
      <w:lvlText w:val="%9."/>
      <w:lvlJc w:val="left"/>
      <w:pPr>
        <w:tabs>
          <w:tab w:val="num" w:pos="4167"/>
        </w:tabs>
        <w:ind w:left="4167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5269f"/>
    <w:pPr>
      <w:keepNext w:val="true"/>
      <w:numPr>
        <w:ilvl w:val="2"/>
        <w:numId w:val="3"/>
      </w:numPr>
      <w:spacing w:before="120" w:after="60"/>
      <w:ind w:left="426" w:hanging="42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5269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 w:customStyle="1">
    <w:name w:val="Caption"/>
    <w:basedOn w:val="Normal"/>
    <w:qFormat/>
    <w:rsid w:val="006a3667"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97371"/>
    <w:pPr>
      <w:tabs>
        <w:tab w:val="clear" w:pos="708"/>
        <w:tab w:val="left" w:pos="284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d2f9f"/>
    <w:pPr>
      <w:tabs>
        <w:tab w:val="clear" w:pos="708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dd2f9f"/>
    <w:pPr>
      <w:tabs>
        <w:tab w:val="clear" w:pos="708"/>
        <w:tab w:val="left" w:pos="1120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Блочная цитата"/>
    <w:basedOn w:val="Normal"/>
    <w:qFormat/>
    <w:pPr>
      <w:spacing w:before="0" w:after="283"/>
      <w:ind w:left="567" w:righ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3478259251">
    <w:name w:val="347825925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6433-85A2-423E-B903-A2FA64E2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Application>AlterOffice/3.4.0.9$Linux_X86_64 LibreOffice_project/b8daf9e823b1a5463a2f48435ddc2e8696e7d4fc</Application>
  <AppVersion>15.0000</AppVersion>
  <Pages>11</Pages>
  <Words>1899</Words>
  <Characters>13220</Characters>
  <CharactersWithSpaces>14843</CharactersWithSpaces>
  <Paragraphs>270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belovdal@corp.gidroogk.com</cp:lastModifiedBy>
  <cp:lastPrinted>2024-03-27T14:25:30Z</cp:lastPrinted>
  <dcterms:modified xsi:type="dcterms:W3CDTF">2026-06-02T10:21:19Z</dcterms:modified>
  <cp:revision>121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