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65" w:rsidRDefault="00583A65" w:rsidP="00583A65">
      <w:pPr>
        <w:jc w:val="center"/>
        <w:rPr>
          <w:rFonts w:eastAsia="Calibri"/>
          <w:b/>
          <w:sz w:val="28"/>
        </w:rPr>
      </w:pPr>
      <w:r>
        <w:rPr>
          <w:rFonts w:eastAsia="Calibri"/>
          <w:b/>
          <w:sz w:val="28"/>
        </w:rPr>
        <w:t>Технические требования</w:t>
      </w:r>
    </w:p>
    <w:p w:rsidR="00583A65" w:rsidRPr="00C9229E" w:rsidRDefault="00583A65" w:rsidP="00583A65">
      <w:pPr>
        <w:jc w:val="center"/>
        <w:rPr>
          <w:rFonts w:eastAsia="Calibri"/>
          <w:b/>
          <w:sz w:val="28"/>
        </w:rPr>
      </w:pPr>
      <w:r w:rsidRPr="00C9229E">
        <w:rPr>
          <w:rFonts w:eastAsia="Calibri" w:hint="cs"/>
          <w:b/>
          <w:sz w:val="28"/>
        </w:rPr>
        <w:t>на</w:t>
      </w:r>
      <w:r w:rsidRPr="00C9229E">
        <w:rPr>
          <w:rFonts w:eastAsia="Calibri"/>
          <w:b/>
          <w:sz w:val="28"/>
        </w:rPr>
        <w:t xml:space="preserve"> </w:t>
      </w:r>
      <w:r w:rsidRPr="00C9229E">
        <w:rPr>
          <w:rFonts w:eastAsia="Calibri" w:hint="cs"/>
          <w:b/>
          <w:sz w:val="28"/>
        </w:rPr>
        <w:t>оказание</w:t>
      </w:r>
      <w:r w:rsidRPr="00C9229E">
        <w:rPr>
          <w:rFonts w:eastAsia="Calibri"/>
          <w:b/>
          <w:sz w:val="28"/>
        </w:rPr>
        <w:t xml:space="preserve"> </w:t>
      </w:r>
      <w:r w:rsidRPr="00C9229E">
        <w:rPr>
          <w:rFonts w:eastAsia="Calibri" w:hint="cs"/>
          <w:b/>
          <w:sz w:val="28"/>
        </w:rPr>
        <w:t>услуг</w:t>
      </w:r>
      <w:r w:rsidRPr="00C9229E">
        <w:rPr>
          <w:rFonts w:eastAsia="Calibri"/>
          <w:b/>
          <w:sz w:val="28"/>
        </w:rPr>
        <w:t xml:space="preserve"> </w:t>
      </w:r>
      <w:r w:rsidRPr="00C9229E">
        <w:rPr>
          <w:rFonts w:eastAsia="Calibri" w:hint="cs"/>
          <w:b/>
          <w:sz w:val="28"/>
        </w:rPr>
        <w:t>«ОКПД</w:t>
      </w:r>
      <w:r w:rsidRPr="00C9229E">
        <w:rPr>
          <w:rFonts w:eastAsia="Calibri"/>
          <w:b/>
          <w:sz w:val="28"/>
        </w:rPr>
        <w:t xml:space="preserve">2 33.12.12.000 </w:t>
      </w:r>
      <w:r w:rsidRPr="00C9229E">
        <w:rPr>
          <w:rFonts w:eastAsia="Calibri" w:hint="cs"/>
          <w:b/>
          <w:sz w:val="28"/>
        </w:rPr>
        <w:t>Техническое</w:t>
      </w:r>
      <w:r w:rsidRPr="00C9229E">
        <w:rPr>
          <w:rFonts w:eastAsia="Calibri"/>
          <w:b/>
          <w:sz w:val="28"/>
        </w:rPr>
        <w:t xml:space="preserve"> </w:t>
      </w:r>
      <w:r w:rsidRPr="00C9229E">
        <w:rPr>
          <w:rFonts w:eastAsia="Calibri" w:hint="cs"/>
          <w:b/>
          <w:sz w:val="28"/>
        </w:rPr>
        <w:t>обслуживание</w:t>
      </w:r>
      <w:r w:rsidRPr="00C9229E">
        <w:rPr>
          <w:rFonts w:eastAsia="Calibri"/>
          <w:b/>
          <w:sz w:val="28"/>
        </w:rPr>
        <w:t xml:space="preserve"> </w:t>
      </w:r>
      <w:r w:rsidRPr="00C9229E">
        <w:rPr>
          <w:rFonts w:eastAsia="Calibri" w:hint="cs"/>
          <w:b/>
          <w:sz w:val="28"/>
        </w:rPr>
        <w:t>автоматических</w:t>
      </w:r>
      <w:r w:rsidRPr="00C9229E">
        <w:rPr>
          <w:rFonts w:eastAsia="Calibri"/>
          <w:b/>
          <w:sz w:val="28"/>
        </w:rPr>
        <w:t xml:space="preserve"> </w:t>
      </w:r>
      <w:r w:rsidRPr="00C9229E">
        <w:rPr>
          <w:rFonts w:eastAsia="Calibri" w:hint="cs"/>
          <w:b/>
          <w:sz w:val="28"/>
        </w:rPr>
        <w:t>регуляторов</w:t>
      </w:r>
      <w:r w:rsidRPr="00C9229E">
        <w:rPr>
          <w:rFonts w:eastAsia="Calibri"/>
          <w:b/>
          <w:sz w:val="28"/>
        </w:rPr>
        <w:t xml:space="preserve"> </w:t>
      </w:r>
      <w:r w:rsidRPr="00C9229E">
        <w:rPr>
          <w:rFonts w:eastAsia="Calibri" w:hint="cs"/>
          <w:b/>
          <w:sz w:val="28"/>
        </w:rPr>
        <w:t>возбуждения</w:t>
      </w:r>
      <w:r w:rsidRPr="00C9229E">
        <w:rPr>
          <w:rFonts w:eastAsia="Calibri"/>
          <w:b/>
          <w:sz w:val="28"/>
        </w:rPr>
        <w:t xml:space="preserve"> </w:t>
      </w:r>
      <w:r w:rsidRPr="00C9229E">
        <w:rPr>
          <w:rFonts w:eastAsia="Calibri" w:hint="cs"/>
          <w:b/>
          <w:sz w:val="28"/>
        </w:rPr>
        <w:t>гидрогенераторов</w:t>
      </w:r>
      <w:r w:rsidRPr="00C9229E">
        <w:rPr>
          <w:rFonts w:eastAsia="Calibri"/>
          <w:b/>
          <w:sz w:val="28"/>
        </w:rPr>
        <w:t xml:space="preserve"> </w:t>
      </w:r>
    </w:p>
    <w:p w:rsidR="00583A65" w:rsidRPr="00C9229E" w:rsidRDefault="00583A65" w:rsidP="00583A65">
      <w:pPr>
        <w:jc w:val="center"/>
        <w:rPr>
          <w:b/>
        </w:rPr>
      </w:pPr>
      <w:r w:rsidRPr="00C9229E">
        <w:rPr>
          <w:rFonts w:eastAsia="Calibri" w:hint="cs"/>
          <w:b/>
          <w:sz w:val="28"/>
        </w:rPr>
        <w:t>для</w:t>
      </w:r>
      <w:r w:rsidRPr="00C9229E">
        <w:rPr>
          <w:rFonts w:eastAsia="Calibri"/>
          <w:b/>
          <w:sz w:val="28"/>
        </w:rPr>
        <w:t xml:space="preserve"> </w:t>
      </w:r>
      <w:r w:rsidRPr="00C9229E">
        <w:rPr>
          <w:rFonts w:eastAsia="Calibri" w:hint="cs"/>
          <w:b/>
          <w:sz w:val="28"/>
        </w:rPr>
        <w:t>нужд</w:t>
      </w:r>
      <w:r w:rsidRPr="00C9229E">
        <w:rPr>
          <w:rFonts w:eastAsia="Calibri"/>
          <w:b/>
          <w:sz w:val="28"/>
        </w:rPr>
        <w:t xml:space="preserve"> </w:t>
      </w:r>
      <w:r w:rsidRPr="00C9229E">
        <w:rPr>
          <w:rFonts w:eastAsia="Calibri" w:hint="cs"/>
          <w:b/>
          <w:sz w:val="28"/>
        </w:rPr>
        <w:t>Каскада</w:t>
      </w:r>
      <w:r w:rsidRPr="00C9229E">
        <w:rPr>
          <w:rFonts w:eastAsia="Calibri"/>
          <w:b/>
          <w:sz w:val="28"/>
        </w:rPr>
        <w:t xml:space="preserve"> </w:t>
      </w:r>
      <w:r w:rsidRPr="00C9229E">
        <w:rPr>
          <w:rFonts w:eastAsia="Calibri" w:hint="cs"/>
          <w:b/>
          <w:sz w:val="28"/>
        </w:rPr>
        <w:t>Вилюйских</w:t>
      </w:r>
      <w:r w:rsidRPr="00C9229E">
        <w:rPr>
          <w:rFonts w:eastAsia="Calibri"/>
          <w:b/>
          <w:sz w:val="28"/>
        </w:rPr>
        <w:t xml:space="preserve"> </w:t>
      </w:r>
      <w:r w:rsidRPr="00C9229E">
        <w:rPr>
          <w:rFonts w:eastAsia="Calibri" w:hint="cs"/>
          <w:b/>
          <w:sz w:val="28"/>
        </w:rPr>
        <w:t>ГЭС</w:t>
      </w:r>
      <w:r w:rsidRPr="00C9229E">
        <w:rPr>
          <w:rFonts w:eastAsia="Calibri"/>
          <w:b/>
          <w:sz w:val="28"/>
        </w:rPr>
        <w:t xml:space="preserve"> </w:t>
      </w:r>
      <w:r w:rsidRPr="00C9229E">
        <w:rPr>
          <w:rFonts w:eastAsia="Calibri" w:hint="cs"/>
          <w:b/>
          <w:sz w:val="28"/>
        </w:rPr>
        <w:t>им</w:t>
      </w:r>
      <w:r w:rsidRPr="00C9229E">
        <w:rPr>
          <w:rFonts w:eastAsia="Calibri"/>
          <w:b/>
          <w:sz w:val="28"/>
        </w:rPr>
        <w:t xml:space="preserve">. </w:t>
      </w:r>
      <w:r w:rsidRPr="00C9229E">
        <w:rPr>
          <w:rFonts w:eastAsia="Calibri" w:hint="cs"/>
          <w:b/>
          <w:sz w:val="28"/>
        </w:rPr>
        <w:t>Е</w:t>
      </w:r>
      <w:r w:rsidRPr="00C9229E">
        <w:rPr>
          <w:rFonts w:eastAsia="Calibri"/>
          <w:b/>
          <w:sz w:val="28"/>
        </w:rPr>
        <w:t>.</w:t>
      </w:r>
      <w:r w:rsidRPr="00C9229E">
        <w:rPr>
          <w:rFonts w:eastAsia="Calibri" w:hint="cs"/>
          <w:b/>
          <w:sz w:val="28"/>
        </w:rPr>
        <w:t>Н</w:t>
      </w:r>
      <w:r w:rsidRPr="00C9229E">
        <w:rPr>
          <w:rFonts w:eastAsia="Calibri"/>
          <w:b/>
          <w:sz w:val="28"/>
        </w:rPr>
        <w:t xml:space="preserve">. </w:t>
      </w:r>
      <w:r w:rsidRPr="00C9229E">
        <w:rPr>
          <w:rFonts w:eastAsia="Calibri" w:hint="cs"/>
          <w:b/>
          <w:sz w:val="28"/>
        </w:rPr>
        <w:t>Батенчука»</w:t>
      </w:r>
      <w:r w:rsidR="00C9229E">
        <w:rPr>
          <w:rFonts w:eastAsia="Calibri"/>
          <w:b/>
          <w:sz w:val="28"/>
        </w:rPr>
        <w:t>.</w:t>
      </w:r>
    </w:p>
    <w:p w:rsidR="00944E23" w:rsidRPr="00C9229E" w:rsidRDefault="00944E23">
      <w:pPr>
        <w:pStyle w:val="Standard"/>
        <w:jc w:val="center"/>
        <w:rPr>
          <w:b/>
          <w:lang w:val="ru-RU"/>
        </w:rPr>
      </w:pPr>
    </w:p>
    <w:p w:rsidR="00944E23" w:rsidRDefault="00583A65">
      <w:pPr>
        <w:widowControl/>
        <w:tabs>
          <w:tab w:val="left" w:pos="1135"/>
        </w:tabs>
        <w:suppressAutoHyphens w:val="0"/>
        <w:textAlignment w:val="auto"/>
      </w:pPr>
      <w:r>
        <w:rPr>
          <w:rFonts w:ascii="Times New Roman" w:eastAsia="Times New Roman" w:hAnsi="Times New Roman" w:cs="Times New Roman"/>
          <w:b/>
          <w:szCs w:val="28"/>
          <w:lang w:eastAsia="ru-RU"/>
        </w:rPr>
        <w:t xml:space="preserve">1.1. </w:t>
      </w:r>
      <w:r w:rsidR="005923C1">
        <w:rPr>
          <w:rFonts w:ascii="Times New Roman" w:eastAsia="Times New Roman" w:hAnsi="Times New Roman" w:cs="Times New Roman"/>
          <w:b/>
          <w:szCs w:val="28"/>
          <w:lang w:eastAsia="ru-RU"/>
        </w:rPr>
        <w:t>Обозначения и сокращения.</w:t>
      </w:r>
    </w:p>
    <w:p w:rsidR="00944E23" w:rsidRDefault="00944E23">
      <w:pPr>
        <w:widowControl/>
        <w:jc w:val="both"/>
        <w:rPr>
          <w:rFonts w:ascii="Times New Roman" w:eastAsia="Times New Roman" w:hAnsi="Times New Roman" w:cs="Times New Roman"/>
          <w:shd w:val="clear" w:color="auto" w:fill="FFFF00"/>
          <w:lang w:eastAsia="ru-RU"/>
        </w:rPr>
      </w:pPr>
    </w:p>
    <w:p w:rsidR="00944E23" w:rsidRDefault="005923C1">
      <w:pPr>
        <w:widowControl/>
        <w:jc w:val="both"/>
      </w:pPr>
      <w:r>
        <w:rPr>
          <w:rFonts w:ascii="Times New Roman" w:eastAsia="Times New Roman" w:hAnsi="Times New Roman" w:cs="Times New Roman"/>
          <w:lang w:eastAsia="ru-RU"/>
        </w:rPr>
        <w:t>КВГЭС - Каскад Вилюйских гидроэлектростанций</w:t>
      </w:r>
    </w:p>
    <w:p w:rsidR="00944E23" w:rsidRDefault="005923C1">
      <w:pPr>
        <w:widowControl/>
        <w:jc w:val="both"/>
      </w:pPr>
      <w:r>
        <w:rPr>
          <w:rFonts w:ascii="Times New Roman" w:eastAsia="Times New Roman" w:hAnsi="Times New Roman" w:cs="Times New Roman"/>
          <w:lang w:eastAsia="ru-RU"/>
        </w:rPr>
        <w:t>ПАО -     Публичное акционерное общество</w:t>
      </w:r>
    </w:p>
    <w:p w:rsidR="00944E23" w:rsidRDefault="005923C1">
      <w:pPr>
        <w:widowControl/>
        <w:jc w:val="both"/>
      </w:pPr>
      <w:r>
        <w:rPr>
          <w:rFonts w:ascii="Times New Roman" w:eastAsia="Times New Roman" w:hAnsi="Times New Roman" w:cs="Times New Roman"/>
          <w:lang w:eastAsia="ru-RU"/>
        </w:rPr>
        <w:t>СВ -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Система возбуждения</w:t>
      </w:r>
    </w:p>
    <w:p w:rsidR="00944E23" w:rsidRDefault="005923C1">
      <w:pPr>
        <w:widowControl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АРВ-</w:t>
      </w:r>
      <w:r>
        <w:rPr>
          <w:rFonts w:ascii="Times New Roman" w:eastAsia="Times New Roman" w:hAnsi="Times New Roman" w:cs="Times New Roman"/>
          <w:lang w:eastAsia="ru-RU"/>
        </w:rPr>
        <w:tab/>
        <w:t xml:space="preserve">    Автоматический регулятор возбуждения</w:t>
      </w:r>
    </w:p>
    <w:p w:rsidR="00944E23" w:rsidRDefault="005923C1">
      <w:pPr>
        <w:widowControl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ПТЭ -     Правила технической эксплуатации электрических станций и сетей</w:t>
      </w:r>
    </w:p>
    <w:p w:rsidR="00944E23" w:rsidRDefault="005923C1">
      <w:pPr>
        <w:widowControl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ПУЭ -     Правила устройства электроустановок</w:t>
      </w:r>
    </w:p>
    <w:p w:rsidR="00944E23" w:rsidRPr="00583A65" w:rsidRDefault="00944E23">
      <w:pPr>
        <w:widowControl/>
        <w:jc w:val="both"/>
        <w:rPr>
          <w:rFonts w:ascii="Times New Roman" w:eastAsia="Times New Roman" w:hAnsi="Times New Roman" w:cs="Times New Roman"/>
          <w:lang w:eastAsia="ru-RU"/>
        </w:rPr>
      </w:pPr>
    </w:p>
    <w:p w:rsidR="00944E23" w:rsidRPr="00583A65" w:rsidRDefault="00583A65" w:rsidP="00583A65">
      <w:pPr>
        <w:widowControl/>
        <w:tabs>
          <w:tab w:val="left" w:pos="426"/>
        </w:tabs>
        <w:suppressAutoHyphens w:val="0"/>
        <w:jc w:val="both"/>
        <w:textAlignment w:val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1.2. </w:t>
      </w:r>
      <w:r w:rsidR="005923C1" w:rsidRPr="00583A65">
        <w:rPr>
          <w:rFonts w:ascii="Times New Roman" w:eastAsia="Times New Roman" w:hAnsi="Times New Roman" w:cs="Times New Roman"/>
          <w:b/>
          <w:bCs/>
          <w:lang w:eastAsia="ru-RU"/>
        </w:rPr>
        <w:t>Наименование закупаемых услуг.</w:t>
      </w:r>
    </w:p>
    <w:p w:rsidR="00944E23" w:rsidRDefault="005923C1">
      <w:pPr>
        <w:widowControl/>
        <w:jc w:val="both"/>
        <w:rPr>
          <w:rFonts w:ascii="Times New Roman" w:eastAsia="Times New Roman" w:hAnsi="Times New Roman" w:cs="Calibri"/>
          <w:lang w:eastAsia="ru-RU"/>
        </w:rPr>
      </w:pPr>
      <w:r>
        <w:rPr>
          <w:rFonts w:ascii="Times New Roman" w:eastAsia="Times New Roman" w:hAnsi="Times New Roman" w:cs="Calibri"/>
          <w:lang w:eastAsia="ru-RU"/>
        </w:rPr>
        <w:t>Техническое обслуживание автоматических регуляторов возбуждения гидрогенераторов для нужд Каскада Вилюйских ГЭС им. Е.Н. Батенчука.</w:t>
      </w:r>
    </w:p>
    <w:p w:rsidR="00944E23" w:rsidRDefault="00944E23">
      <w:pPr>
        <w:widowControl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4E23" w:rsidRDefault="00583A65" w:rsidP="00583A65">
      <w:pPr>
        <w:widowControl/>
        <w:tabs>
          <w:tab w:val="left" w:pos="426"/>
        </w:tabs>
        <w:suppressAutoHyphens w:val="0"/>
        <w:textAlignment w:val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1.3. </w:t>
      </w:r>
      <w:r w:rsidR="005923C1">
        <w:rPr>
          <w:rFonts w:ascii="Times New Roman" w:eastAsia="Times New Roman" w:hAnsi="Times New Roman" w:cs="Times New Roman"/>
          <w:b/>
          <w:bCs/>
          <w:lang w:eastAsia="ru-RU"/>
        </w:rPr>
        <w:t>Цель оказания услуг.</w:t>
      </w:r>
    </w:p>
    <w:p w:rsidR="00944E23" w:rsidRDefault="005923C1">
      <w:pPr>
        <w:widowControl/>
        <w:ind w:right="29"/>
        <w:jc w:val="both"/>
      </w:pPr>
      <w:r>
        <w:rPr>
          <w:rFonts w:ascii="Times New Roman" w:eastAsia="Times New Roman" w:hAnsi="Times New Roman" w:cs="Calibri"/>
          <w:lang w:eastAsia="ru-RU"/>
        </w:rPr>
        <w:t xml:space="preserve">Техническое обслуживание АРВ систем возбуждения гидрогенераторов 4Г, 7Г, 8Г Каскада Вилюйских ГЭС </w:t>
      </w:r>
      <w:r w:rsidR="00CD266D">
        <w:rPr>
          <w:rFonts w:ascii="Times New Roman" w:eastAsia="Times New Roman" w:hAnsi="Times New Roman" w:cs="Calibri"/>
          <w:lang w:eastAsia="ru-RU"/>
        </w:rPr>
        <w:t>в объеме «</w:t>
      </w:r>
      <w:r w:rsidR="00CD266D" w:rsidRPr="00CD266D">
        <w:rPr>
          <w:rFonts w:ascii="Times New Roman" w:eastAsia="Times New Roman" w:hAnsi="Times New Roman" w:cs="Calibri" w:hint="cs"/>
          <w:lang w:eastAsia="ru-RU"/>
        </w:rPr>
        <w:t>устранения</w:t>
      </w:r>
      <w:r w:rsidR="00CD266D" w:rsidRPr="00CD266D">
        <w:rPr>
          <w:rFonts w:ascii="Times New Roman" w:eastAsia="Times New Roman" w:hAnsi="Times New Roman" w:cs="Calibri"/>
          <w:lang w:eastAsia="ru-RU"/>
        </w:rPr>
        <w:t xml:space="preserve"> </w:t>
      </w:r>
      <w:r w:rsidR="00CD266D" w:rsidRPr="00CD266D">
        <w:rPr>
          <w:rFonts w:ascii="Times New Roman" w:eastAsia="Times New Roman" w:hAnsi="Times New Roman" w:cs="Calibri" w:hint="cs"/>
          <w:lang w:eastAsia="ru-RU"/>
        </w:rPr>
        <w:t>замечаний</w:t>
      </w:r>
      <w:r w:rsidR="00CD266D" w:rsidRPr="00CD266D">
        <w:rPr>
          <w:rFonts w:ascii="Times New Roman" w:eastAsia="Times New Roman" w:hAnsi="Times New Roman" w:cs="Calibri"/>
          <w:lang w:eastAsia="ru-RU"/>
        </w:rPr>
        <w:t xml:space="preserve">, </w:t>
      </w:r>
      <w:r w:rsidR="00CD266D" w:rsidRPr="00CD266D">
        <w:rPr>
          <w:rFonts w:ascii="Times New Roman" w:eastAsia="Times New Roman" w:hAnsi="Times New Roman" w:cs="Calibri" w:hint="cs"/>
          <w:lang w:eastAsia="ru-RU"/>
        </w:rPr>
        <w:t>проверки</w:t>
      </w:r>
      <w:r w:rsidR="00CD266D" w:rsidRPr="00CD266D">
        <w:rPr>
          <w:rFonts w:ascii="Times New Roman" w:eastAsia="Times New Roman" w:hAnsi="Times New Roman" w:cs="Calibri"/>
          <w:lang w:eastAsia="ru-RU"/>
        </w:rPr>
        <w:t xml:space="preserve"> </w:t>
      </w:r>
      <w:r w:rsidR="00CD266D" w:rsidRPr="00CD266D">
        <w:rPr>
          <w:rFonts w:ascii="Times New Roman" w:eastAsia="Times New Roman" w:hAnsi="Times New Roman" w:cs="Calibri" w:hint="cs"/>
          <w:lang w:eastAsia="ru-RU"/>
        </w:rPr>
        <w:t>и</w:t>
      </w:r>
      <w:r w:rsidR="00CD266D" w:rsidRPr="00CD266D">
        <w:rPr>
          <w:rFonts w:ascii="Times New Roman" w:eastAsia="Times New Roman" w:hAnsi="Times New Roman" w:cs="Calibri"/>
          <w:lang w:eastAsia="ru-RU"/>
        </w:rPr>
        <w:t xml:space="preserve"> </w:t>
      </w:r>
      <w:r w:rsidR="00CD266D" w:rsidRPr="00CD266D">
        <w:rPr>
          <w:rFonts w:ascii="Times New Roman" w:eastAsia="Times New Roman" w:hAnsi="Times New Roman" w:cs="Calibri" w:hint="cs"/>
          <w:lang w:eastAsia="ru-RU"/>
        </w:rPr>
        <w:t>испытаний</w:t>
      </w:r>
      <w:r w:rsidR="00CD266D">
        <w:rPr>
          <w:rFonts w:ascii="Times New Roman" w:eastAsia="Times New Roman" w:hAnsi="Times New Roman" w:cs="Calibri"/>
          <w:lang w:eastAsia="ru-RU"/>
        </w:rPr>
        <w:t>»</w:t>
      </w:r>
      <w:r>
        <w:rPr>
          <w:rFonts w:ascii="Times New Roman" w:eastAsia="Times New Roman" w:hAnsi="Times New Roman" w:cs="Calibri"/>
          <w:lang w:eastAsia="ru-RU"/>
        </w:rPr>
        <w:t>.</w:t>
      </w:r>
    </w:p>
    <w:p w:rsidR="00944E23" w:rsidRDefault="00944E23">
      <w:pPr>
        <w:widowControl/>
        <w:ind w:right="29"/>
        <w:jc w:val="both"/>
        <w:rPr>
          <w:rFonts w:ascii="Times New Roman" w:eastAsia="Times New Roman" w:hAnsi="Times New Roman" w:cs="Times New Roman"/>
          <w:lang w:eastAsia="ru-RU"/>
        </w:rPr>
      </w:pPr>
    </w:p>
    <w:p w:rsidR="00944E23" w:rsidRDefault="00583A65" w:rsidP="00583A65">
      <w:pPr>
        <w:widowControl/>
        <w:tabs>
          <w:tab w:val="left" w:pos="567"/>
        </w:tabs>
        <w:suppressAutoHyphens w:val="0"/>
        <w:textAlignment w:val="auto"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1.4. </w:t>
      </w:r>
      <w:r w:rsidR="005923C1">
        <w:rPr>
          <w:rFonts w:ascii="Times New Roman" w:eastAsia="Times New Roman" w:hAnsi="Times New Roman" w:cs="Times New Roman"/>
          <w:b/>
          <w:bCs/>
          <w:lang w:eastAsia="ru-RU"/>
        </w:rPr>
        <w:t>Существующее положение.</w:t>
      </w:r>
    </w:p>
    <w:p w:rsidR="00944E23" w:rsidRDefault="005923C1">
      <w:pPr>
        <w:widowControl/>
        <w:tabs>
          <w:tab w:val="left" w:pos="426"/>
        </w:tabs>
        <w:jc w:val="both"/>
      </w:pPr>
      <w:r>
        <w:rPr>
          <w:rFonts w:ascii="Times New Roman" w:eastAsia="Times New Roman" w:hAnsi="Times New Roman" w:cs="Times New Roman"/>
          <w:bCs/>
          <w:lang w:eastAsia="ru-RU"/>
        </w:rPr>
        <w:tab/>
        <w:t>Место оказания услуг: Каскад Вилюйских ГЭС имени Е.Н. Батенчука, филиал ПАО «Якутскэнерго», 678185, Республика Саха (Якутия), Мирнинский район, пос. Чернышевский,</w:t>
      </w:r>
      <w:r>
        <w:rPr>
          <w:rFonts w:ascii="Times New Roman" w:eastAsia="Times New Roman" w:hAnsi="Times New Roman" w:cs="Times New Roman"/>
          <w:lang w:eastAsia="ru-RU"/>
        </w:rPr>
        <w:t xml:space="preserve"> ГЭС-1, </w:t>
      </w:r>
      <w:r>
        <w:rPr>
          <w:rFonts w:ascii="Times New Roman" w:eastAsia="Times New Roman" w:hAnsi="Times New Roman" w:cs="Times New Roman"/>
          <w:bCs/>
          <w:lang w:eastAsia="ru-RU"/>
        </w:rPr>
        <w:t>ГЭС-2.</w:t>
      </w:r>
    </w:p>
    <w:p w:rsidR="00944E23" w:rsidRDefault="00944E23">
      <w:pPr>
        <w:widowControl/>
        <w:tabs>
          <w:tab w:val="left" w:pos="426"/>
        </w:tabs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9229E" w:rsidRPr="00C9229E" w:rsidRDefault="00C9229E" w:rsidP="00C9229E">
      <w:pPr>
        <w:widowControl/>
        <w:ind w:firstLine="426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Системы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возбуждения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СТС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-370-1600-2,5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СТС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-250-1600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АРВ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-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СДП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1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режиме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автоматического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регулирования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возбуждения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обеспечивают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proofErr w:type="spellStart"/>
      <w:r w:rsidRPr="00C9229E">
        <w:rPr>
          <w:rFonts w:ascii="Times New Roman" w:eastAsia="Times New Roman" w:hAnsi="Times New Roman" w:cs="Times New Roman" w:hint="cs"/>
          <w:bCs/>
          <w:lang w:eastAsia="ru-RU"/>
        </w:rPr>
        <w:t>форсировку</w:t>
      </w:r>
      <w:proofErr w:type="spellEnd"/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возбуждения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заданной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кратностью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развозбуждения</w:t>
      </w:r>
      <w:proofErr w:type="spellEnd"/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нарушениях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энергосистеме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proofErr w:type="spellStart"/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развозбуждение</w:t>
      </w:r>
      <w:proofErr w:type="spellEnd"/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гашение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поля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нормальном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останове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генератора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переводом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C9229E">
        <w:rPr>
          <w:rFonts w:ascii="Times New Roman" w:eastAsia="Times New Roman" w:hAnsi="Times New Roman" w:cs="Times New Roman" w:hint="cs"/>
          <w:bCs/>
          <w:lang w:eastAsia="ru-RU"/>
        </w:rPr>
        <w:t>тиристорных</w:t>
      </w:r>
      <w:proofErr w:type="spellEnd"/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преобразователей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инверторный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режим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гашение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поля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C9229E">
        <w:rPr>
          <w:rFonts w:ascii="Times New Roman" w:eastAsia="Times New Roman" w:hAnsi="Times New Roman" w:cs="Times New Roman" w:hint="cs"/>
          <w:bCs/>
          <w:lang w:eastAsia="ru-RU"/>
        </w:rPr>
        <w:t>аврийных</w:t>
      </w:r>
      <w:proofErr w:type="spellEnd"/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режимах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автоматом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гашения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поля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все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режимы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работы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параметры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возбуждения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генератора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полном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числе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выходе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из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строя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одной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параллельной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ветви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любом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или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каждом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суммарном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одноимённом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плече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параллельно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включенных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преобразователей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ток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возбуждения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работе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генератора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номинальной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нагрузкой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коэффициентом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мощности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равном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единице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выходе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из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строя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двух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параллельных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ветвей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любом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или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каждом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суммарном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одноимённом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плече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параллельно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включенных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преобразователей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или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отключении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одного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из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двух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параллельно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включенных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преобразователей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полном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числе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параллельных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ветвей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оставшегося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работе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преобразователя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этом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автоматически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осуществляется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запрет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режима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C9229E">
        <w:rPr>
          <w:rFonts w:ascii="Times New Roman" w:eastAsia="Times New Roman" w:hAnsi="Times New Roman" w:cs="Times New Roman" w:hint="cs"/>
          <w:bCs/>
          <w:lang w:eastAsia="ru-RU"/>
        </w:rPr>
        <w:t>форсировки</w:t>
      </w:r>
      <w:proofErr w:type="spellEnd"/>
      <w:r w:rsidRPr="00C9229E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полное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открытие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тиристоров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внезапных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коротких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замыканиях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сети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вызывающих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заданное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снижение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напряжения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прямой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последовательности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на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входе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AVM;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регулирование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тока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возбуждения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отклонению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производной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напряжения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генератора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отклонению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производной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частоты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proofErr w:type="gramStart"/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производной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тока</w:t>
      </w:r>
      <w:proofErr w:type="gramEnd"/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возбуждения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устойчивое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регулирование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возбуждения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пределах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от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70%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напряжения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возбуждения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холостого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хода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до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110%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номинального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н</w:t>
      </w:r>
      <w:r w:rsidR="00CD266D">
        <w:rPr>
          <w:rFonts w:ascii="Times New Roman" w:eastAsia="Times New Roman" w:hAnsi="Times New Roman" w:cs="Times New Roman"/>
          <w:bCs/>
          <w:lang w:eastAsia="ru-RU"/>
        </w:rPr>
        <w:t>а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пряжения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возбуждения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работе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генератора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на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сеть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на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холостом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ходу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дистанционное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изменение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C9229E">
        <w:rPr>
          <w:rFonts w:ascii="Times New Roman" w:eastAsia="Times New Roman" w:hAnsi="Times New Roman" w:cs="Times New Roman" w:hint="cs"/>
          <w:bCs/>
          <w:lang w:eastAsia="ru-RU"/>
        </w:rPr>
        <w:t>уставки</w:t>
      </w:r>
      <w:proofErr w:type="spellEnd"/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напряжения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генератора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пределах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от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80%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до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110%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номинального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значения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-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ограничение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тока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возбуждения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генератора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двукратной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величины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отношению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к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номинальному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току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возбуждения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без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выдержки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времени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также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ограничения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перегрузки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току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возбуждения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время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-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зависимой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характеристике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ограничение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минимального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тока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возбуждения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proofErr w:type="spellStart"/>
      <w:r w:rsidRPr="00C9229E">
        <w:rPr>
          <w:rFonts w:ascii="Times New Roman" w:eastAsia="Times New Roman" w:hAnsi="Times New Roman" w:cs="Times New Roman" w:hint="cs"/>
          <w:bCs/>
          <w:lang w:eastAsia="ru-RU"/>
        </w:rPr>
        <w:t>уставкой</w:t>
      </w:r>
      <w:proofErr w:type="spellEnd"/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зависящей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от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величины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активной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мощности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генератора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режиме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потребления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реактивной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мощности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из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сети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;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работу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генератора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системе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группового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регулирования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реактивной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мощности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 w:hint="cs"/>
          <w:bCs/>
          <w:lang w:eastAsia="ru-RU"/>
        </w:rPr>
        <w:t>Установленная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мощность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ГЭС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–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680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МВт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Состав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ГЭС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/>
          <w:bCs/>
          <w:lang w:eastAsia="ru-RU"/>
        </w:rPr>
        <w:t>-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ab/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Русло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реки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Вилюй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перекрыто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глухой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каменно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-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набросной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плотиной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грунтовым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экраном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К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плотине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примыкают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обеих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сторон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два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станционных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узла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справа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–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ГЭС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- 1,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слева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ГЭС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-2.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/>
          <w:bCs/>
          <w:lang w:eastAsia="ru-RU"/>
        </w:rPr>
        <w:t>-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ab/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Станционный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узел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ГЭС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-1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четырьмя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гидроагрегатами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станционные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№№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1-4.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/>
          <w:bCs/>
          <w:lang w:eastAsia="ru-RU"/>
        </w:rPr>
        <w:t>-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ab/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Станционный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узел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ГЭС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-2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четырьмя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гидроагрегатами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станционные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№№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5-8.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/>
          <w:bCs/>
          <w:lang w:eastAsia="ru-RU"/>
        </w:rPr>
        <w:t>-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ab/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Гидрогенераторы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ГЭС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-1,2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работают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«</w:t>
      </w:r>
      <w:proofErr w:type="spellStart"/>
      <w:r w:rsidRPr="00C9229E">
        <w:rPr>
          <w:rFonts w:ascii="Times New Roman" w:eastAsia="Times New Roman" w:hAnsi="Times New Roman" w:cs="Times New Roman" w:hint="cs"/>
          <w:bCs/>
          <w:lang w:eastAsia="ru-RU"/>
        </w:rPr>
        <w:t>блочно</w:t>
      </w:r>
      <w:proofErr w:type="spellEnd"/>
      <w:r w:rsidRPr="00C9229E">
        <w:rPr>
          <w:rFonts w:ascii="Times New Roman" w:eastAsia="Times New Roman" w:hAnsi="Times New Roman" w:cs="Times New Roman" w:hint="cs"/>
          <w:bCs/>
          <w:lang w:eastAsia="ru-RU"/>
        </w:rPr>
        <w:t>»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трансформаторами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1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Т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-8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Т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Распределительное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устройство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ГЭС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-1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закрытого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типа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220 </w:t>
      </w:r>
      <w:proofErr w:type="spellStart"/>
      <w:r w:rsidRPr="00C9229E">
        <w:rPr>
          <w:rFonts w:ascii="Times New Roman" w:eastAsia="Times New Roman" w:hAnsi="Times New Roman" w:cs="Times New Roman" w:hint="cs"/>
          <w:bCs/>
          <w:lang w:eastAsia="ru-RU"/>
        </w:rPr>
        <w:t>кВ</w:t>
      </w:r>
      <w:proofErr w:type="spellEnd"/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ЗРУ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-1)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двумя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секциями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шин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(1-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секция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, 2-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секция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220 </w:t>
      </w:r>
      <w:proofErr w:type="spellStart"/>
      <w:r w:rsidRPr="00C9229E">
        <w:rPr>
          <w:rFonts w:ascii="Times New Roman" w:eastAsia="Times New Roman" w:hAnsi="Times New Roman" w:cs="Times New Roman" w:hint="cs"/>
          <w:bCs/>
          <w:lang w:eastAsia="ru-RU"/>
        </w:rPr>
        <w:t>кВ</w:t>
      </w:r>
      <w:proofErr w:type="spellEnd"/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).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От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ЗРУ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-1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отходят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две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линии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электропередачи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напряжением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220 </w:t>
      </w:r>
      <w:proofErr w:type="spellStart"/>
      <w:r w:rsidRPr="00C9229E">
        <w:rPr>
          <w:rFonts w:ascii="Times New Roman" w:eastAsia="Times New Roman" w:hAnsi="Times New Roman" w:cs="Times New Roman" w:hint="cs"/>
          <w:bCs/>
          <w:lang w:eastAsia="ru-RU"/>
        </w:rPr>
        <w:t>кВ</w:t>
      </w:r>
      <w:proofErr w:type="spellEnd"/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-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Л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-202,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Л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-208.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Распределительное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устройство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ГЭС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-2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закрытого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типа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220 </w:t>
      </w:r>
      <w:proofErr w:type="spellStart"/>
      <w:r w:rsidRPr="00C9229E">
        <w:rPr>
          <w:rFonts w:ascii="Times New Roman" w:eastAsia="Times New Roman" w:hAnsi="Times New Roman" w:cs="Times New Roman" w:hint="cs"/>
          <w:bCs/>
          <w:lang w:eastAsia="ru-RU"/>
        </w:rPr>
        <w:t>кВ</w:t>
      </w:r>
      <w:proofErr w:type="spellEnd"/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ЗРУ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-2)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двумя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секциями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шин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(3-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секция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, 4-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секция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220 </w:t>
      </w:r>
      <w:proofErr w:type="spellStart"/>
      <w:r w:rsidRPr="00C9229E">
        <w:rPr>
          <w:rFonts w:ascii="Times New Roman" w:eastAsia="Times New Roman" w:hAnsi="Times New Roman" w:cs="Times New Roman" w:hint="cs"/>
          <w:bCs/>
          <w:lang w:eastAsia="ru-RU"/>
        </w:rPr>
        <w:t>кВ</w:t>
      </w:r>
      <w:proofErr w:type="spellEnd"/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)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обходной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секцией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шин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220 </w:t>
      </w:r>
      <w:proofErr w:type="spellStart"/>
      <w:r w:rsidRPr="00C9229E">
        <w:rPr>
          <w:rFonts w:ascii="Times New Roman" w:eastAsia="Times New Roman" w:hAnsi="Times New Roman" w:cs="Times New Roman" w:hint="cs"/>
          <w:bCs/>
          <w:lang w:eastAsia="ru-RU"/>
        </w:rPr>
        <w:t>кВ</w:t>
      </w:r>
      <w:proofErr w:type="spellEnd"/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ОСШ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).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От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ЗРУ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-2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отходят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три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линии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220 </w:t>
      </w:r>
      <w:proofErr w:type="spellStart"/>
      <w:r w:rsidRPr="00C9229E">
        <w:rPr>
          <w:rFonts w:ascii="Times New Roman" w:eastAsia="Times New Roman" w:hAnsi="Times New Roman" w:cs="Times New Roman" w:hint="cs"/>
          <w:bCs/>
          <w:lang w:eastAsia="ru-RU"/>
        </w:rPr>
        <w:t>кВ</w:t>
      </w:r>
      <w:proofErr w:type="spellEnd"/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–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Л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-201,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Л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-203,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Л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-204.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 w:hint="cs"/>
          <w:bCs/>
          <w:lang w:eastAsia="ru-RU"/>
        </w:rPr>
        <w:t>ЗРУ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-1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ЗРУ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-2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соединены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секционными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связями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(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«перекидками»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)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Л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-1-4,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Л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-2-3,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образуя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схему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«кольцевого»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типа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Собственные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нужды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ГЭС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запитаны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от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трансформаторов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CH 9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Т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, 10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Т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, 19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Т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, 20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Т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Питание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трансформаторов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6/0,4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кВ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щитов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СН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от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1-4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секций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КРУ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6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кВ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Сведения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схеме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оперативного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обслуживания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электрооборудования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электростанции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:</w:t>
      </w:r>
    </w:p>
    <w:p w:rsidR="00C9229E" w:rsidRPr="00C9229E" w:rsidRDefault="00C9229E" w:rsidP="00C9229E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-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оперативное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обслуживание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электростанции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осуществляет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сменный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оперативный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персонал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под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руководством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начальника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смены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Pr="00C9229E">
        <w:rPr>
          <w:rFonts w:ascii="Times New Roman" w:eastAsia="Times New Roman" w:hAnsi="Times New Roman" w:cs="Times New Roman" w:hint="cs"/>
          <w:bCs/>
          <w:lang w:eastAsia="ru-RU"/>
        </w:rPr>
        <w:t>станции</w:t>
      </w:r>
      <w:r w:rsidRPr="00C9229E">
        <w:rPr>
          <w:rFonts w:ascii="Times New Roman" w:eastAsia="Times New Roman" w:hAnsi="Times New Roman" w:cs="Times New Roman"/>
          <w:bCs/>
          <w:lang w:eastAsia="ru-RU"/>
        </w:rPr>
        <w:t>.</w:t>
      </w:r>
    </w:p>
    <w:p w:rsidR="00944E23" w:rsidRDefault="00944E23">
      <w:pPr>
        <w:widowControl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:rsidR="00944E23" w:rsidRDefault="005923C1">
      <w:pPr>
        <w:widowControl/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Таблица 1. Перечень объектов заказчика</w:t>
      </w:r>
    </w:p>
    <w:p w:rsidR="00944E23" w:rsidRDefault="00944E23">
      <w:pPr>
        <w:widowControl/>
        <w:rPr>
          <w:rFonts w:ascii="Times New Roman" w:eastAsia="Times New Roman" w:hAnsi="Times New Roman" w:cs="Times New Roman"/>
          <w:b/>
          <w:bCs/>
          <w:lang w:val="en-GB" w:eastAsia="ru-RU"/>
        </w:rPr>
      </w:pPr>
    </w:p>
    <w:tbl>
      <w:tblPr>
        <w:tblW w:w="9900" w:type="dxa"/>
        <w:tblInd w:w="-8" w:type="dxa"/>
        <w:tblLayout w:type="fixed"/>
        <w:tblLook w:val="0000" w:firstRow="0" w:lastRow="0" w:firstColumn="0" w:lastColumn="0" w:noHBand="0" w:noVBand="0"/>
      </w:tblPr>
      <w:tblGrid>
        <w:gridCol w:w="846"/>
        <w:gridCol w:w="1725"/>
        <w:gridCol w:w="2668"/>
        <w:gridCol w:w="2408"/>
        <w:gridCol w:w="2253"/>
      </w:tblGrid>
      <w:tr w:rsidR="00944E23">
        <w:trPr>
          <w:trHeight w:val="1590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4E23" w:rsidRDefault="005923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№ п\п</w:t>
            </w:r>
          </w:p>
        </w:tc>
        <w:tc>
          <w:tcPr>
            <w:tcW w:w="1725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4E23" w:rsidRDefault="005923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объекта</w:t>
            </w:r>
          </w:p>
        </w:tc>
        <w:tc>
          <w:tcPr>
            <w:tcW w:w="266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4E23" w:rsidRDefault="005923C1">
            <w:pPr>
              <w:jc w:val="center"/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Расположение объекта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lang w:eastAsia="ru-RU"/>
              </w:rPr>
              <w:t>(место оказания услуг)</w:t>
            </w:r>
          </w:p>
        </w:tc>
        <w:tc>
          <w:tcPr>
            <w:tcW w:w="2408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944E23" w:rsidRDefault="005923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Наименование основного средства</w:t>
            </w:r>
          </w:p>
          <w:p w:rsidR="00944E23" w:rsidRDefault="005923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(в отношении которого оказываются услуги)</w:t>
            </w:r>
          </w:p>
        </w:tc>
        <w:tc>
          <w:tcPr>
            <w:tcW w:w="22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4E23" w:rsidRDefault="005923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Примечания</w:t>
            </w:r>
          </w:p>
        </w:tc>
      </w:tr>
      <w:tr w:rsidR="00944E23">
        <w:trPr>
          <w:trHeight w:val="330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4E23" w:rsidRDefault="00592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44E23" w:rsidRDefault="00592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26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44E23" w:rsidRDefault="00592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  <w:tc>
          <w:tcPr>
            <w:tcW w:w="240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44E23" w:rsidRDefault="00592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</w:t>
            </w:r>
          </w:p>
        </w:tc>
        <w:tc>
          <w:tcPr>
            <w:tcW w:w="2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44E23" w:rsidRDefault="005923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944E23">
        <w:trPr>
          <w:trHeight w:val="903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4E23" w:rsidRDefault="005923C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1.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44E23" w:rsidRDefault="005923C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Каскад Вилюйских ГЭС им. Е.Н. Батенчука</w:t>
            </w:r>
          </w:p>
        </w:tc>
        <w:tc>
          <w:tcPr>
            <w:tcW w:w="26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44E23" w:rsidRDefault="005923C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678185, Республика Саха (Якутия), Мирнинский район, пос. Чернышевский</w:t>
            </w:r>
          </w:p>
        </w:tc>
        <w:tc>
          <w:tcPr>
            <w:tcW w:w="240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44E23" w:rsidRDefault="005923C1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Гидроагрегат ГЭС-1 (4)</w:t>
            </w:r>
          </w:p>
          <w:p w:rsidR="00944E23" w:rsidRDefault="005923C1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(инв. № 00000328)</w:t>
            </w:r>
          </w:p>
          <w:p w:rsidR="00944E23" w:rsidRDefault="00944E2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en-GB" w:eastAsia="ru-RU"/>
              </w:rPr>
            </w:pPr>
          </w:p>
        </w:tc>
        <w:tc>
          <w:tcPr>
            <w:tcW w:w="2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44E23" w:rsidRDefault="005923C1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Эксплуатирующая организация: ПАО «Якутскэнерго» КВГЭС им. </w:t>
            </w:r>
            <w:r>
              <w:rPr>
                <w:rFonts w:ascii="Times New Roman" w:eastAsia="Times New Roman" w:hAnsi="Times New Roman" w:cs="Times New Roman"/>
                <w:iCs/>
                <w:lang w:val="en-GB" w:eastAsia="ru-RU"/>
              </w:rPr>
              <w:t>Е.Н. Батенчука</w:t>
            </w:r>
          </w:p>
        </w:tc>
      </w:tr>
      <w:tr w:rsidR="00944E23">
        <w:trPr>
          <w:trHeight w:val="903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4E23" w:rsidRDefault="005923C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44E23" w:rsidRDefault="005923C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Каскад Вилюйских ГЭС им. Е.Н. Батенчука</w:t>
            </w:r>
          </w:p>
        </w:tc>
        <w:tc>
          <w:tcPr>
            <w:tcW w:w="26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44E23" w:rsidRDefault="005923C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678185, Республика Саха (Якутия), Мирнинский район, пос. Чернышевский</w:t>
            </w:r>
          </w:p>
        </w:tc>
        <w:tc>
          <w:tcPr>
            <w:tcW w:w="240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44E23" w:rsidRDefault="005923C1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Гидроагрегат ГЭС-2 (7)</w:t>
            </w:r>
          </w:p>
          <w:p w:rsidR="00944E23" w:rsidRDefault="005923C1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(инв. № 00000331)</w:t>
            </w:r>
          </w:p>
          <w:p w:rsidR="00944E23" w:rsidRDefault="00944E2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en-GB" w:eastAsia="ru-RU"/>
              </w:rPr>
            </w:pPr>
          </w:p>
        </w:tc>
        <w:tc>
          <w:tcPr>
            <w:tcW w:w="2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44E23" w:rsidRDefault="005923C1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Эксплуатирующая организация: ПАО «Якутскэнерго» КВГЭС им. </w:t>
            </w:r>
            <w:r>
              <w:rPr>
                <w:rFonts w:ascii="Times New Roman" w:eastAsia="Times New Roman" w:hAnsi="Times New Roman" w:cs="Times New Roman"/>
                <w:iCs/>
                <w:lang w:val="en-GB" w:eastAsia="ru-RU"/>
              </w:rPr>
              <w:t>Е.Н. Батенчука</w:t>
            </w:r>
          </w:p>
        </w:tc>
      </w:tr>
      <w:tr w:rsidR="00944E23">
        <w:trPr>
          <w:trHeight w:val="903"/>
        </w:trPr>
        <w:tc>
          <w:tcPr>
            <w:tcW w:w="84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44E23" w:rsidRDefault="005923C1">
            <w:pPr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3.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44E23" w:rsidRDefault="005923C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Каскад Вилюйских ГЭС им. Е.Н. Батенчука</w:t>
            </w:r>
          </w:p>
        </w:tc>
        <w:tc>
          <w:tcPr>
            <w:tcW w:w="266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44E23" w:rsidRDefault="005923C1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678185, Республика Саха (Якутия), Мирнинский район, пос. Чернышевский</w:t>
            </w:r>
          </w:p>
        </w:tc>
        <w:tc>
          <w:tcPr>
            <w:tcW w:w="2408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44E23" w:rsidRDefault="005923C1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Гидроагрегат ГЭС-2 (8)</w:t>
            </w:r>
          </w:p>
          <w:p w:rsidR="00944E23" w:rsidRDefault="005923C1">
            <w:pPr>
              <w:jc w:val="center"/>
              <w:textAlignment w:val="auto"/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lang w:eastAsia="ru-RU"/>
              </w:rPr>
              <w:t>(инв. № 00000330)</w:t>
            </w:r>
          </w:p>
          <w:p w:rsidR="00944E23" w:rsidRDefault="00944E23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lang w:val="en-GB" w:eastAsia="ru-RU"/>
              </w:rPr>
            </w:pPr>
          </w:p>
        </w:tc>
        <w:tc>
          <w:tcPr>
            <w:tcW w:w="2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944E23" w:rsidRDefault="005923C1">
            <w:pPr>
              <w:jc w:val="center"/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Эксплуатирующая организация: ПАО «Якутскэнерго» КВГЭС им. </w:t>
            </w:r>
            <w:r>
              <w:rPr>
                <w:rFonts w:ascii="Times New Roman" w:eastAsia="Times New Roman" w:hAnsi="Times New Roman" w:cs="Times New Roman"/>
                <w:iCs/>
                <w:lang w:val="en-GB" w:eastAsia="ru-RU"/>
              </w:rPr>
              <w:t>Е.Н. Батенчука</w:t>
            </w:r>
          </w:p>
        </w:tc>
      </w:tr>
    </w:tbl>
    <w:p w:rsidR="00944E23" w:rsidRDefault="00944E23">
      <w:pPr>
        <w:widowControl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44E23" w:rsidRDefault="00CD266D">
      <w:pPr>
        <w:widowControl/>
        <w:tabs>
          <w:tab w:val="left" w:pos="426"/>
        </w:tabs>
        <w:ind w:hanging="11"/>
        <w:jc w:val="both"/>
        <w:rPr>
          <w:rFonts w:ascii="Times New Roman" w:eastAsia="Times New Roman" w:hAnsi="Times New Roman" w:cs="Times New Roman"/>
          <w:b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lastRenderedPageBreak/>
        <w:t>1.5</w:t>
      </w:r>
      <w:r w:rsidR="00583A65">
        <w:rPr>
          <w:rFonts w:ascii="Times New Roman" w:eastAsia="Times New Roman" w:hAnsi="Times New Roman" w:cs="Times New Roman"/>
          <w:b/>
          <w:lang w:eastAsia="ar-SA"/>
        </w:rPr>
        <w:t>.</w:t>
      </w:r>
      <w:r w:rsidR="005923C1">
        <w:rPr>
          <w:rFonts w:ascii="Times New Roman" w:eastAsia="Times New Roman" w:hAnsi="Times New Roman" w:cs="Times New Roman"/>
          <w:b/>
          <w:lang w:eastAsia="ar-SA"/>
        </w:rPr>
        <w:t xml:space="preserve">   Условия оказания услуг.</w:t>
      </w:r>
    </w:p>
    <w:p w:rsidR="00944E23" w:rsidRDefault="005923C1">
      <w:pPr>
        <w:widowControl/>
        <w:tabs>
          <w:tab w:val="left" w:pos="426"/>
        </w:tabs>
        <w:ind w:right="29" w:hanging="1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Услуги оказываются на территории действующего энергетического предприятия, согласно регламента «Допуск подрядных организаций и командированного персонала к выполнению работ на объектах ПАО «Якутскэнерго» РГ-00-032.05-22.</w:t>
      </w:r>
    </w:p>
    <w:p w:rsidR="00944E23" w:rsidRDefault="005923C1">
      <w:pPr>
        <w:widowControl/>
        <w:tabs>
          <w:tab w:val="left" w:pos="426"/>
        </w:tabs>
        <w:ind w:right="29" w:hanging="1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Оказание услуг осуществляется в зоне действующей электроустановки, вблизи объектов, находящихся под напряжением.</w:t>
      </w:r>
    </w:p>
    <w:p w:rsidR="00944E23" w:rsidRDefault="005923C1">
      <w:pPr>
        <w:widowControl/>
        <w:tabs>
          <w:tab w:val="left" w:pos="426"/>
        </w:tabs>
        <w:ind w:right="29" w:hanging="11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- Оказание услуг вблизи объектов, находящихся под высоким напряжением, в том числе в охранной зоне действующей воздушной линии электропередачи, внутри работающих ТП и РП, при наличии допусков.</w:t>
      </w:r>
    </w:p>
    <w:p w:rsidR="00944E23" w:rsidRDefault="00944E23">
      <w:pPr>
        <w:widowControl/>
        <w:tabs>
          <w:tab w:val="left" w:pos="426"/>
        </w:tabs>
        <w:ind w:right="29" w:hanging="11"/>
        <w:jc w:val="both"/>
        <w:rPr>
          <w:rFonts w:ascii="Times New Roman" w:eastAsia="Times New Roman" w:hAnsi="Times New Roman" w:cs="Times New Roman"/>
          <w:lang w:eastAsia="ar-SA"/>
        </w:rPr>
      </w:pPr>
    </w:p>
    <w:p w:rsidR="00944E23" w:rsidRDefault="00583A65" w:rsidP="005923C1">
      <w:pPr>
        <w:keepNext/>
        <w:keepLines/>
        <w:widowControl/>
        <w:tabs>
          <w:tab w:val="left" w:pos="-114"/>
        </w:tabs>
        <w:suppressAutoHyphens w:val="0"/>
        <w:textAlignment w:val="auto"/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2</w:t>
      </w:r>
      <w:r w:rsidR="005923C1">
        <w:rPr>
          <w:rFonts w:ascii="Times New Roman" w:eastAsia="Times New Roman" w:hAnsi="Times New Roman" w:cs="Times New Roman"/>
          <w:b/>
          <w:color w:val="000000"/>
          <w:szCs w:val="28"/>
          <w:lang w:eastAsia="ru-RU"/>
        </w:rPr>
        <w:t>. Требования к продукции</w:t>
      </w:r>
    </w:p>
    <w:p w:rsidR="00944E23" w:rsidRDefault="00583A65" w:rsidP="00583A65">
      <w:pPr>
        <w:widowControl/>
        <w:tabs>
          <w:tab w:val="left" w:pos="-873"/>
        </w:tabs>
        <w:suppressAutoHyphens w:val="0"/>
        <w:textAlignment w:val="auto"/>
        <w:rPr>
          <w:rFonts w:ascii="Times New Roman" w:eastAsia="Times New Roman" w:hAnsi="Times New Roman" w:cs="Times New Roman"/>
          <w:b/>
          <w:color w:val="000000"/>
          <w:spacing w:val="15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15"/>
          <w:lang w:eastAsia="ru-RU"/>
        </w:rPr>
        <w:t xml:space="preserve">2.1. </w:t>
      </w:r>
      <w:r w:rsidR="005923C1">
        <w:rPr>
          <w:rFonts w:ascii="Times New Roman" w:eastAsia="Times New Roman" w:hAnsi="Times New Roman" w:cs="Times New Roman"/>
          <w:b/>
          <w:color w:val="000000"/>
          <w:spacing w:val="15"/>
          <w:lang w:eastAsia="ru-RU"/>
        </w:rPr>
        <w:t>Требования к объемам и срокам оказания услуг</w:t>
      </w:r>
    </w:p>
    <w:p w:rsidR="00944E23" w:rsidRDefault="00583A65" w:rsidP="00583A65">
      <w:pPr>
        <w:widowControl/>
        <w:tabs>
          <w:tab w:val="left" w:pos="-873"/>
        </w:tabs>
        <w:suppressAutoHyphens w:val="0"/>
        <w:textAlignment w:val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2.1.1. </w:t>
      </w:r>
      <w:r w:rsidR="005923C1">
        <w:rPr>
          <w:rFonts w:ascii="Times New Roman" w:eastAsia="Times New Roman" w:hAnsi="Times New Roman" w:cs="Times New Roman"/>
          <w:b/>
          <w:color w:val="000000"/>
          <w:lang w:eastAsia="ru-RU"/>
        </w:rPr>
        <w:t>Требования к перечню и объему услуг</w:t>
      </w:r>
    </w:p>
    <w:p w:rsidR="00944E23" w:rsidRDefault="005923C1">
      <w:pPr>
        <w:keepNext/>
        <w:keepLines/>
        <w:widowControl/>
        <w:numPr>
          <w:ilvl w:val="1"/>
          <w:numId w:val="1"/>
        </w:numPr>
        <w:spacing w:before="40" w:after="160" w:line="252" w:lineRule="auto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Таблица 3. Перечень и объем оказываемых услуг</w:t>
      </w:r>
    </w:p>
    <w:tbl>
      <w:tblPr>
        <w:tblW w:w="1020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677"/>
        <w:gridCol w:w="9529"/>
      </w:tblGrid>
      <w:tr w:rsidR="00944E23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E23" w:rsidRDefault="005923C1">
            <w:pPr>
              <w:keepNext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944E23" w:rsidRDefault="005923C1">
            <w:pPr>
              <w:keepNext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E23" w:rsidRDefault="005923C1">
            <w:pPr>
              <w:keepNext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Наименование услуг</w:t>
            </w:r>
          </w:p>
        </w:tc>
      </w:tr>
      <w:tr w:rsidR="00944E23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23" w:rsidRDefault="005923C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23" w:rsidRDefault="005923C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</w:tr>
      <w:tr w:rsidR="00944E23"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23" w:rsidRPr="00583A65" w:rsidRDefault="00944E23">
            <w:pPr>
              <w:suppressAutoHyphens w:val="0"/>
              <w:snapToGrid w:val="0"/>
              <w:spacing w:after="160" w:line="252" w:lineRule="auto"/>
              <w:jc w:val="center"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23" w:rsidRDefault="005923C1">
            <w:pPr>
              <w:tabs>
                <w:tab w:val="left" w:pos="488"/>
              </w:tabs>
              <w:jc w:val="both"/>
            </w:pPr>
            <w:r>
              <w:rPr>
                <w:rFonts w:ascii="Times New Roman" w:eastAsia="Times New Roman" w:hAnsi="Times New Roman" w:cs="Arial"/>
                <w:lang w:eastAsia="ru-RU"/>
              </w:rPr>
              <w:t>1.</w:t>
            </w:r>
            <w:r>
              <w:rPr>
                <w:rFonts w:ascii="Times New Roman" w:eastAsia="Times New Roman" w:hAnsi="Times New Roman" w:cs="Calibri"/>
                <w:lang w:eastAsia="ru-RU"/>
              </w:rPr>
              <w:t>Техническое обслуживание АРВ систем возбуждения гидрогенераторов 4Г, 7Г, 8Г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 выполняется в следующем объеме:</w:t>
            </w:r>
          </w:p>
          <w:p w:rsidR="00944E23" w:rsidRDefault="005923C1">
            <w:pPr>
              <w:tabs>
                <w:tab w:val="left" w:pos="488"/>
              </w:tabs>
              <w:jc w:val="both"/>
            </w:pPr>
            <w:r>
              <w:rPr>
                <w:rFonts w:ascii="Times New Roman" w:eastAsia="Times New Roman" w:hAnsi="Times New Roman" w:cs="Arial"/>
                <w:lang w:eastAsia="ru-RU"/>
              </w:rPr>
              <w:t>1.1.</w:t>
            </w:r>
            <w:r>
              <w:rPr>
                <w:rFonts w:ascii="Times New Roman" w:eastAsia="Times New Roman" w:hAnsi="Times New Roman" w:cs="Arial"/>
                <w:lang w:eastAsia="ru-RU"/>
              </w:rPr>
              <w:tab/>
              <w:t>Подготовительные работы:</w:t>
            </w:r>
          </w:p>
          <w:p w:rsidR="00944E23" w:rsidRDefault="005923C1">
            <w:pPr>
              <w:tabs>
                <w:tab w:val="left" w:pos="488"/>
              </w:tabs>
              <w:jc w:val="both"/>
            </w:pPr>
            <w:r>
              <w:rPr>
                <w:rFonts w:ascii="Times New Roman" w:eastAsia="Times New Roman" w:hAnsi="Times New Roman" w:cs="Arial"/>
                <w:lang w:eastAsia="ru-RU"/>
              </w:rPr>
              <w:t>1.1.1.</w:t>
            </w:r>
            <w:r>
              <w:rPr>
                <w:rFonts w:ascii="Times New Roman" w:eastAsia="Times New Roman" w:hAnsi="Times New Roman" w:cs="Arial"/>
                <w:lang w:eastAsia="ru-RU"/>
              </w:rPr>
              <w:tab/>
              <w:t>Подготовка нормативно-технической и справочно-информационной документации к развертыванию работ на станции.</w:t>
            </w:r>
          </w:p>
          <w:p w:rsidR="00944E23" w:rsidRDefault="005923C1">
            <w:pPr>
              <w:tabs>
                <w:tab w:val="left" w:pos="488"/>
              </w:tabs>
              <w:jc w:val="both"/>
            </w:pPr>
            <w:r>
              <w:rPr>
                <w:rFonts w:ascii="Times New Roman" w:eastAsia="Times New Roman" w:hAnsi="Times New Roman" w:cs="Arial"/>
                <w:lang w:eastAsia="ru-RU"/>
              </w:rPr>
              <w:t>1.1.2.</w:t>
            </w:r>
            <w:r>
              <w:rPr>
                <w:rFonts w:ascii="Times New Roman" w:eastAsia="Times New Roman" w:hAnsi="Times New Roman" w:cs="Arial"/>
                <w:lang w:eastAsia="ru-RU"/>
              </w:rPr>
              <w:tab/>
              <w:t>Подготовка контрольно-измерительной аппаратуры и специальных приборов для проведения проверок устройств автоматического регулирования возбуждения.</w:t>
            </w:r>
          </w:p>
          <w:p w:rsidR="00944E23" w:rsidRDefault="005923C1">
            <w:pPr>
              <w:tabs>
                <w:tab w:val="left" w:pos="488"/>
              </w:tabs>
              <w:jc w:val="both"/>
            </w:pPr>
            <w:r>
              <w:rPr>
                <w:rFonts w:ascii="Times New Roman" w:eastAsia="Times New Roman" w:hAnsi="Times New Roman" w:cs="Arial"/>
                <w:lang w:eastAsia="ru-RU"/>
              </w:rPr>
              <w:t>1.2.</w:t>
            </w:r>
            <w:r>
              <w:rPr>
                <w:rFonts w:ascii="Times New Roman" w:eastAsia="Times New Roman" w:hAnsi="Times New Roman" w:cs="Arial"/>
                <w:lang w:eastAsia="ru-RU"/>
              </w:rPr>
              <w:tab/>
              <w:t>Основные работы (объем работ по проверке):</w:t>
            </w:r>
          </w:p>
          <w:p w:rsidR="00CD266D" w:rsidRDefault="00CD266D" w:rsidP="00CD266D">
            <w:pPr>
              <w:tabs>
                <w:tab w:val="left" w:pos="965"/>
              </w:tabs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 xml:space="preserve">1.2.1. </w:t>
            </w:r>
            <w:r w:rsidRPr="00CD266D">
              <w:rPr>
                <w:rFonts w:ascii="Times New Roman" w:eastAsia="Times New Roman" w:hAnsi="Times New Roman" w:cs="Arial" w:hint="cs"/>
                <w:lang w:eastAsia="ru-RU"/>
              </w:rPr>
              <w:t>Подбор</w:t>
            </w:r>
            <w:r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CD266D">
              <w:rPr>
                <w:rFonts w:ascii="Times New Roman" w:eastAsia="Times New Roman" w:hAnsi="Times New Roman" w:cs="Arial" w:hint="cs"/>
                <w:lang w:eastAsia="ru-RU"/>
              </w:rPr>
              <w:t>и</w:t>
            </w:r>
            <w:r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CD266D">
              <w:rPr>
                <w:rFonts w:ascii="Times New Roman" w:eastAsia="Times New Roman" w:hAnsi="Times New Roman" w:cs="Arial" w:hint="cs"/>
                <w:lang w:eastAsia="ru-RU"/>
              </w:rPr>
              <w:t>анализ</w:t>
            </w:r>
            <w:r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CD266D">
              <w:rPr>
                <w:rFonts w:ascii="Times New Roman" w:eastAsia="Times New Roman" w:hAnsi="Times New Roman" w:cs="Arial" w:hint="cs"/>
                <w:lang w:eastAsia="ru-RU"/>
              </w:rPr>
              <w:t>технической</w:t>
            </w:r>
            <w:r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CD266D">
              <w:rPr>
                <w:rFonts w:ascii="Times New Roman" w:eastAsia="Times New Roman" w:hAnsi="Times New Roman" w:cs="Arial" w:hint="cs"/>
                <w:lang w:eastAsia="ru-RU"/>
              </w:rPr>
              <w:t>документации</w:t>
            </w:r>
            <w:r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CD266D">
              <w:rPr>
                <w:rFonts w:ascii="Times New Roman" w:eastAsia="Times New Roman" w:hAnsi="Times New Roman" w:cs="Arial" w:hint="cs"/>
                <w:lang w:eastAsia="ru-RU"/>
              </w:rPr>
              <w:t>–</w:t>
            </w:r>
            <w:r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CD266D">
              <w:rPr>
                <w:rFonts w:ascii="Times New Roman" w:eastAsia="Times New Roman" w:hAnsi="Times New Roman" w:cs="Arial" w:hint="cs"/>
                <w:lang w:eastAsia="ru-RU"/>
              </w:rPr>
              <w:t>протоколов</w:t>
            </w:r>
            <w:r w:rsidRPr="00CD266D">
              <w:rPr>
                <w:rFonts w:ascii="Times New Roman" w:eastAsia="Times New Roman" w:hAnsi="Times New Roman" w:cs="Arial"/>
                <w:lang w:eastAsia="ru-RU"/>
              </w:rPr>
              <w:t xml:space="preserve">, </w:t>
            </w:r>
            <w:r w:rsidRPr="00CD266D">
              <w:rPr>
                <w:rFonts w:ascii="Times New Roman" w:eastAsia="Times New Roman" w:hAnsi="Times New Roman" w:cs="Arial" w:hint="cs"/>
                <w:lang w:eastAsia="ru-RU"/>
              </w:rPr>
              <w:t>развернутых</w:t>
            </w:r>
            <w:r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CD266D">
              <w:rPr>
                <w:rFonts w:ascii="Times New Roman" w:eastAsia="Times New Roman" w:hAnsi="Times New Roman" w:cs="Arial" w:hint="cs"/>
                <w:lang w:eastAsia="ru-RU"/>
              </w:rPr>
              <w:t>принципиально</w:t>
            </w:r>
            <w:r w:rsidRPr="00CD266D">
              <w:rPr>
                <w:rFonts w:ascii="Times New Roman" w:eastAsia="Times New Roman" w:hAnsi="Times New Roman" w:cs="Arial"/>
                <w:lang w:eastAsia="ru-RU"/>
              </w:rPr>
              <w:t>-</w:t>
            </w:r>
            <w:r w:rsidRPr="00CD266D">
              <w:rPr>
                <w:rFonts w:ascii="Times New Roman" w:eastAsia="Times New Roman" w:hAnsi="Times New Roman" w:cs="Arial" w:hint="cs"/>
                <w:lang w:eastAsia="ru-RU"/>
              </w:rPr>
              <w:t>монтажных</w:t>
            </w:r>
            <w:r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CD266D">
              <w:rPr>
                <w:rFonts w:ascii="Times New Roman" w:eastAsia="Times New Roman" w:hAnsi="Times New Roman" w:cs="Arial" w:hint="cs"/>
                <w:lang w:eastAsia="ru-RU"/>
              </w:rPr>
              <w:t>схем</w:t>
            </w:r>
            <w:r w:rsidRPr="00CD266D">
              <w:rPr>
                <w:rFonts w:ascii="Times New Roman" w:eastAsia="Times New Roman" w:hAnsi="Times New Roman" w:cs="Arial"/>
                <w:lang w:eastAsia="ru-RU"/>
              </w:rPr>
              <w:t xml:space="preserve">, </w:t>
            </w:r>
            <w:r w:rsidRPr="00CD266D">
              <w:rPr>
                <w:rFonts w:ascii="Times New Roman" w:eastAsia="Times New Roman" w:hAnsi="Times New Roman" w:cs="Arial" w:hint="cs"/>
                <w:lang w:eastAsia="ru-RU"/>
              </w:rPr>
              <w:t>анализ</w:t>
            </w:r>
            <w:r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CD266D">
              <w:rPr>
                <w:rFonts w:ascii="Times New Roman" w:eastAsia="Times New Roman" w:hAnsi="Times New Roman" w:cs="Arial" w:hint="cs"/>
                <w:lang w:eastAsia="ru-RU"/>
              </w:rPr>
              <w:t>режимов</w:t>
            </w:r>
            <w:r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CD266D">
              <w:rPr>
                <w:rFonts w:ascii="Times New Roman" w:eastAsia="Times New Roman" w:hAnsi="Times New Roman" w:cs="Arial" w:hint="cs"/>
                <w:lang w:eastAsia="ru-RU"/>
              </w:rPr>
              <w:t>работы</w:t>
            </w:r>
            <w:r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CD266D">
              <w:rPr>
                <w:rFonts w:ascii="Times New Roman" w:eastAsia="Times New Roman" w:hAnsi="Times New Roman" w:cs="Arial" w:hint="cs"/>
                <w:lang w:eastAsia="ru-RU"/>
              </w:rPr>
              <w:t>устройств</w:t>
            </w:r>
            <w:r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CD266D">
              <w:rPr>
                <w:rFonts w:ascii="Times New Roman" w:eastAsia="Times New Roman" w:hAnsi="Times New Roman" w:cs="Arial" w:hint="cs"/>
                <w:lang w:eastAsia="ru-RU"/>
              </w:rPr>
              <w:t>управления</w:t>
            </w:r>
            <w:r w:rsidRPr="00CD266D">
              <w:rPr>
                <w:rFonts w:ascii="Times New Roman" w:eastAsia="Times New Roman" w:hAnsi="Times New Roman" w:cs="Arial"/>
                <w:lang w:eastAsia="ru-RU"/>
              </w:rPr>
              <w:t xml:space="preserve">, </w:t>
            </w:r>
            <w:r w:rsidRPr="00CD266D">
              <w:rPr>
                <w:rFonts w:ascii="Times New Roman" w:eastAsia="Times New Roman" w:hAnsi="Times New Roman" w:cs="Arial" w:hint="cs"/>
                <w:lang w:eastAsia="ru-RU"/>
              </w:rPr>
              <w:t>регулирования</w:t>
            </w:r>
            <w:r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CD266D">
              <w:rPr>
                <w:rFonts w:ascii="Times New Roman" w:eastAsia="Times New Roman" w:hAnsi="Times New Roman" w:cs="Arial" w:hint="cs"/>
                <w:lang w:eastAsia="ru-RU"/>
              </w:rPr>
              <w:t>в</w:t>
            </w:r>
            <w:r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proofErr w:type="spellStart"/>
            <w:r w:rsidRPr="00CD266D">
              <w:rPr>
                <w:rFonts w:ascii="Times New Roman" w:eastAsia="Times New Roman" w:hAnsi="Times New Roman" w:cs="Arial" w:hint="cs"/>
                <w:lang w:eastAsia="ru-RU"/>
              </w:rPr>
              <w:t>тиристорной</w:t>
            </w:r>
            <w:proofErr w:type="spellEnd"/>
            <w:r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CD266D">
              <w:rPr>
                <w:rFonts w:ascii="Times New Roman" w:eastAsia="Times New Roman" w:hAnsi="Times New Roman" w:cs="Arial" w:hint="cs"/>
                <w:lang w:eastAsia="ru-RU"/>
              </w:rPr>
              <w:t>системе</w:t>
            </w:r>
            <w:r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Pr="00CD266D">
              <w:rPr>
                <w:rFonts w:ascii="Times New Roman" w:eastAsia="Times New Roman" w:hAnsi="Times New Roman" w:cs="Arial" w:hint="cs"/>
                <w:lang w:eastAsia="ru-RU"/>
              </w:rPr>
              <w:t>возбуждения</w:t>
            </w:r>
            <w:r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 w:hint="cs"/>
                <w:lang w:eastAsia="ru-RU"/>
              </w:rPr>
              <w:t>гидро</w:t>
            </w:r>
            <w:r w:rsidRPr="00CD266D">
              <w:rPr>
                <w:rFonts w:ascii="Times New Roman" w:eastAsia="Times New Roman" w:hAnsi="Times New Roman" w:cs="Arial" w:hint="cs"/>
                <w:lang w:eastAsia="ru-RU"/>
              </w:rPr>
              <w:t>генератора</w:t>
            </w:r>
            <w:r w:rsidRPr="00CD266D">
              <w:rPr>
                <w:rFonts w:ascii="Times New Roman" w:eastAsia="Times New Roman" w:hAnsi="Times New Roman" w:cs="Arial"/>
                <w:lang w:eastAsia="ru-RU"/>
              </w:rPr>
              <w:t>.</w:t>
            </w:r>
          </w:p>
          <w:p w:rsidR="00944E23" w:rsidRDefault="005923C1" w:rsidP="00CD266D">
            <w:pPr>
              <w:tabs>
                <w:tab w:val="left" w:pos="965"/>
              </w:tabs>
              <w:jc w:val="both"/>
              <w:rPr>
                <w:rFonts w:ascii="Times New Roman" w:eastAsia="Times New Roman" w:hAnsi="Times New Roman" w:cs="Arial"/>
                <w:lang w:eastAsia="ru-RU"/>
              </w:rPr>
            </w:pPr>
            <w:r>
              <w:rPr>
                <w:rFonts w:ascii="Times New Roman" w:eastAsia="Times New Roman" w:hAnsi="Times New Roman" w:cs="Arial"/>
                <w:lang w:eastAsia="ru-RU"/>
              </w:rPr>
              <w:t>1.2.</w:t>
            </w:r>
            <w:r w:rsidR="00CD266D">
              <w:rPr>
                <w:rFonts w:ascii="Times New Roman" w:eastAsia="Times New Roman" w:hAnsi="Times New Roman" w:cs="Arial"/>
                <w:lang w:eastAsia="ru-RU"/>
              </w:rPr>
              <w:t>2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. </w:t>
            </w:r>
            <w:r w:rsidR="00CD266D" w:rsidRPr="00CD266D">
              <w:rPr>
                <w:rFonts w:ascii="Times New Roman" w:eastAsia="Times New Roman" w:hAnsi="Times New Roman" w:cs="Arial" w:hint="cs"/>
                <w:lang w:eastAsia="ru-RU"/>
              </w:rPr>
              <w:t>Составление</w:t>
            </w:r>
            <w:r w:rsidR="00CD266D"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="00CD266D" w:rsidRPr="00CD266D">
              <w:rPr>
                <w:rFonts w:ascii="Times New Roman" w:eastAsia="Times New Roman" w:hAnsi="Times New Roman" w:cs="Arial" w:hint="cs"/>
                <w:lang w:eastAsia="ru-RU"/>
              </w:rPr>
              <w:t>и</w:t>
            </w:r>
            <w:r w:rsidR="00CD266D"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="00CD266D" w:rsidRPr="00CD266D">
              <w:rPr>
                <w:rFonts w:ascii="Times New Roman" w:eastAsia="Times New Roman" w:hAnsi="Times New Roman" w:cs="Arial" w:hint="cs"/>
                <w:lang w:eastAsia="ru-RU"/>
              </w:rPr>
              <w:t>согласование</w:t>
            </w:r>
            <w:r w:rsidR="00CD266D"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="00CD266D" w:rsidRPr="00CD266D">
              <w:rPr>
                <w:rFonts w:ascii="Times New Roman" w:eastAsia="Times New Roman" w:hAnsi="Times New Roman" w:cs="Arial" w:hint="cs"/>
                <w:lang w:eastAsia="ru-RU"/>
              </w:rPr>
              <w:t>с</w:t>
            </w:r>
            <w:r w:rsidR="00CD266D"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="00CD266D" w:rsidRPr="00CD266D">
              <w:rPr>
                <w:rFonts w:ascii="Times New Roman" w:eastAsia="Times New Roman" w:hAnsi="Times New Roman" w:cs="Arial" w:hint="cs"/>
                <w:lang w:eastAsia="ru-RU"/>
              </w:rPr>
              <w:t>Заказчиком</w:t>
            </w:r>
            <w:r w:rsidR="00CD266D"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="00CD266D" w:rsidRPr="00CD266D">
              <w:rPr>
                <w:rFonts w:ascii="Times New Roman" w:eastAsia="Times New Roman" w:hAnsi="Times New Roman" w:cs="Arial" w:hint="cs"/>
                <w:lang w:eastAsia="ru-RU"/>
              </w:rPr>
              <w:t>программы</w:t>
            </w:r>
            <w:r w:rsidR="00CD266D"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="00CD266D" w:rsidRPr="00CD266D">
              <w:rPr>
                <w:rFonts w:ascii="Times New Roman" w:eastAsia="Times New Roman" w:hAnsi="Times New Roman" w:cs="Arial" w:hint="cs"/>
                <w:lang w:eastAsia="ru-RU"/>
              </w:rPr>
              <w:t>проверок</w:t>
            </w:r>
            <w:r w:rsidR="00CD266D"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="00CD266D" w:rsidRPr="00CD266D">
              <w:rPr>
                <w:rFonts w:ascii="Times New Roman" w:eastAsia="Times New Roman" w:hAnsi="Times New Roman" w:cs="Arial" w:hint="cs"/>
                <w:lang w:eastAsia="ru-RU"/>
              </w:rPr>
              <w:t>и</w:t>
            </w:r>
            <w:r w:rsidR="00CD266D"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="00CD266D" w:rsidRPr="00CD266D">
              <w:rPr>
                <w:rFonts w:ascii="Times New Roman" w:eastAsia="Times New Roman" w:hAnsi="Times New Roman" w:cs="Arial" w:hint="cs"/>
                <w:lang w:eastAsia="ru-RU"/>
              </w:rPr>
              <w:t>испытаний</w:t>
            </w:r>
            <w:r w:rsidR="00CD266D"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proofErr w:type="spellStart"/>
            <w:r w:rsidR="00CD266D" w:rsidRPr="00CD266D">
              <w:rPr>
                <w:rFonts w:ascii="Times New Roman" w:eastAsia="Times New Roman" w:hAnsi="Times New Roman" w:cs="Arial" w:hint="cs"/>
                <w:lang w:eastAsia="ru-RU"/>
              </w:rPr>
              <w:t>тиристорной</w:t>
            </w:r>
            <w:proofErr w:type="spellEnd"/>
            <w:r w:rsidR="00CD266D"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="00CD266D" w:rsidRPr="00CD266D">
              <w:rPr>
                <w:rFonts w:ascii="Times New Roman" w:eastAsia="Times New Roman" w:hAnsi="Times New Roman" w:cs="Arial" w:hint="cs"/>
                <w:lang w:eastAsia="ru-RU"/>
              </w:rPr>
              <w:t>системы</w:t>
            </w:r>
            <w:r w:rsidR="00CD266D"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="00CD266D" w:rsidRPr="00CD266D">
              <w:rPr>
                <w:rFonts w:ascii="Times New Roman" w:eastAsia="Times New Roman" w:hAnsi="Times New Roman" w:cs="Arial" w:hint="cs"/>
                <w:lang w:eastAsia="ru-RU"/>
              </w:rPr>
              <w:t>возбуждения</w:t>
            </w:r>
            <w:r w:rsidR="00CD266D" w:rsidRPr="00CD266D">
              <w:rPr>
                <w:rFonts w:ascii="Times New Roman" w:eastAsia="Times New Roman" w:hAnsi="Times New Roman" w:cs="Arial"/>
                <w:lang w:eastAsia="ru-RU"/>
              </w:rPr>
              <w:t xml:space="preserve"> </w:t>
            </w:r>
            <w:r w:rsidR="00CD266D" w:rsidRPr="00CD266D">
              <w:rPr>
                <w:rFonts w:ascii="Times New Roman" w:eastAsia="Times New Roman" w:hAnsi="Times New Roman" w:cs="Arial" w:hint="cs"/>
                <w:lang w:eastAsia="ru-RU"/>
              </w:rPr>
              <w:t>гидрогенераторов</w:t>
            </w:r>
            <w:r w:rsidR="00CD266D" w:rsidRPr="00CD266D">
              <w:rPr>
                <w:rFonts w:ascii="Times New Roman" w:eastAsia="Times New Roman" w:hAnsi="Times New Roman" w:cs="Arial"/>
                <w:lang w:eastAsia="ru-RU"/>
              </w:rPr>
              <w:t xml:space="preserve"> 4</w:t>
            </w:r>
            <w:r w:rsidR="00CD266D" w:rsidRPr="00CD266D">
              <w:rPr>
                <w:rFonts w:ascii="Times New Roman" w:eastAsia="Times New Roman" w:hAnsi="Times New Roman" w:cs="Arial" w:hint="cs"/>
                <w:lang w:eastAsia="ru-RU"/>
              </w:rPr>
              <w:t>Г</w:t>
            </w:r>
            <w:r w:rsidR="00CD266D" w:rsidRPr="00CD266D">
              <w:rPr>
                <w:rFonts w:ascii="Times New Roman" w:eastAsia="Times New Roman" w:hAnsi="Times New Roman" w:cs="Arial"/>
                <w:lang w:eastAsia="ru-RU"/>
              </w:rPr>
              <w:t>, 7</w:t>
            </w:r>
            <w:r w:rsidR="00CD266D" w:rsidRPr="00CD266D">
              <w:rPr>
                <w:rFonts w:ascii="Times New Roman" w:eastAsia="Times New Roman" w:hAnsi="Times New Roman" w:cs="Arial" w:hint="cs"/>
                <w:lang w:eastAsia="ru-RU"/>
              </w:rPr>
              <w:t>Г</w:t>
            </w:r>
            <w:r w:rsidR="00CD266D" w:rsidRPr="00CD266D">
              <w:rPr>
                <w:rFonts w:ascii="Times New Roman" w:eastAsia="Times New Roman" w:hAnsi="Times New Roman" w:cs="Arial"/>
                <w:lang w:eastAsia="ru-RU"/>
              </w:rPr>
              <w:t>, 8</w:t>
            </w:r>
            <w:r w:rsidR="00CD266D" w:rsidRPr="00CD266D">
              <w:rPr>
                <w:rFonts w:ascii="Times New Roman" w:eastAsia="Times New Roman" w:hAnsi="Times New Roman" w:cs="Arial" w:hint="cs"/>
                <w:lang w:eastAsia="ru-RU"/>
              </w:rPr>
              <w:t>Г</w:t>
            </w:r>
            <w:r>
              <w:rPr>
                <w:rFonts w:ascii="Times New Roman" w:eastAsia="Times New Roman" w:hAnsi="Times New Roman" w:cs="Arial"/>
                <w:lang w:eastAsia="ru-RU"/>
              </w:rPr>
              <w:t>;</w:t>
            </w:r>
          </w:p>
          <w:p w:rsidR="00CD266D" w:rsidRDefault="00CD266D" w:rsidP="00CD266D">
            <w:pPr>
              <w:tabs>
                <w:tab w:val="left" w:pos="965"/>
              </w:tabs>
              <w:jc w:val="both"/>
            </w:pPr>
            <w:r>
              <w:t xml:space="preserve">1.2.3. </w:t>
            </w:r>
            <w:r>
              <w:rPr>
                <w:rFonts w:hint="cs"/>
              </w:rPr>
              <w:t>Штатная</w:t>
            </w:r>
            <w:r>
              <w:t xml:space="preserve"> </w:t>
            </w:r>
            <w:r>
              <w:rPr>
                <w:rFonts w:hint="cs"/>
              </w:rPr>
              <w:t>и</w:t>
            </w:r>
            <w:r>
              <w:t xml:space="preserve"> </w:t>
            </w:r>
            <w:r>
              <w:rPr>
                <w:rFonts w:hint="cs"/>
              </w:rPr>
              <w:t>специальная</w:t>
            </w:r>
            <w:r>
              <w:t xml:space="preserve"> </w:t>
            </w:r>
            <w:r>
              <w:rPr>
                <w:rFonts w:hint="cs"/>
              </w:rPr>
              <w:t>проверка</w:t>
            </w:r>
            <w:r>
              <w:t xml:space="preserve"> </w:t>
            </w:r>
            <w:r>
              <w:rPr>
                <w:rFonts w:hint="cs"/>
              </w:rPr>
              <w:t>с</w:t>
            </w:r>
            <w:r>
              <w:t xml:space="preserve"> </w:t>
            </w:r>
            <w:r>
              <w:rPr>
                <w:rFonts w:hint="cs"/>
              </w:rPr>
              <w:t>частотным</w:t>
            </w:r>
            <w:r>
              <w:t xml:space="preserve"> </w:t>
            </w:r>
            <w:r>
              <w:rPr>
                <w:rFonts w:hint="cs"/>
              </w:rPr>
              <w:t>сканирование</w:t>
            </w:r>
            <w:r>
              <w:t xml:space="preserve"> </w:t>
            </w:r>
            <w:r>
              <w:rPr>
                <w:rFonts w:hint="cs"/>
              </w:rPr>
              <w:t>блоков</w:t>
            </w:r>
            <w:r>
              <w:t xml:space="preserve"> </w:t>
            </w:r>
            <w:r>
              <w:rPr>
                <w:rFonts w:hint="cs"/>
              </w:rPr>
              <w:t>АРВ</w:t>
            </w:r>
            <w:r>
              <w:t xml:space="preserve">, </w:t>
            </w:r>
            <w:r>
              <w:rPr>
                <w:rFonts w:hint="cs"/>
              </w:rPr>
              <w:t>а</w:t>
            </w:r>
            <w:r>
              <w:t xml:space="preserve"> </w:t>
            </w:r>
            <w:r>
              <w:rPr>
                <w:rFonts w:hint="cs"/>
              </w:rPr>
              <w:t>также</w:t>
            </w:r>
            <w:r>
              <w:t xml:space="preserve"> </w:t>
            </w:r>
            <w:r>
              <w:rPr>
                <w:rFonts w:hint="cs"/>
              </w:rPr>
              <w:t>с</w:t>
            </w:r>
            <w:r>
              <w:t xml:space="preserve"> </w:t>
            </w:r>
            <w:r>
              <w:rPr>
                <w:rFonts w:hint="cs"/>
              </w:rPr>
              <w:t>использованием</w:t>
            </w:r>
            <w:r>
              <w:t xml:space="preserve"> </w:t>
            </w:r>
            <w:r>
              <w:rPr>
                <w:rFonts w:hint="cs"/>
              </w:rPr>
              <w:t>имитаторов</w:t>
            </w:r>
            <w:r>
              <w:t>:</w:t>
            </w:r>
          </w:p>
          <w:p w:rsidR="00CD266D" w:rsidRDefault="00CD266D" w:rsidP="00CD266D">
            <w:pPr>
              <w:tabs>
                <w:tab w:val="left" w:pos="965"/>
              </w:tabs>
              <w:jc w:val="both"/>
            </w:pPr>
            <w:r>
              <w:rPr>
                <w:rFonts w:hint="cs"/>
              </w:rPr>
              <w:t>Выполнение</w:t>
            </w:r>
            <w:r>
              <w:t xml:space="preserve"> </w:t>
            </w:r>
            <w:r>
              <w:rPr>
                <w:rFonts w:hint="cs"/>
              </w:rPr>
              <w:t>проверки</w:t>
            </w:r>
            <w:r>
              <w:t xml:space="preserve"> </w:t>
            </w:r>
            <w:r>
              <w:rPr>
                <w:rFonts w:hint="cs"/>
              </w:rPr>
              <w:t>блока</w:t>
            </w:r>
            <w:r>
              <w:t xml:space="preserve"> </w:t>
            </w:r>
            <w:r>
              <w:rPr>
                <w:rFonts w:hint="cs"/>
              </w:rPr>
              <w:t>БУ</w:t>
            </w:r>
            <w:r>
              <w:t xml:space="preserve"> </w:t>
            </w:r>
            <w:r>
              <w:rPr>
                <w:rFonts w:hint="cs"/>
              </w:rPr>
              <w:t>на</w:t>
            </w:r>
            <w:r>
              <w:t xml:space="preserve"> </w:t>
            </w:r>
            <w:r>
              <w:rPr>
                <w:rFonts w:hint="cs"/>
              </w:rPr>
              <w:t>соответствие</w:t>
            </w:r>
            <w:r>
              <w:t xml:space="preserve"> </w:t>
            </w:r>
            <w:r>
              <w:rPr>
                <w:rFonts w:hint="cs"/>
              </w:rPr>
              <w:t>заводской</w:t>
            </w:r>
            <w:r>
              <w:t xml:space="preserve"> </w:t>
            </w:r>
            <w:r>
              <w:rPr>
                <w:rFonts w:hint="cs"/>
              </w:rPr>
              <w:t>документации</w:t>
            </w:r>
            <w:r>
              <w:t>;</w:t>
            </w:r>
          </w:p>
          <w:p w:rsidR="00CD266D" w:rsidRDefault="00CD266D" w:rsidP="00CD266D">
            <w:pPr>
              <w:tabs>
                <w:tab w:val="left" w:pos="965"/>
              </w:tabs>
              <w:jc w:val="both"/>
            </w:pPr>
            <w:r>
              <w:rPr>
                <w:rFonts w:hint="cs"/>
              </w:rPr>
              <w:t>Выполнение</w:t>
            </w:r>
            <w:r>
              <w:t xml:space="preserve"> </w:t>
            </w:r>
            <w:r>
              <w:rPr>
                <w:rFonts w:hint="cs"/>
              </w:rPr>
              <w:t>проверки</w:t>
            </w:r>
            <w:r>
              <w:t xml:space="preserve"> </w:t>
            </w:r>
            <w:r>
              <w:rPr>
                <w:rFonts w:hint="cs"/>
              </w:rPr>
              <w:t>блока</w:t>
            </w:r>
            <w:r>
              <w:t xml:space="preserve"> </w:t>
            </w:r>
            <w:r>
              <w:rPr>
                <w:rFonts w:hint="cs"/>
              </w:rPr>
              <w:t>ОМВ</w:t>
            </w:r>
            <w:r>
              <w:t xml:space="preserve"> </w:t>
            </w:r>
            <w:r>
              <w:rPr>
                <w:rFonts w:hint="cs"/>
              </w:rPr>
              <w:t>на</w:t>
            </w:r>
            <w:r>
              <w:t xml:space="preserve"> </w:t>
            </w:r>
            <w:r>
              <w:rPr>
                <w:rFonts w:hint="cs"/>
              </w:rPr>
              <w:t>соответствие</w:t>
            </w:r>
            <w:r>
              <w:t xml:space="preserve"> </w:t>
            </w:r>
            <w:r>
              <w:rPr>
                <w:rFonts w:hint="cs"/>
              </w:rPr>
              <w:t>заводской</w:t>
            </w:r>
            <w:r>
              <w:t xml:space="preserve"> </w:t>
            </w:r>
            <w:r>
              <w:rPr>
                <w:rFonts w:hint="cs"/>
              </w:rPr>
              <w:t>документации</w:t>
            </w:r>
            <w:r>
              <w:t>;</w:t>
            </w:r>
          </w:p>
          <w:p w:rsidR="00CD266D" w:rsidRDefault="00CD266D" w:rsidP="00CD266D">
            <w:pPr>
              <w:tabs>
                <w:tab w:val="left" w:pos="965"/>
              </w:tabs>
              <w:jc w:val="both"/>
            </w:pPr>
            <w:r>
              <w:rPr>
                <w:rFonts w:hint="cs"/>
              </w:rPr>
              <w:t>Выполнение</w:t>
            </w:r>
            <w:r>
              <w:t xml:space="preserve"> </w:t>
            </w:r>
            <w:r>
              <w:rPr>
                <w:rFonts w:hint="cs"/>
              </w:rPr>
              <w:t>проверки</w:t>
            </w:r>
            <w:r>
              <w:t xml:space="preserve"> </w:t>
            </w:r>
            <w:r>
              <w:rPr>
                <w:rFonts w:hint="cs"/>
              </w:rPr>
              <w:t>блока</w:t>
            </w:r>
            <w:r>
              <w:t xml:space="preserve"> </w:t>
            </w:r>
            <w:r>
              <w:rPr>
                <w:rFonts w:hint="cs"/>
              </w:rPr>
              <w:t>БН</w:t>
            </w:r>
            <w:r>
              <w:t xml:space="preserve"> </w:t>
            </w:r>
            <w:r>
              <w:rPr>
                <w:rFonts w:hint="cs"/>
              </w:rPr>
              <w:t>на</w:t>
            </w:r>
            <w:r>
              <w:t xml:space="preserve"> </w:t>
            </w:r>
            <w:r>
              <w:rPr>
                <w:rFonts w:hint="cs"/>
              </w:rPr>
              <w:t>соответствие</w:t>
            </w:r>
            <w:r>
              <w:t xml:space="preserve"> </w:t>
            </w:r>
            <w:r>
              <w:rPr>
                <w:rFonts w:hint="cs"/>
              </w:rPr>
              <w:t>заводской</w:t>
            </w:r>
            <w:r>
              <w:t xml:space="preserve"> </w:t>
            </w:r>
            <w:r>
              <w:rPr>
                <w:rFonts w:hint="cs"/>
              </w:rPr>
              <w:t>документации</w:t>
            </w:r>
            <w:r>
              <w:t>;</w:t>
            </w:r>
          </w:p>
          <w:p w:rsidR="00CD266D" w:rsidRDefault="00CD266D" w:rsidP="00CD266D">
            <w:pPr>
              <w:tabs>
                <w:tab w:val="left" w:pos="965"/>
              </w:tabs>
              <w:jc w:val="both"/>
            </w:pPr>
            <w:r>
              <w:rPr>
                <w:rFonts w:hint="cs"/>
              </w:rPr>
              <w:t>Выполнение</w:t>
            </w:r>
            <w:r>
              <w:t xml:space="preserve"> </w:t>
            </w:r>
            <w:r>
              <w:rPr>
                <w:rFonts w:hint="cs"/>
              </w:rPr>
              <w:t>проверки</w:t>
            </w:r>
            <w:r>
              <w:t xml:space="preserve"> </w:t>
            </w:r>
            <w:r>
              <w:rPr>
                <w:rFonts w:hint="cs"/>
              </w:rPr>
              <w:t>блока</w:t>
            </w:r>
            <w:r>
              <w:t xml:space="preserve"> </w:t>
            </w:r>
            <w:r>
              <w:rPr>
                <w:rFonts w:hint="cs"/>
              </w:rPr>
              <w:t>БЧЗ</w:t>
            </w:r>
            <w:r>
              <w:t xml:space="preserve"> </w:t>
            </w:r>
            <w:r>
              <w:rPr>
                <w:rFonts w:hint="cs"/>
              </w:rPr>
              <w:t>на</w:t>
            </w:r>
            <w:r>
              <w:t xml:space="preserve"> </w:t>
            </w:r>
            <w:r>
              <w:rPr>
                <w:rFonts w:hint="cs"/>
              </w:rPr>
              <w:t>соответствие</w:t>
            </w:r>
            <w:r>
              <w:t xml:space="preserve"> </w:t>
            </w:r>
            <w:r>
              <w:rPr>
                <w:rFonts w:hint="cs"/>
              </w:rPr>
              <w:t>заводской</w:t>
            </w:r>
            <w:r>
              <w:t xml:space="preserve"> </w:t>
            </w:r>
            <w:r>
              <w:rPr>
                <w:rFonts w:hint="cs"/>
              </w:rPr>
              <w:t>документации</w:t>
            </w:r>
            <w:r>
              <w:t>;</w:t>
            </w:r>
          </w:p>
          <w:p w:rsidR="00944E23" w:rsidRDefault="005923C1">
            <w:pPr>
              <w:tabs>
                <w:tab w:val="left" w:pos="488"/>
              </w:tabs>
              <w:jc w:val="both"/>
            </w:pPr>
            <w:r>
              <w:rPr>
                <w:rFonts w:ascii="Times New Roman" w:eastAsia="Times New Roman" w:hAnsi="Times New Roman" w:cs="Arial"/>
                <w:lang w:eastAsia="ru-RU"/>
              </w:rPr>
              <w:t>1.3. Проведение испытаний АРВ 4Г, 7Г и 8Г в режимах холостого хода и под нагрузкой.</w:t>
            </w:r>
          </w:p>
          <w:p w:rsidR="00944E23" w:rsidRDefault="005923C1">
            <w:pPr>
              <w:tabs>
                <w:tab w:val="left" w:pos="488"/>
              </w:tabs>
              <w:jc w:val="both"/>
            </w:pPr>
            <w:r>
              <w:rPr>
                <w:rFonts w:ascii="Times New Roman" w:eastAsia="Times New Roman" w:hAnsi="Times New Roman" w:cs="Arial"/>
                <w:lang w:eastAsia="ru-RU"/>
              </w:rPr>
              <w:t>1.4. Составление отчётной документации с выдачей (при необходимости) рекомендаций по повышению надёжности дальнейшей эксплуатации гидрогенератора (в том числе по необходимости/целесообразности новых вариантов настройки, алгоритмов и схем модернизации)</w:t>
            </w:r>
            <w:r>
              <w:t>.</w:t>
            </w:r>
          </w:p>
        </w:tc>
      </w:tr>
    </w:tbl>
    <w:p w:rsidR="00944E23" w:rsidRDefault="00583A65" w:rsidP="00583A65">
      <w:pPr>
        <w:keepNext/>
        <w:keepLines/>
        <w:widowControl/>
        <w:suppressAutoHyphens w:val="0"/>
        <w:spacing w:before="40" w:after="160" w:line="252" w:lineRule="auto"/>
        <w:textAlignment w:val="auto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2.1.2. </w:t>
      </w:r>
      <w:r w:rsidR="005923C1">
        <w:rPr>
          <w:rFonts w:ascii="Times New Roman" w:eastAsia="Times New Roman" w:hAnsi="Times New Roman" w:cs="Times New Roman"/>
          <w:b/>
          <w:color w:val="000000"/>
          <w:lang w:eastAsia="ru-RU"/>
        </w:rPr>
        <w:t>Требования к срокам оказания услуг</w:t>
      </w:r>
    </w:p>
    <w:p w:rsidR="00944E23" w:rsidRDefault="005923C1">
      <w:pPr>
        <w:keepNext/>
        <w:keepLines/>
        <w:widowControl/>
        <w:numPr>
          <w:ilvl w:val="1"/>
          <w:numId w:val="1"/>
        </w:numPr>
        <w:spacing w:before="40" w:after="160" w:line="252" w:lineRule="auto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Таблица 4. </w:t>
      </w:r>
      <w:bookmarkStart w:id="0" w:name="_Hlk50465284"/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Требования по срокам </w:t>
      </w:r>
      <w:bookmarkEnd w:id="0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оказания услуг</w:t>
      </w:r>
    </w:p>
    <w:tbl>
      <w:tblPr>
        <w:tblW w:w="10270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818"/>
        <w:gridCol w:w="4678"/>
        <w:gridCol w:w="2394"/>
        <w:gridCol w:w="2380"/>
      </w:tblGrid>
      <w:tr w:rsidR="00944E23">
        <w:trPr>
          <w:trHeight w:val="992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23" w:rsidRDefault="005923C1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23" w:rsidRDefault="005923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услуг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23" w:rsidRDefault="005923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Требования к началу срока оказания услуг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23" w:rsidRDefault="005923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Требования к окончанию срока оказания услуг</w:t>
            </w:r>
          </w:p>
        </w:tc>
      </w:tr>
      <w:tr w:rsidR="00944E23">
        <w:trPr>
          <w:trHeight w:val="13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23" w:rsidRDefault="005923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23" w:rsidRDefault="005923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23" w:rsidRDefault="005923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23" w:rsidRDefault="005923C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</w:t>
            </w:r>
          </w:p>
        </w:tc>
      </w:tr>
      <w:tr w:rsidR="00944E23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E23" w:rsidRDefault="005923C1">
            <w:pPr>
              <w:ind w:firstLine="283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1.       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23" w:rsidRDefault="005923C1" w:rsidP="00583A65">
            <w:pPr>
              <w:tabs>
                <w:tab w:val="left" w:pos="488"/>
              </w:tabs>
            </w:pPr>
            <w:r>
              <w:rPr>
                <w:rFonts w:ascii="Times New Roman" w:eastAsia="Times New Roman" w:hAnsi="Times New Roman" w:cs="Arial"/>
                <w:lang w:eastAsia="ru-RU"/>
              </w:rPr>
              <w:t xml:space="preserve">ОКПД2 </w:t>
            </w:r>
            <w:r w:rsidR="00583A65">
              <w:rPr>
                <w:rFonts w:cs="Arial"/>
                <w:lang w:eastAsia="ru-RU"/>
              </w:rPr>
              <w:t>33.12.12.000</w:t>
            </w:r>
            <w:r w:rsidR="00ED571C" w:rsidRPr="005923C1">
              <w:rPr>
                <w:rFonts w:cs="Arial"/>
                <w:b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Arial"/>
                <w:lang w:eastAsia="ru-RU"/>
              </w:rPr>
              <w:t xml:space="preserve">Техническое обслуживание автоматических регуляторов возбуждения гидрогенераторов для нужд </w:t>
            </w:r>
            <w:r>
              <w:rPr>
                <w:rFonts w:ascii="Times New Roman" w:eastAsia="Times New Roman" w:hAnsi="Times New Roman" w:cs="Arial"/>
                <w:lang w:eastAsia="ru-RU"/>
              </w:rPr>
              <w:lastRenderedPageBreak/>
              <w:t>Каскада Вилюйских ГЭС им. Е.Н. Батенчука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23" w:rsidRDefault="005923C1">
            <w:pPr>
              <w:jc w:val="center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 момента подписания договора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23" w:rsidRDefault="005923C1" w:rsidP="007A051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30.</w:t>
            </w:r>
            <w:r w:rsidR="007A051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.202</w:t>
            </w:r>
            <w:r w:rsidR="007A051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bookmarkStart w:id="1" w:name="_GoBack"/>
            <w:bookmarkEnd w:id="1"/>
          </w:p>
        </w:tc>
      </w:tr>
    </w:tbl>
    <w:p w:rsidR="00944E23" w:rsidRDefault="00583A65" w:rsidP="00583A65">
      <w:pPr>
        <w:keepNext/>
        <w:keepLines/>
        <w:widowControl/>
        <w:suppressAutoHyphens w:val="0"/>
        <w:spacing w:before="40" w:after="160" w:line="252" w:lineRule="auto"/>
        <w:textAlignment w:val="auto"/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2.1.3. </w:t>
      </w:r>
      <w:r w:rsidR="005923C1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Требования к качеству </w:t>
      </w:r>
      <w:r w:rsidR="005923C1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услуг</w:t>
      </w:r>
    </w:p>
    <w:p w:rsidR="00944E23" w:rsidRDefault="005923C1">
      <w:pPr>
        <w:keepNext/>
        <w:keepLines/>
        <w:widowControl/>
        <w:numPr>
          <w:ilvl w:val="1"/>
          <w:numId w:val="1"/>
        </w:numPr>
        <w:spacing w:before="40" w:after="160" w:line="252" w:lineRule="auto"/>
        <w:outlineLvl w:val="1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Таблица 5. Требования к качеству услуг</w:t>
      </w:r>
    </w:p>
    <w:tbl>
      <w:tblPr>
        <w:tblW w:w="10065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822"/>
        <w:gridCol w:w="2545"/>
        <w:gridCol w:w="6698"/>
      </w:tblGrid>
      <w:tr w:rsidR="00944E23">
        <w:trPr>
          <w:trHeight w:val="276"/>
        </w:trPr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E23" w:rsidRDefault="005923C1">
            <w:r>
              <w:rPr>
                <w:rFonts w:ascii="Times New Roman" w:hAnsi="Times New Roman" w:cs="Times New Roman"/>
                <w:b/>
                <w:bCs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2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E23" w:rsidRDefault="005923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Наименование параметра</w:t>
            </w:r>
          </w:p>
        </w:tc>
        <w:tc>
          <w:tcPr>
            <w:tcW w:w="6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E23" w:rsidRDefault="005923C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Требование заказчика</w:t>
            </w:r>
          </w:p>
        </w:tc>
      </w:tr>
      <w:tr w:rsidR="00944E23">
        <w:trPr>
          <w:trHeight w:val="276"/>
        </w:trPr>
        <w:tc>
          <w:tcPr>
            <w:tcW w:w="8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E23" w:rsidRDefault="00944E23"/>
        </w:tc>
        <w:tc>
          <w:tcPr>
            <w:tcW w:w="2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E23" w:rsidRDefault="00944E23"/>
        </w:tc>
        <w:tc>
          <w:tcPr>
            <w:tcW w:w="6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E23" w:rsidRDefault="00944E23"/>
        </w:tc>
      </w:tr>
      <w:tr w:rsidR="00944E2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E23" w:rsidRDefault="005923C1">
            <w:pPr>
              <w:spacing w:before="60" w:after="6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E23" w:rsidRDefault="005923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E23" w:rsidRDefault="005923C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944E2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E23" w:rsidRDefault="00944E23">
            <w:pPr>
              <w:numPr>
                <w:ilvl w:val="0"/>
                <w:numId w:val="3"/>
              </w:numPr>
              <w:suppressAutoHyphens w:val="0"/>
              <w:snapToGrid w:val="0"/>
              <w:spacing w:before="60" w:after="60" w:line="252" w:lineRule="auto"/>
              <w:jc w:val="center"/>
              <w:textAlignment w:val="auto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E23" w:rsidRDefault="005923C1">
            <w:r>
              <w:rPr>
                <w:rFonts w:ascii="Times New Roman" w:hAnsi="Times New Roman" w:cs="Times New Roman"/>
                <w:b/>
              </w:rPr>
              <w:t xml:space="preserve">Требования к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оказанию услуг</w:t>
            </w:r>
          </w:p>
        </w:tc>
      </w:tr>
      <w:tr w:rsidR="00944E2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E23" w:rsidRDefault="00944E23">
            <w:pPr>
              <w:numPr>
                <w:ilvl w:val="1"/>
                <w:numId w:val="3"/>
              </w:numPr>
              <w:suppressAutoHyphens w:val="0"/>
              <w:snapToGrid w:val="0"/>
              <w:spacing w:before="60" w:after="60" w:line="252" w:lineRule="auto"/>
              <w:ind w:left="-117" w:firstLine="142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lang w:val="en-GB" w:eastAsia="ru-RU"/>
              </w:rPr>
            </w:pPr>
          </w:p>
        </w:tc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E23" w:rsidRDefault="005923C1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Общие требования к оказанию услуг</w:t>
            </w:r>
          </w:p>
        </w:tc>
      </w:tr>
      <w:tr w:rsidR="00944E2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E23" w:rsidRDefault="00944E23">
            <w:pPr>
              <w:numPr>
                <w:ilvl w:val="2"/>
                <w:numId w:val="3"/>
              </w:numPr>
              <w:suppressAutoHyphens w:val="0"/>
              <w:snapToGrid w:val="0"/>
              <w:spacing w:before="60" w:after="60" w:line="252" w:lineRule="auto"/>
              <w:ind w:left="0" w:hanging="1199"/>
              <w:jc w:val="center"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23" w:rsidRDefault="005923C1">
            <w:pPr>
              <w:tabs>
                <w:tab w:val="left" w:pos="426"/>
              </w:tabs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при оказании услуг норм и правил нормативно-технических документов</w:t>
            </w:r>
          </w:p>
          <w:p w:rsidR="00944E23" w:rsidRDefault="00944E23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E23" w:rsidRDefault="005923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 оказании услуг Исполнитель обязан руководствоваться следующими нормативными документами:</w:t>
            </w:r>
          </w:p>
          <w:p w:rsidR="00944E23" w:rsidRDefault="005923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 Правилами по охране труда при эксплуатации электроустановок (Утвержденные Приказом Минтруда России № 903н от 15.12.2020 г.).</w:t>
            </w:r>
          </w:p>
          <w:p w:rsidR="00944E23" w:rsidRDefault="005923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   Правилами технической эксплуатации (ПТЭ);</w:t>
            </w:r>
          </w:p>
          <w:p w:rsidR="00944E23" w:rsidRDefault="005923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   Правилами устройства электроустановок (ПУЭ), действующей редакцией;</w:t>
            </w:r>
          </w:p>
          <w:p w:rsidR="00944E23" w:rsidRDefault="005923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   Заводскими инструкциями материалов и оборудования;</w:t>
            </w:r>
          </w:p>
          <w:p w:rsidR="00944E23" w:rsidRDefault="005923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Правилами внутреннего трудового распорядка ПАО «Якутскэнерго» (Приказ № 1515 от 27.08.2019 г.)</w:t>
            </w:r>
          </w:p>
          <w:p w:rsidR="00944E23" w:rsidRDefault="005923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 Приказом Министерства энергетики РФ от 13 июля 2020 г. № 555 «Об утверждении Правил технического обслуживания устройств и комплексов релейной защиты и автоматики».  </w:t>
            </w:r>
          </w:p>
          <w:p w:rsidR="00944E23" w:rsidRDefault="005923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Исполнитель должен соблюдать требования:</w:t>
            </w:r>
          </w:p>
          <w:p w:rsidR="00944E23" w:rsidRDefault="005923C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 Регламента РГ-00-032.05-22 ПАО «Якутскэнерго» «Допуск подрядных организаций и командированного персонала для выполнения работ на объектах ПАО "Якутскэнерго";</w:t>
            </w:r>
          </w:p>
          <w:p w:rsidR="00944E23" w:rsidRDefault="005923C1">
            <w:pPr>
              <w:jc w:val="both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Стандарта ПАО «Якутскэнерго» «Положение по обращению с отходами», размещенных на сайте компании по адресу   </w:t>
            </w:r>
            <w:hyperlink r:id="rId5" w:tgtFrame="_top">
              <w:r>
                <w:rPr>
                  <w:rStyle w:val="a4"/>
                  <w:rFonts w:ascii="Times New Roman" w:eastAsia="Times New Roman" w:hAnsi="Times New Roman" w:cs="Times New Roman"/>
                  <w:color w:val="0563C1"/>
                  <w:lang w:eastAsia="ru-RU"/>
                </w:rPr>
                <w:t>http://www.yakutskenergo.ru/procurement/information-for-partners</w:t>
              </w:r>
            </w:hyperlink>
          </w:p>
        </w:tc>
      </w:tr>
      <w:tr w:rsidR="00944E23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E23" w:rsidRDefault="00944E23">
            <w:pPr>
              <w:numPr>
                <w:ilvl w:val="1"/>
                <w:numId w:val="3"/>
              </w:numPr>
              <w:suppressAutoHyphens w:val="0"/>
              <w:snapToGrid w:val="0"/>
              <w:spacing w:before="60" w:after="60" w:line="252" w:lineRule="auto"/>
              <w:ind w:left="-117" w:firstLine="142"/>
              <w:jc w:val="center"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E23" w:rsidRDefault="005923C1">
            <w:pPr>
              <w:spacing w:before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Требования к организации оказания услуг</w:t>
            </w:r>
          </w:p>
        </w:tc>
      </w:tr>
      <w:tr w:rsidR="007A2411">
        <w:trPr>
          <w:trHeight w:val="85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numPr>
                <w:ilvl w:val="2"/>
                <w:numId w:val="3"/>
              </w:numPr>
              <w:suppressAutoHyphens w:val="0"/>
              <w:snapToGrid w:val="0"/>
              <w:spacing w:before="60" w:after="60" w:line="252" w:lineRule="auto"/>
              <w:ind w:left="0" w:hanging="1199"/>
              <w:jc w:val="center"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tabs>
                <w:tab w:val="left" w:pos="426"/>
              </w:tabs>
              <w:spacing w:before="60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Организационно-технические мероприятия по допуску персонала Исполнителя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spacing w:line="276" w:lineRule="auto"/>
              <w:jc w:val="both"/>
            </w:pPr>
            <w:r>
              <w:rPr>
                <w:rFonts w:ascii="Times New Roman" w:hAnsi="Times New Roman" w:cs="Times New Roman"/>
              </w:rPr>
              <w:t>- Допуск к работам на действующем предприятии осуществляется после оформления заказчиком акта-допуска. Персонал Исполнителя должен пройти инструктаж по правилам и мерам безопасности производства работ, должен быть обучен и аттестован по охране труда, пожарной безопасности;</w:t>
            </w:r>
          </w:p>
          <w:p w:rsidR="007A2411" w:rsidRDefault="007A2411" w:rsidP="007A24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Контроль и ответственность за соблюдением правил охраны труда персоналом Исполнителя, при оказании услуг возлагается на Исполнителя;</w:t>
            </w:r>
          </w:p>
          <w:p w:rsidR="007A2411" w:rsidRDefault="007A2411" w:rsidP="007A24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Строительный мусор является собственностью Исполнителя. Исполнитель должен в течение 3-х дней после окончания оказания услуг вывезти строительный мусор с территорий объектов ремонта Заказчика.</w:t>
            </w:r>
          </w:p>
          <w:p w:rsidR="007A2411" w:rsidRDefault="007A2411" w:rsidP="007A24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Приёмка оказанных услуг проводится комиссией, назначаемой Заказчиком с участием представителей Исполнителя.</w:t>
            </w:r>
          </w:p>
          <w:p w:rsidR="007A2411" w:rsidRDefault="007A2411" w:rsidP="007A2411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 Организация оказания услуг, должна обеспечивать безопасность труда работающих на всех этапах оказания услуг. Рабочие места должны быть ограждены, а в вечернее время при необходимости должны быть освещены по установленным нормам.</w:t>
            </w:r>
          </w:p>
        </w:tc>
      </w:tr>
      <w:tr w:rsidR="007A2411">
        <w:trPr>
          <w:trHeight w:val="985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numPr>
                <w:ilvl w:val="2"/>
                <w:numId w:val="3"/>
              </w:numPr>
              <w:suppressAutoHyphens w:val="0"/>
              <w:snapToGrid w:val="0"/>
              <w:spacing w:before="60" w:after="60" w:line="252" w:lineRule="auto"/>
              <w:ind w:left="0" w:hanging="1199"/>
              <w:jc w:val="center"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tabs>
                <w:tab w:val="left" w:pos="426"/>
              </w:tabs>
              <w:spacing w:before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Экологические требования по охране окружающей среды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Исполнитель обязан соблюдать требования защиты окружающей среды, сохранения её устойчивого равновесия и не нарушать условия землепользования, установленные законодательством об охране природы, требования Регламента ПАО «Якутскэнерго» «Допуск подрядных организаций и командированного персонала для выполнения работ на объектах ПАО «Якутскэнерго», Стандарта ПАО «Якутскэнерго» «Положение по обращению с отходами», размещённых на сайте компании по адресам:</w:t>
            </w:r>
          </w:p>
          <w:p w:rsidR="007A2411" w:rsidRDefault="007A2411" w:rsidP="007A2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https://yakutskenergo.ru/opening_information/files/Регламент.pdf</w:t>
            </w:r>
          </w:p>
          <w:p w:rsidR="007A2411" w:rsidRDefault="007A2411" w:rsidP="007A2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https://yakutskenergo.ru/procurement/files/1999ffile.pdf</w:t>
            </w:r>
          </w:p>
          <w:p w:rsidR="007A2411" w:rsidRDefault="007A2411" w:rsidP="007A2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Мероприятия и работы по охране окружающей среды вести в соответствии с требованиями СП 48.13330.2019 и СП 45.13330.2017.    </w:t>
            </w:r>
          </w:p>
          <w:p w:rsidR="007A2411" w:rsidRDefault="007A2411" w:rsidP="007A2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Отходы производства и потребления, образованные в ходе оказания услуг, являются собственностью Исполнителя. Исполнитель обязуется за свой счет обеспечить сбор и вывоз в установленном порядке бытовых и производственных отходов, образовавшихся в результате проведения работ, произвести передачу отходов в специализированные организации по обращению с отходами. Копию договора со специализированной организацией по обращению с отходами, а также копии актов передачи отходов предоставить в ПТО КВГЭС ПАО «Якутскэнерго».</w:t>
            </w:r>
          </w:p>
          <w:p w:rsidR="007A2411" w:rsidRDefault="007A2411" w:rsidP="007A2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Исполнитель обязуется обеспечить в месте оказания услуг порядок и чистоту, накапливать отходы образованные в ходе выполнения работ в предназначенных для этого и указанных Заказчиком местах, не допуская переполнения мест / емкостей накопления отходов.  </w:t>
            </w:r>
          </w:p>
        </w:tc>
      </w:tr>
      <w:tr w:rsidR="007A241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numPr>
                <w:ilvl w:val="1"/>
                <w:numId w:val="3"/>
              </w:numPr>
              <w:suppressAutoHyphens w:val="0"/>
              <w:snapToGrid w:val="0"/>
              <w:spacing w:before="60" w:after="60" w:line="252" w:lineRule="auto"/>
              <w:ind w:left="-117" w:firstLine="142"/>
              <w:jc w:val="center"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spacing w:before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Требования к применяемым при оказании услуг оборудованию и материалам</w:t>
            </w:r>
          </w:p>
        </w:tc>
      </w:tr>
      <w:tr w:rsidR="007A241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numPr>
                <w:ilvl w:val="2"/>
                <w:numId w:val="3"/>
              </w:numPr>
              <w:suppressAutoHyphens w:val="0"/>
              <w:snapToGrid w:val="0"/>
              <w:spacing w:before="60" w:after="60" w:line="252" w:lineRule="auto"/>
              <w:ind w:left="0" w:hanging="1199"/>
              <w:jc w:val="center"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tabs>
                <w:tab w:val="left" w:pos="426"/>
              </w:tabs>
              <w:spacing w:before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Требования к используемым материалам оборудованиям и устройствам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Исполнитель обязан использовать на объекте сопутствующие материалы, имеющие соответствующие сертификаты (в случае, если указанные материалы и конструкции подлежат обязательной сертификации в соответствии с постановлением Правительства РФ от 23.12.2021 г. № 2425 и иными нормативными правовыми актами), паспорта качества и другие документы, удостоверяющие их качество, а также соответствовать техническим условиям и прошедшие входной контроль. Копии документов, подтверждающих качество, должны представляться Заказчику до начала производства работ, выполняемых с использованием этих материалов и конструкций.</w:t>
            </w:r>
          </w:p>
          <w:p w:rsidR="007A2411" w:rsidRDefault="007A2411" w:rsidP="007A241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Применение эквивалентных материалов допустимо только при согласовании с Заказчиком и проведении в случае необходимости лабораторных исследований по данным материалам, которые проводятся за счет Исполнителя, без увеличения сметной стоимости.</w:t>
            </w:r>
          </w:p>
          <w:p w:rsidR="007A2411" w:rsidRDefault="007A2411" w:rsidP="007A241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Предложения по применению материалов, оборудования конструкций и комплектующих эквивалентов могут быть предоставлены Исполнителем в адрес Заказчика, в течении 5 рабочих дней с даты выдачи рабочей документации.</w:t>
            </w:r>
          </w:p>
          <w:p w:rsidR="007A2411" w:rsidRDefault="007A2411" w:rsidP="007A241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случае, если применение Исполнителем эквивалентных материалов будет согласовано и потребует внесения изменений в проектную/рабочую документацию, такие изменения также производятся за счет Исполнителя»</w:t>
            </w:r>
          </w:p>
        </w:tc>
      </w:tr>
      <w:tr w:rsidR="007A241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numPr>
                <w:ilvl w:val="1"/>
                <w:numId w:val="3"/>
              </w:numPr>
              <w:suppressAutoHyphens w:val="0"/>
              <w:snapToGrid w:val="0"/>
              <w:spacing w:before="60" w:after="60" w:line="252" w:lineRule="auto"/>
              <w:ind w:left="-117" w:firstLine="142"/>
              <w:jc w:val="center"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tabs>
                <w:tab w:val="left" w:pos="426"/>
              </w:tabs>
              <w:spacing w:before="6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Требования к контролю качества услуг и материалов</w:t>
            </w:r>
          </w:p>
        </w:tc>
      </w:tr>
      <w:tr w:rsidR="007A241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numPr>
                <w:ilvl w:val="2"/>
                <w:numId w:val="3"/>
              </w:numPr>
              <w:suppressAutoHyphens w:val="0"/>
              <w:snapToGrid w:val="0"/>
              <w:spacing w:before="60" w:after="60" w:line="252" w:lineRule="auto"/>
              <w:ind w:left="0" w:hanging="1199"/>
              <w:jc w:val="center"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tabs>
                <w:tab w:val="left" w:pos="426"/>
              </w:tabs>
              <w:snapToGrid w:val="0"/>
              <w:spacing w:before="60"/>
              <w:rPr>
                <w:rFonts w:ascii="Times New Roman" w:hAnsi="Times New Roman" w:cs="Times New Roman"/>
              </w:rPr>
            </w:pP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Услуги оказываются под контролем персонала филиала ПАО «Якутскэнерго» КВГЭС (СЭУТП, ПТО), которые осуществляют оперативный контроль качества предоставляемых услуг, контролируют на соответствие требованиям НТД, проверяют соблюдение технологической дисциплины.</w:t>
            </w:r>
          </w:p>
        </w:tc>
      </w:tr>
      <w:tr w:rsidR="007A241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numPr>
                <w:ilvl w:val="1"/>
                <w:numId w:val="3"/>
              </w:numPr>
              <w:suppressAutoHyphens w:val="0"/>
              <w:snapToGrid w:val="0"/>
              <w:spacing w:before="60" w:after="60" w:line="252" w:lineRule="auto"/>
              <w:ind w:left="-117" w:firstLine="142"/>
              <w:jc w:val="center"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Требования к персоналу исполнителя</w:t>
            </w:r>
          </w:p>
        </w:tc>
      </w:tr>
      <w:tr w:rsidR="007A241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numPr>
                <w:ilvl w:val="2"/>
                <w:numId w:val="3"/>
              </w:numPr>
              <w:suppressAutoHyphens w:val="0"/>
              <w:snapToGrid w:val="0"/>
              <w:spacing w:before="60" w:after="60" w:line="252" w:lineRule="auto"/>
              <w:ind w:left="0" w:hanging="1199"/>
              <w:jc w:val="center"/>
              <w:textAlignment w:val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tabs>
                <w:tab w:val="left" w:pos="426"/>
              </w:tabs>
              <w:spacing w:before="60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Требование к квалификации </w:t>
            </w:r>
            <w:r>
              <w:rPr>
                <w:rFonts w:ascii="Times New Roman" w:eastAsia="Times New Roman" w:hAnsi="Times New Roman" w:cs="Times New Roman"/>
                <w:iCs/>
                <w:lang w:eastAsia="ru-RU"/>
              </w:rPr>
              <w:t>персонала Исполнителя, привлекаемого к оказанию услуг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Исполнитель должен иметь минимально необходимое для выполнения работ количество квалифицированного персонала (оформленного в соответствии с Гражданским Кодексом Российской Федерации или привлекаемого по трудовым либо гражданско-правовым договорам, либо планируемого к привлечению).</w:t>
            </w:r>
          </w:p>
          <w:p w:rsidR="007A2411" w:rsidRDefault="007A2411" w:rsidP="007A2411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Соответствие требованию подтверждается путем представления Исполнителем документов, подтверждающих наличие и квалификацию персонала (заверенные копии квалификационных удостоверений (протоколов) по проверке знаний правил работы в электроустановках, в соответствии с Приложениями № 1,4  Правил по охране труда при эксплуатации электроустановок (Утвержденные Приказом Минтруда России № 903н от 15.12.2020г.)., п.1.4.1 Правил технической эксплуатации электроустановок и потребителей», Правил по охране труда при работе на высоте (Приказ Минтруда России № 782н от 16.11.2020г.), п.151 «Правил безопасности опасных производственных объектов, на которых используются подъемные сооружения», утв. Приказом Федеральной службы по экологическому, технологическому и атомному надзору от 26 ноября 2020 г. № 461.</w:t>
            </w:r>
          </w:p>
        </w:tc>
      </w:tr>
      <w:tr w:rsidR="007A241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numPr>
                <w:ilvl w:val="1"/>
                <w:numId w:val="3"/>
              </w:numPr>
              <w:suppressAutoHyphens w:val="0"/>
              <w:snapToGrid w:val="0"/>
              <w:spacing w:before="60" w:after="60" w:line="252" w:lineRule="auto"/>
              <w:ind w:left="-117" w:firstLine="142"/>
              <w:jc w:val="center"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spacing w:before="6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Требования к безопасности использования результата оказания услуг</w:t>
            </w:r>
          </w:p>
        </w:tc>
      </w:tr>
      <w:tr w:rsidR="007A241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numPr>
                <w:ilvl w:val="2"/>
                <w:numId w:val="3"/>
              </w:numPr>
              <w:suppressAutoHyphens w:val="0"/>
              <w:snapToGrid w:val="0"/>
              <w:spacing w:before="60" w:after="60" w:line="252" w:lineRule="auto"/>
              <w:ind w:left="0" w:hanging="1199"/>
              <w:jc w:val="center"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tabs>
                <w:tab w:val="left" w:pos="426"/>
              </w:tabs>
              <w:snapToGrid w:val="0"/>
              <w:spacing w:before="60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оказания услуг должна проводится в соответствии с требованиями:  </w:t>
            </w:r>
          </w:p>
          <w:p w:rsidR="007A2411" w:rsidRDefault="007A2411" w:rsidP="007A2411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>
              <w:rPr>
                <w:rFonts w:ascii="Times New Roman" w:hAnsi="Times New Roman" w:cs="Times New Roman"/>
              </w:rPr>
              <w:tab/>
              <w:t>СО 153-34.03.305-2003 «Инструкция о мерах пожарной безопасности при проведении огневых работ на энергетических предприятиях»</w:t>
            </w:r>
          </w:p>
          <w:p w:rsidR="007A2411" w:rsidRDefault="007A2411" w:rsidP="007A2411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>
              <w:rPr>
                <w:rFonts w:ascii="Times New Roman" w:hAnsi="Times New Roman" w:cs="Times New Roman"/>
              </w:rPr>
              <w:tab/>
              <w:t>Инструкцией РИ ПБ 00-016.01-16 «О мерах пожарной безопасности при проведении огневых работ»;</w:t>
            </w:r>
          </w:p>
          <w:p w:rsidR="007A2411" w:rsidRDefault="007A2411" w:rsidP="007A2411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>
              <w:rPr>
                <w:rFonts w:ascii="Times New Roman" w:hAnsi="Times New Roman" w:cs="Times New Roman"/>
              </w:rPr>
              <w:tab/>
              <w:t>Приказом Министерства труда и социальной защиты РФ от 16 ноября 2020 г. N 782н об утверждении Правил по охране труда при работе на высоте";</w:t>
            </w:r>
          </w:p>
          <w:p w:rsidR="007A2411" w:rsidRDefault="007A2411" w:rsidP="007A2411">
            <w:pPr>
              <w:numPr>
                <w:ilvl w:val="0"/>
                <w:numId w:val="2"/>
              </w:numPr>
              <w:suppressAutoHyphens w:val="0"/>
              <w:spacing w:after="60"/>
              <w:ind w:left="0" w:firstLine="34"/>
              <w:jc w:val="both"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Правилами технического обслуживания устройств и комплексов релейной защиты и автоматики. Приказ Минэнерго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России от 13.07.2020г № 555;</w:t>
            </w:r>
          </w:p>
          <w:p w:rsidR="007A2411" w:rsidRDefault="007A2411" w:rsidP="007A2411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•</w:t>
            </w:r>
            <w:r>
              <w:rPr>
                <w:rFonts w:ascii="Times New Roman" w:hAnsi="Times New Roman" w:cs="Times New Roman"/>
              </w:rPr>
              <w:tab/>
              <w:t>Иными нормативными документами по соответствующему характеру работ.</w:t>
            </w:r>
          </w:p>
          <w:p w:rsidR="007A2411" w:rsidRDefault="007A2411" w:rsidP="007A2411">
            <w:pPr>
              <w:spacing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и ответственность за соблюдение правил техники безопасности персоналом Исполнителя, при оказании услуг возлагается на Исполнителя.</w:t>
            </w:r>
          </w:p>
        </w:tc>
      </w:tr>
      <w:tr w:rsidR="007A241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numPr>
                <w:ilvl w:val="0"/>
                <w:numId w:val="3"/>
              </w:numPr>
              <w:suppressAutoHyphens w:val="0"/>
              <w:snapToGrid w:val="0"/>
              <w:spacing w:before="60" w:after="60" w:line="252" w:lineRule="auto"/>
              <w:jc w:val="center"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r>
              <w:rPr>
                <w:rFonts w:ascii="Times New Roman" w:hAnsi="Times New Roman" w:cs="Times New Roman"/>
                <w:b/>
                <w:bCs/>
              </w:rPr>
              <w:t xml:space="preserve">Требования к результатам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слуг</w:t>
            </w:r>
          </w:p>
        </w:tc>
      </w:tr>
      <w:tr w:rsidR="007A241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numPr>
                <w:ilvl w:val="1"/>
                <w:numId w:val="3"/>
              </w:numPr>
              <w:suppressAutoHyphens w:val="0"/>
              <w:snapToGrid w:val="0"/>
              <w:spacing w:before="60" w:after="60" w:line="252" w:lineRule="auto"/>
              <w:ind w:left="-117" w:firstLine="142"/>
              <w:jc w:val="center"/>
              <w:textAlignment w:val="auto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spacing w:before="60"/>
            </w:pPr>
            <w:r>
              <w:rPr>
                <w:rFonts w:ascii="Times New Roman" w:hAnsi="Times New Roman" w:cs="Times New Roman"/>
                <w:b/>
              </w:rPr>
              <w:t xml:space="preserve">Общие требования к результатам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слуг</w:t>
            </w:r>
          </w:p>
        </w:tc>
      </w:tr>
      <w:tr w:rsidR="007A241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numPr>
                <w:ilvl w:val="2"/>
                <w:numId w:val="3"/>
              </w:numPr>
              <w:suppressAutoHyphens w:val="0"/>
              <w:snapToGrid w:val="0"/>
              <w:spacing w:before="60" w:after="60" w:line="252" w:lineRule="auto"/>
              <w:ind w:left="0" w:hanging="1199"/>
              <w:jc w:val="center"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Результат услуг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tabs>
                <w:tab w:val="left" w:pos="426"/>
              </w:tabs>
              <w:spacing w:before="6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После окончания оказания услуг, проведения испытаний оборудования Исполнитель направляет Заказчику всю исполнительную документацию:</w:t>
            </w:r>
          </w:p>
          <w:p w:rsidR="007A2411" w:rsidRDefault="007A2411" w:rsidP="007A2411">
            <w:pPr>
              <w:tabs>
                <w:tab w:val="left" w:pos="1579"/>
              </w:tabs>
              <w:ind w:left="39" w:hanging="39"/>
              <w:jc w:val="both"/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Протокол проверки АРВ СВ-4Г, СВ-7Г, СВ-8Г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при профилактическом контроле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СВ-4Г, СВ-7Г, СВ-8Г;</w:t>
            </w:r>
          </w:p>
          <w:p w:rsidR="007A2411" w:rsidRDefault="007A2411" w:rsidP="007A2411">
            <w:pPr>
              <w:tabs>
                <w:tab w:val="left" w:pos="1579"/>
              </w:tabs>
              <w:ind w:left="39" w:hanging="39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 Протокол испытаний СВ-4Г, СВ-7Г, СВ-8Г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холостом ходу и в сети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7A2411" w:rsidRDefault="007A2411" w:rsidP="007A2411">
            <w:pPr>
              <w:tabs>
                <w:tab w:val="left" w:pos="1579"/>
              </w:tabs>
              <w:ind w:left="39" w:hanging="39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Отчет (заключение) с планом мероприятий, выводами, рекомендациями по эксплуатации АРВ.</w:t>
            </w:r>
          </w:p>
        </w:tc>
      </w:tr>
      <w:tr w:rsidR="007A241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numPr>
                <w:ilvl w:val="2"/>
                <w:numId w:val="3"/>
              </w:numPr>
              <w:suppressAutoHyphens w:val="0"/>
              <w:snapToGrid w:val="0"/>
              <w:spacing w:before="60" w:after="60" w:line="252" w:lineRule="auto"/>
              <w:ind w:left="0" w:hanging="1199"/>
              <w:jc w:val="center"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411" w:rsidRDefault="007A2411" w:rsidP="007A24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Качество услуг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411" w:rsidRDefault="007A2411" w:rsidP="007A2411">
            <w:pPr>
              <w:spacing w:after="16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Качество оказываемых Исполнителем услуг должно соответствовать требованиям, предъявляемым к услугам соответствующего рода, если иное не предусмотрено законом, иными правовыми актами или договором оказания услуг.</w:t>
            </w:r>
          </w:p>
          <w:p w:rsidR="007A2411" w:rsidRDefault="007A2411" w:rsidP="007A2411">
            <w:pPr>
              <w:spacing w:after="160" w:line="252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Исполнитель обязан безвозмездно исправить по требованию Заказчика все выявленные недостатки, ухудшившие качество услуг в согласованные сроки.</w:t>
            </w:r>
          </w:p>
        </w:tc>
      </w:tr>
      <w:tr w:rsidR="007A2411">
        <w:trPr>
          <w:trHeight w:val="407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Требования к приемке результата оказания услуг</w:t>
            </w:r>
          </w:p>
        </w:tc>
      </w:tr>
      <w:tr w:rsidR="007A2411">
        <w:trPr>
          <w:trHeight w:val="1213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2.2.1.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Приёмка работ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Приёмка оказанных услуг осуществляется рабочей комиссией в составе представителей Заказчика и Исполнителя с оформлением акта приемки оказанных услуг.</w:t>
            </w:r>
          </w:p>
          <w:p w:rsidR="007A2411" w:rsidRDefault="007A2411" w:rsidP="007A2411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 случае несоответствия результатов оказания услуг условиям ТТ Заказчик вправе обязать Исполнителя произвести необходимые исправления без дополнительной оплаты в течение 30 календарных дней с момента получения Исполнителем от Заказчика официального уведомления, если иной срок не будет согласован Сторонами. По факту устранения замечаний, Заказчик назначает повторную дату проведения приемки оказанных услуг.</w:t>
            </w:r>
          </w:p>
        </w:tc>
      </w:tr>
      <w:tr w:rsidR="007A241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keepNext/>
              <w:keepLines/>
              <w:numPr>
                <w:ilvl w:val="2"/>
                <w:numId w:val="1"/>
              </w:numPr>
              <w:spacing w:before="40"/>
              <w:outlineLvl w:val="2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2.3.</w:t>
            </w:r>
          </w:p>
        </w:tc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spacing w:before="6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Требования к документации, описывающей результат оказания услуг</w:t>
            </w:r>
          </w:p>
        </w:tc>
      </w:tr>
      <w:tr w:rsidR="007A2411">
        <w:trPr>
          <w:hidden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numPr>
                <w:ilvl w:val="1"/>
                <w:numId w:val="3"/>
              </w:numPr>
              <w:suppressAutoHyphens w:val="0"/>
              <w:snapToGrid w:val="0"/>
              <w:spacing w:before="60" w:after="60" w:line="252" w:lineRule="auto"/>
              <w:jc w:val="center"/>
              <w:textAlignment w:val="auto"/>
              <w:rPr>
                <w:rFonts w:ascii="Times New Roman" w:eastAsia="Times New Roman" w:hAnsi="Times New Roman" w:cs="Times New Roman"/>
                <w:vanish/>
                <w:lang w:eastAsia="ru-RU"/>
              </w:rPr>
            </w:pPr>
          </w:p>
          <w:p w:rsidR="007A2411" w:rsidRDefault="007A2411" w:rsidP="007A2411">
            <w:pPr>
              <w:numPr>
                <w:ilvl w:val="1"/>
                <w:numId w:val="3"/>
              </w:numPr>
              <w:suppressAutoHyphens w:val="0"/>
              <w:spacing w:before="60" w:after="60" w:line="252" w:lineRule="auto"/>
              <w:jc w:val="center"/>
              <w:textAlignment w:val="auto"/>
              <w:rPr>
                <w:rFonts w:ascii="Times New Roman" w:hAnsi="Times New Roman" w:cs="Times New Roman"/>
                <w:vanish/>
              </w:rPr>
            </w:pPr>
          </w:p>
          <w:p w:rsidR="007A2411" w:rsidRDefault="007A2411" w:rsidP="007A2411">
            <w:pPr>
              <w:numPr>
                <w:ilvl w:val="2"/>
                <w:numId w:val="3"/>
              </w:numPr>
              <w:suppressAutoHyphens w:val="0"/>
              <w:spacing w:before="60" w:after="60" w:line="252" w:lineRule="auto"/>
              <w:ind w:left="529" w:firstLine="0"/>
              <w:jc w:val="center"/>
              <w:textAlignment w:val="auto"/>
              <w:rPr>
                <w:rFonts w:ascii="Times New Roman" w:hAnsi="Times New Roman" w:cs="Times New Roman"/>
                <w:vanish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документации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Исполнитель в соответствии с требованиями настоящего договора передает Заказчику результат оказания услуг. Передача результатов оказания услуг по договору осуществляется сопроводительными документами, включающими в себя счет, акты сдачи-приемки оказанных услуг оформляются Исполнителем, на основании технических справок, и в соответствии с условиями договора и утверждаются руководителем Исполнителя и от Заказчика Генеральным директором ПАО «Якутскэнерго».</w:t>
            </w:r>
          </w:p>
        </w:tc>
      </w:tr>
      <w:tr w:rsidR="007A241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numPr>
                <w:ilvl w:val="0"/>
                <w:numId w:val="3"/>
              </w:numPr>
              <w:suppressAutoHyphens w:val="0"/>
              <w:snapToGrid w:val="0"/>
              <w:spacing w:before="60" w:after="60" w:line="252" w:lineRule="auto"/>
              <w:jc w:val="center"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spacing w:before="4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Требования к соблюдению положений нормативной и иной обязательной для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>исполнителя документации, определяемой видами услуг (помимо указанных в других разделах ТТ)</w:t>
            </w:r>
          </w:p>
        </w:tc>
      </w:tr>
      <w:tr w:rsidR="007A2411">
        <w:trPr>
          <w:trHeight w:val="451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spacing w:before="60" w:after="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3.1.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7A241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numPr>
                <w:ilvl w:val="0"/>
                <w:numId w:val="3"/>
              </w:numPr>
              <w:suppressAutoHyphens w:val="0"/>
              <w:snapToGrid w:val="0"/>
              <w:spacing w:before="60" w:after="60" w:line="252" w:lineRule="auto"/>
              <w:jc w:val="center"/>
              <w:textAlignment w:val="auto"/>
              <w:rPr>
                <w:rFonts w:ascii="Times New Roman" w:eastAsia="Times New Roman" w:hAnsi="Times New Roman" w:cs="Times New Roman"/>
                <w:lang w:val="en-GB" w:eastAsia="ru-RU"/>
              </w:rPr>
            </w:pPr>
          </w:p>
        </w:tc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spacing w:before="20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Требования к ответственности и гарантиям исполнителя</w:t>
            </w:r>
          </w:p>
        </w:tc>
      </w:tr>
      <w:tr w:rsidR="007A241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spacing w:before="60" w:after="60"/>
              <w:ind w:left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гарантии на результаты работ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Гарантийный срок на результат услуг должен составлять 12 месяцев с даты подписания Акта о приемке оказанных услуг.</w:t>
            </w:r>
          </w:p>
          <w:p w:rsidR="007A2411" w:rsidRDefault="007A2411" w:rsidP="007A2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Заказчик, обнаруживший после приемки услуг отступления в ней от договора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Исполнителем, обязан известить об этом Исполнителя, а Исполнитель устраняет их за свой счет в согласованные сторонами сроки и компенсирует Заказчику понесенные при этом убытки в разумный срок.</w:t>
            </w:r>
          </w:p>
          <w:p w:rsidR="007A2411" w:rsidRDefault="007A2411" w:rsidP="007A2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должен гарантировать надлежащее качество оказываемых услуг в полном объеме в соответствии с действующей нормативно-технической документацией.</w:t>
            </w:r>
          </w:p>
          <w:p w:rsidR="007A2411" w:rsidRDefault="007A2411" w:rsidP="007A2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Исполнитель обязан оказать услуги в установленные сроки.</w:t>
            </w:r>
          </w:p>
        </w:tc>
      </w:tr>
      <w:tr w:rsidR="007A241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numPr>
                <w:ilvl w:val="0"/>
                <w:numId w:val="3"/>
              </w:numPr>
              <w:suppressAutoHyphens w:val="0"/>
              <w:snapToGrid w:val="0"/>
              <w:spacing w:before="60" w:after="60" w:line="252" w:lineRule="auto"/>
              <w:jc w:val="center"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keepNext/>
              <w:spacing w:before="60" w:after="6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</w:tr>
      <w:tr w:rsidR="007A241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spacing w:before="60" w:after="60"/>
              <w:ind w:left="3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A2411" w:rsidRDefault="007A2411" w:rsidP="007A24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Требования к субподрядным организациям, привлекаемым к оказанию услуг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 случае привлечения к оказанию услуг субподрядных организаций Исполнитель обязан представить Заказчику на момент согласования договора документы, подтверждающие соответствие их квалификационного уровня, а также готовность и возможность оказания ими услуг.</w:t>
            </w:r>
          </w:p>
        </w:tc>
      </w:tr>
      <w:tr w:rsidR="007A241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numPr>
                <w:ilvl w:val="0"/>
                <w:numId w:val="3"/>
              </w:numPr>
              <w:suppressAutoHyphens w:val="0"/>
              <w:snapToGrid w:val="0"/>
              <w:spacing w:before="60" w:after="60" w:line="252" w:lineRule="auto"/>
              <w:jc w:val="center"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spacing w:before="60" w:after="60"/>
            </w:pPr>
            <w:r>
              <w:rPr>
                <w:rFonts w:ascii="Times New Roman" w:hAnsi="Times New Roman" w:cs="Times New Roman"/>
                <w:b/>
              </w:rPr>
              <w:t xml:space="preserve">Прочие требования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к оказанию услуг</w:t>
            </w:r>
          </w:p>
        </w:tc>
      </w:tr>
      <w:tr w:rsidR="007A2411"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numPr>
                <w:ilvl w:val="1"/>
                <w:numId w:val="3"/>
              </w:numPr>
              <w:suppressAutoHyphens w:val="0"/>
              <w:snapToGrid w:val="0"/>
              <w:spacing w:before="60" w:after="60" w:line="252" w:lineRule="auto"/>
              <w:ind w:left="-117" w:firstLine="142"/>
              <w:jc w:val="center"/>
              <w:textAlignment w:val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411" w:rsidRDefault="007A2411" w:rsidP="007A2411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Соблюдение требований контрольно-пропускного режима</w:t>
            </w:r>
          </w:p>
        </w:tc>
        <w:tc>
          <w:tcPr>
            <w:tcW w:w="6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411" w:rsidRDefault="007A2411" w:rsidP="007A24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Сотрудники Исполнителя обязаны строго соблюдать требования контрольно- пропускного режима, действующего на предприятии.</w:t>
            </w:r>
          </w:p>
        </w:tc>
      </w:tr>
    </w:tbl>
    <w:p w:rsidR="00944E23" w:rsidRDefault="00944E23">
      <w:pPr>
        <w:widowControl/>
        <w:rPr>
          <w:rFonts w:ascii="Times New Roman" w:eastAsia="Times New Roman" w:hAnsi="Times New Roman" w:cs="Times New Roman"/>
          <w:lang w:eastAsia="ru-RU"/>
        </w:rPr>
      </w:pPr>
    </w:p>
    <w:p w:rsidR="00944E23" w:rsidRDefault="00944E23">
      <w:pPr>
        <w:pStyle w:val="Standard"/>
        <w:tabs>
          <w:tab w:val="left" w:pos="426"/>
        </w:tabs>
        <w:rPr>
          <w:lang w:val="ru-RU" w:eastAsia="ru-RU"/>
        </w:rPr>
      </w:pPr>
    </w:p>
    <w:sectPr w:rsidR="00944E23" w:rsidSect="00C9229E">
      <w:pgSz w:w="11906" w:h="16838"/>
      <w:pgMar w:top="851" w:right="850" w:bottom="1134" w:left="1134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;Symbol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E21FD"/>
    <w:multiLevelType w:val="multilevel"/>
    <w:tmpl w:val="2CB813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5F303CC"/>
    <w:multiLevelType w:val="multilevel"/>
    <w:tmpl w:val="9D36AFC8"/>
    <w:lvl w:ilvl="0">
      <w:start w:val="5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 w15:restartNumberingAfterBreak="0">
    <w:nsid w:val="357F05C8"/>
    <w:multiLevelType w:val="multilevel"/>
    <w:tmpl w:val="D78C97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39A23374"/>
    <w:multiLevelType w:val="multilevel"/>
    <w:tmpl w:val="63645100"/>
    <w:lvl w:ilvl="0">
      <w:start w:val="5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4" w15:restartNumberingAfterBreak="0">
    <w:nsid w:val="55567DCE"/>
    <w:multiLevelType w:val="multilevel"/>
    <w:tmpl w:val="569AB67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5" w15:restartNumberingAfterBreak="0">
    <w:nsid w:val="57121B42"/>
    <w:multiLevelType w:val="multilevel"/>
    <w:tmpl w:val="C23C0D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C0D2482"/>
    <w:multiLevelType w:val="multilevel"/>
    <w:tmpl w:val="A5DA43EE"/>
    <w:lvl w:ilvl="0">
      <w:start w:val="5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7" w15:restartNumberingAfterBreak="0">
    <w:nsid w:val="63E47B11"/>
    <w:multiLevelType w:val="multilevel"/>
    <w:tmpl w:val="3D9839AE"/>
    <w:lvl w:ilvl="0">
      <w:start w:val="5"/>
      <w:numFmt w:val="decimal"/>
      <w:lvlText w:val="%1."/>
      <w:lvlJc w:val="left"/>
      <w:pPr>
        <w:tabs>
          <w:tab w:val="num" w:pos="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8" w15:restartNumberingAfterBreak="0">
    <w:nsid w:val="6B0F7A88"/>
    <w:multiLevelType w:val="multilevel"/>
    <w:tmpl w:val="0898078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9" w15:restartNumberingAfterBreak="0">
    <w:nsid w:val="6E8A0386"/>
    <w:multiLevelType w:val="multilevel"/>
    <w:tmpl w:val="98384BE2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1576C9C"/>
    <w:multiLevelType w:val="multilevel"/>
    <w:tmpl w:val="EBB29F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1" w15:restartNumberingAfterBreak="0">
    <w:nsid w:val="7721729C"/>
    <w:multiLevelType w:val="multilevel"/>
    <w:tmpl w:val="355EE9E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4"/>
  </w:num>
  <w:num w:numId="5">
    <w:abstractNumId w:val="2"/>
  </w:num>
  <w:num w:numId="6">
    <w:abstractNumId w:val="10"/>
  </w:num>
  <w:num w:numId="7">
    <w:abstractNumId w:val="8"/>
  </w:num>
  <w:num w:numId="8">
    <w:abstractNumId w:val="6"/>
  </w:num>
  <w:num w:numId="9">
    <w:abstractNumId w:val="3"/>
  </w:num>
  <w:num w:numId="10">
    <w:abstractNumId w:val="7"/>
  </w:num>
  <w:num w:numId="11">
    <w:abstractNumId w:val="1"/>
  </w:num>
  <w:num w:numId="12">
    <w:abstractNumId w:val="0"/>
  </w:num>
  <w:num w:numId="13">
    <w:abstractNumId w:val="4"/>
    <w:lvlOverride w:ilvl="0">
      <w:startOverride w:val="1"/>
    </w:lvlOverride>
  </w:num>
  <w:num w:numId="14">
    <w:abstractNumId w:val="4"/>
  </w:num>
  <w:num w:numId="15">
    <w:abstractNumId w:val="4"/>
  </w:num>
  <w:num w:numId="16">
    <w:abstractNumId w:val="4"/>
  </w:num>
  <w:num w:numId="17">
    <w:abstractNumId w:val="6"/>
    <w:lvlOverride w:ilvl="0">
      <w:startOverride w:val="5"/>
    </w:lvlOverride>
    <w:lvlOverride w:ilvl="1">
      <w:startOverride w:val="1"/>
    </w:lvlOverride>
  </w:num>
  <w:num w:numId="18">
    <w:abstractNumId w:val="6"/>
  </w:num>
  <w:num w:numId="19">
    <w:abstractNumId w:val="6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E23"/>
    <w:rsid w:val="00583A65"/>
    <w:rsid w:val="005923C1"/>
    <w:rsid w:val="00753F6C"/>
    <w:rsid w:val="007A051D"/>
    <w:rsid w:val="007A1349"/>
    <w:rsid w:val="007A2411"/>
    <w:rsid w:val="008C4D8A"/>
    <w:rsid w:val="00944E23"/>
    <w:rsid w:val="00C9229E"/>
    <w:rsid w:val="00CC3D5D"/>
    <w:rsid w:val="00CD266D"/>
    <w:rsid w:val="00ED571C"/>
    <w:rsid w:val="00F7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CE700"/>
  <w15:docId w15:val="{35016BB6-6FFF-469E-BE37-C5C58A63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erif CJK SC" w:hAnsi="Liberation Serif" w:cs="Arial Unicode M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Symbol"/>
    </w:rPr>
  </w:style>
  <w:style w:type="character" w:customStyle="1" w:styleId="WW8Num1z1">
    <w:name w:val="WW8Num1z1"/>
    <w:qFormat/>
    <w:rPr>
      <w:rFonts w:ascii="Courier New" w:eastAsia="Courier New" w:hAnsi="Courier New" w:cs="Courier New"/>
    </w:rPr>
  </w:style>
  <w:style w:type="character" w:customStyle="1" w:styleId="WW8Num1z2">
    <w:name w:val="WW8Num1z2"/>
    <w:qFormat/>
    <w:rPr>
      <w:rFonts w:ascii="Wingdings" w:eastAsia="Wingdings" w:hAnsi="Wingdings" w:cs="Wingdings"/>
    </w:rPr>
  </w:style>
  <w:style w:type="character" w:customStyle="1" w:styleId="WW8Num2z0">
    <w:name w:val="WW8Num2z0"/>
    <w:qFormat/>
    <w:rPr>
      <w:rFonts w:ascii="Symbol" w:eastAsia="Symbol" w:hAnsi="Symbol" w:cs="Symbol"/>
    </w:rPr>
  </w:style>
  <w:style w:type="character" w:customStyle="1" w:styleId="WW8Num2z1">
    <w:name w:val="WW8Num2z1"/>
    <w:qFormat/>
    <w:rPr>
      <w:rFonts w:ascii="Courier New" w:eastAsia="Courier New" w:hAnsi="Courier New" w:cs="Courier New"/>
    </w:rPr>
  </w:style>
  <w:style w:type="character" w:customStyle="1" w:styleId="WW8Num2z2">
    <w:name w:val="WW8Num2z2"/>
    <w:qFormat/>
    <w:rPr>
      <w:rFonts w:ascii="Wingdings" w:eastAsia="Wingdings" w:hAnsi="Wingdings" w:cs="Wingdings"/>
    </w:rPr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customStyle="1" w:styleId="WW8Num3z1">
    <w:name w:val="WW8Num3z1"/>
    <w:qFormat/>
    <w:rPr>
      <w:rFonts w:ascii="Courier New" w:eastAsia="Courier New" w:hAnsi="Courier New" w:cs="Courier New"/>
    </w:rPr>
  </w:style>
  <w:style w:type="character" w:customStyle="1" w:styleId="WW8Num3z2">
    <w:name w:val="WW8Num3z2"/>
    <w:qFormat/>
    <w:rPr>
      <w:rFonts w:ascii="Wingdings" w:eastAsia="Wingdings" w:hAnsi="Wingdings" w:cs="Wingdings"/>
    </w:rPr>
  </w:style>
  <w:style w:type="character" w:customStyle="1" w:styleId="WW8Num4z0">
    <w:name w:val="WW8Num4z0"/>
    <w:qFormat/>
    <w:rPr>
      <w:rFonts w:ascii="Wingdings" w:eastAsia="Wingdings" w:hAnsi="Wingdings" w:cs="Wingdings"/>
    </w:rPr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3">
    <w:name w:val="WW8Num4z3"/>
    <w:qFormat/>
    <w:rPr>
      <w:rFonts w:ascii="Symbol" w:eastAsia="Symbol" w:hAnsi="Symbol" w:cs="Symbol"/>
    </w:rPr>
  </w:style>
  <w:style w:type="character" w:customStyle="1" w:styleId="WW8Num7z0">
    <w:name w:val="WW8Num7z0"/>
    <w:qFormat/>
    <w:rPr>
      <w:rFonts w:ascii="Symbol" w:eastAsia="Symbol" w:hAnsi="Symbol" w:cs="Symbol"/>
    </w:rPr>
  </w:style>
  <w:style w:type="character" w:customStyle="1" w:styleId="WW8Num7z1">
    <w:name w:val="WW8Num7z1"/>
    <w:qFormat/>
    <w:rPr>
      <w:rFonts w:ascii="Times New Roman" w:eastAsia="Times New Roman" w:hAnsi="Times New Roman" w:cs="Courier New"/>
    </w:rPr>
  </w:style>
  <w:style w:type="character" w:customStyle="1" w:styleId="WW8Num7z2">
    <w:name w:val="WW8Num7z2"/>
    <w:qFormat/>
    <w:rPr>
      <w:rFonts w:ascii="Wingdings" w:eastAsia="Wingdings" w:hAnsi="Wingdings" w:cs="Wingdings"/>
    </w:rPr>
  </w:style>
  <w:style w:type="character" w:customStyle="1" w:styleId="WW8Num8z0">
    <w:name w:val="WW8Num8z0"/>
    <w:qFormat/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OpenSymbol;Symbol" w:eastAsia="OpenSymbol;Symbol" w:hAnsi="OpenSymbol;Symbol" w:cs="OpenSymbol;Symbol"/>
    </w:rPr>
  </w:style>
  <w:style w:type="character" w:customStyle="1" w:styleId="WW8Num11z0">
    <w:name w:val="WW8Num11z0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b/>
      <w:bCs w:val="0"/>
      <w:sz w:val="24"/>
      <w:szCs w:val="24"/>
    </w:rPr>
  </w:style>
  <w:style w:type="character" w:customStyle="1" w:styleId="WW8Num13z1">
    <w:name w:val="WW8Num13z1"/>
    <w:qFormat/>
    <w:rPr>
      <w:b w:val="0"/>
      <w:bCs/>
      <w:sz w:val="24"/>
      <w:szCs w:val="24"/>
    </w:rPr>
  </w:style>
  <w:style w:type="character" w:customStyle="1" w:styleId="WW8Num13z2">
    <w:name w:val="WW8Num13z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14z0">
    <w:name w:val="WW8Num14z0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  <w:i w:val="0"/>
    </w:rPr>
  </w:style>
  <w:style w:type="character" w:customStyle="1" w:styleId="WW8Num15z1">
    <w:name w:val="WW8Num15z1"/>
    <w:qFormat/>
    <w:rPr>
      <w:rFonts w:ascii="Times New Roman" w:eastAsia="Times New Roman" w:hAnsi="Times New Roman" w:cs="Courier New"/>
    </w:rPr>
  </w:style>
  <w:style w:type="character" w:customStyle="1" w:styleId="WW8Num15z2">
    <w:name w:val="WW8Num15z2"/>
    <w:qFormat/>
    <w:rPr>
      <w:rFonts w:ascii="Wingdings" w:eastAsia="Wingdings" w:hAnsi="Wingdings" w:cs="Wingdings"/>
    </w:rPr>
  </w:style>
  <w:style w:type="character" w:customStyle="1" w:styleId="WW8Num15z3">
    <w:name w:val="WW8Num15z3"/>
    <w:qFormat/>
    <w:rPr>
      <w:rFonts w:ascii="Symbol" w:eastAsia="Symbol" w:hAnsi="Symbol" w:cs="Symbol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a3">
    <w:name w:val="Маркеры"/>
    <w:qFormat/>
    <w:rPr>
      <w:rFonts w:ascii="OpenSymbol;Symbol" w:eastAsia="OpenSymbol;Symbol" w:hAnsi="OpenSymbol;Symbol" w:cs="OpenSymbol;Symbol"/>
    </w:rPr>
  </w:style>
  <w:style w:type="character" w:styleId="a4">
    <w:name w:val="Hyperlink"/>
    <w:rPr>
      <w:color w:val="000080"/>
      <w:u w:val="single"/>
    </w:rPr>
  </w:style>
  <w:style w:type="character" w:customStyle="1" w:styleId="WWCharLFO1LVL1">
    <w:name w:val="WW_CharLFO1LVL1"/>
    <w:qFormat/>
    <w:rPr>
      <w:rFonts w:ascii="Symbol" w:hAnsi="Symbol" w:cs="Symbol"/>
    </w:rPr>
  </w:style>
  <w:style w:type="character" w:customStyle="1" w:styleId="WWCharLFO1LVL2">
    <w:name w:val="WW_CharLFO1LVL2"/>
    <w:qFormat/>
    <w:rPr>
      <w:rFonts w:ascii="Courier New" w:hAnsi="Courier New" w:cs="Courier New"/>
    </w:rPr>
  </w:style>
  <w:style w:type="character" w:customStyle="1" w:styleId="WWCharLFO1LVL3">
    <w:name w:val="WW_CharLFO1LVL3"/>
    <w:qFormat/>
    <w:rPr>
      <w:rFonts w:ascii="Wingdings" w:hAnsi="Wingdings" w:cs="Wingdings"/>
    </w:rPr>
  </w:style>
  <w:style w:type="character" w:customStyle="1" w:styleId="WWCharLFO1LVL4">
    <w:name w:val="WW_CharLFO1LVL4"/>
    <w:qFormat/>
    <w:rPr>
      <w:rFonts w:ascii="Symbol" w:hAnsi="Symbol" w:cs="Symbol"/>
    </w:rPr>
  </w:style>
  <w:style w:type="character" w:customStyle="1" w:styleId="WWCharLFO1LVL5">
    <w:name w:val="WW_CharLFO1LVL5"/>
    <w:qFormat/>
    <w:rPr>
      <w:rFonts w:ascii="Courier New" w:hAnsi="Courier New" w:cs="Courier New"/>
    </w:rPr>
  </w:style>
  <w:style w:type="character" w:customStyle="1" w:styleId="WWCharLFO1LVL6">
    <w:name w:val="WW_CharLFO1LVL6"/>
    <w:qFormat/>
    <w:rPr>
      <w:rFonts w:ascii="Wingdings" w:hAnsi="Wingdings" w:cs="Wingdings"/>
    </w:rPr>
  </w:style>
  <w:style w:type="character" w:customStyle="1" w:styleId="WWCharLFO1LVL7">
    <w:name w:val="WW_CharLFO1LVL7"/>
    <w:qFormat/>
    <w:rPr>
      <w:rFonts w:ascii="Symbol" w:hAnsi="Symbol" w:cs="Symbol"/>
    </w:rPr>
  </w:style>
  <w:style w:type="character" w:customStyle="1" w:styleId="WWCharLFO1LVL8">
    <w:name w:val="WW_CharLFO1LVL8"/>
    <w:qFormat/>
    <w:rPr>
      <w:rFonts w:ascii="Courier New" w:hAnsi="Courier New" w:cs="Courier New"/>
    </w:rPr>
  </w:style>
  <w:style w:type="character" w:customStyle="1" w:styleId="WWCharLFO1LVL9">
    <w:name w:val="WW_CharLFO1LVL9"/>
    <w:qFormat/>
    <w:rPr>
      <w:rFonts w:ascii="Wingdings" w:hAnsi="Wingdings" w:cs="Wingdings"/>
    </w:rPr>
  </w:style>
  <w:style w:type="character" w:customStyle="1" w:styleId="WWCharLFO2LVL1">
    <w:name w:val="WW_CharLFO2LVL1"/>
    <w:qFormat/>
    <w:rPr>
      <w:rFonts w:ascii="Symbol" w:hAnsi="Symbol" w:cs="Symbol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 w:cs="Wingdings"/>
    </w:rPr>
  </w:style>
  <w:style w:type="character" w:customStyle="1" w:styleId="WWCharLFO2LVL4">
    <w:name w:val="WW_CharLFO2LVL4"/>
    <w:qFormat/>
    <w:rPr>
      <w:rFonts w:ascii="Symbol" w:hAnsi="Symbol" w:cs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 w:cs="Wingdings"/>
    </w:rPr>
  </w:style>
  <w:style w:type="character" w:customStyle="1" w:styleId="WWCharLFO2LVL7">
    <w:name w:val="WW_CharLFO2LVL7"/>
    <w:qFormat/>
    <w:rPr>
      <w:rFonts w:ascii="Symbol" w:hAnsi="Symbol" w:cs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 w:cs="Wingdings"/>
    </w:rPr>
  </w:style>
  <w:style w:type="character" w:customStyle="1" w:styleId="WWCharLFO3LVL1">
    <w:name w:val="WW_CharLFO3LVL1"/>
    <w:qFormat/>
    <w:rPr>
      <w:rFonts w:ascii="Symbol" w:hAnsi="Symbol" w:cs="Symbol"/>
    </w:rPr>
  </w:style>
  <w:style w:type="character" w:customStyle="1" w:styleId="WWCharLFO3LVL2">
    <w:name w:val="WW_CharLFO3LVL2"/>
    <w:qFormat/>
    <w:rPr>
      <w:rFonts w:ascii="Courier New" w:hAnsi="Courier New" w:cs="Courier New"/>
    </w:rPr>
  </w:style>
  <w:style w:type="character" w:customStyle="1" w:styleId="WWCharLFO3LVL3">
    <w:name w:val="WW_CharLFO3LVL3"/>
    <w:qFormat/>
    <w:rPr>
      <w:rFonts w:ascii="Wingdings" w:hAnsi="Wingdings" w:cs="Wingdings"/>
    </w:rPr>
  </w:style>
  <w:style w:type="character" w:customStyle="1" w:styleId="WWCharLFO3LVL4">
    <w:name w:val="WW_CharLFO3LVL4"/>
    <w:qFormat/>
    <w:rPr>
      <w:rFonts w:ascii="Symbol" w:hAnsi="Symbol" w:cs="Symbol"/>
    </w:rPr>
  </w:style>
  <w:style w:type="character" w:customStyle="1" w:styleId="WWCharLFO3LVL5">
    <w:name w:val="WW_CharLFO3LVL5"/>
    <w:qFormat/>
    <w:rPr>
      <w:rFonts w:ascii="Courier New" w:hAnsi="Courier New" w:cs="Courier New"/>
    </w:rPr>
  </w:style>
  <w:style w:type="character" w:customStyle="1" w:styleId="WWCharLFO3LVL6">
    <w:name w:val="WW_CharLFO3LVL6"/>
    <w:qFormat/>
    <w:rPr>
      <w:rFonts w:ascii="Wingdings" w:hAnsi="Wingdings" w:cs="Wingdings"/>
    </w:rPr>
  </w:style>
  <w:style w:type="character" w:customStyle="1" w:styleId="WWCharLFO3LVL7">
    <w:name w:val="WW_CharLFO3LVL7"/>
    <w:qFormat/>
    <w:rPr>
      <w:rFonts w:ascii="Symbol" w:hAnsi="Symbol" w:cs="Symbol"/>
    </w:rPr>
  </w:style>
  <w:style w:type="character" w:customStyle="1" w:styleId="WWCharLFO3LVL8">
    <w:name w:val="WW_CharLFO3LVL8"/>
    <w:qFormat/>
    <w:rPr>
      <w:rFonts w:ascii="Courier New" w:hAnsi="Courier New" w:cs="Courier New"/>
    </w:rPr>
  </w:style>
  <w:style w:type="character" w:customStyle="1" w:styleId="WWCharLFO3LVL9">
    <w:name w:val="WW_CharLFO3LVL9"/>
    <w:qFormat/>
    <w:rPr>
      <w:rFonts w:ascii="Wingdings" w:hAnsi="Wingdings" w:cs="Wingdings"/>
    </w:rPr>
  </w:style>
  <w:style w:type="character" w:customStyle="1" w:styleId="WWCharLFO4LVL1">
    <w:name w:val="WW_CharLFO4LVL1"/>
    <w:qFormat/>
    <w:rPr>
      <w:rFonts w:ascii="Wingdings" w:hAnsi="Wingdings" w:cs="Wingdings"/>
    </w:rPr>
  </w:style>
  <w:style w:type="character" w:customStyle="1" w:styleId="WWCharLFO4LVL2">
    <w:name w:val="WW_CharLFO4LVL2"/>
    <w:qFormat/>
    <w:rPr>
      <w:rFonts w:ascii="Courier New" w:hAnsi="Courier New" w:cs="Courier New"/>
    </w:rPr>
  </w:style>
  <w:style w:type="character" w:customStyle="1" w:styleId="WWCharLFO4LVL3">
    <w:name w:val="WW_CharLFO4LVL3"/>
    <w:qFormat/>
    <w:rPr>
      <w:rFonts w:ascii="Wingdings" w:hAnsi="Wingdings" w:cs="Wingdings"/>
    </w:rPr>
  </w:style>
  <w:style w:type="character" w:customStyle="1" w:styleId="WWCharLFO4LVL4">
    <w:name w:val="WW_CharLFO4LVL4"/>
    <w:qFormat/>
    <w:rPr>
      <w:rFonts w:ascii="Symbol" w:hAnsi="Symbol" w:cs="Symbol"/>
    </w:rPr>
  </w:style>
  <w:style w:type="character" w:customStyle="1" w:styleId="WWCharLFO4LVL5">
    <w:name w:val="WW_CharLFO4LVL5"/>
    <w:qFormat/>
    <w:rPr>
      <w:rFonts w:ascii="Courier New" w:hAnsi="Courier New" w:cs="Courier New"/>
    </w:rPr>
  </w:style>
  <w:style w:type="character" w:customStyle="1" w:styleId="WWCharLFO4LVL6">
    <w:name w:val="WW_CharLFO4LVL6"/>
    <w:qFormat/>
    <w:rPr>
      <w:rFonts w:ascii="Wingdings" w:hAnsi="Wingdings" w:cs="Wingdings"/>
    </w:rPr>
  </w:style>
  <w:style w:type="character" w:customStyle="1" w:styleId="WWCharLFO4LVL7">
    <w:name w:val="WW_CharLFO4LVL7"/>
    <w:qFormat/>
    <w:rPr>
      <w:rFonts w:ascii="Symbol" w:hAnsi="Symbol" w:cs="Symbol"/>
    </w:rPr>
  </w:style>
  <w:style w:type="character" w:customStyle="1" w:styleId="WWCharLFO4LVL8">
    <w:name w:val="WW_CharLFO4LVL8"/>
    <w:qFormat/>
    <w:rPr>
      <w:rFonts w:ascii="Courier New" w:hAnsi="Courier New" w:cs="Courier New"/>
    </w:rPr>
  </w:style>
  <w:style w:type="character" w:customStyle="1" w:styleId="WWCharLFO4LVL9">
    <w:name w:val="WW_CharLFO4LVL9"/>
    <w:qFormat/>
    <w:rPr>
      <w:rFonts w:ascii="Wingdings" w:hAnsi="Wingdings" w:cs="Wingdings"/>
    </w:rPr>
  </w:style>
  <w:style w:type="character" w:customStyle="1" w:styleId="WWCharLFO7LVL1">
    <w:name w:val="WW_CharLFO7LVL1"/>
    <w:qFormat/>
    <w:rPr>
      <w:rFonts w:ascii="Symbol" w:hAnsi="Symbol" w:cs="Symbol"/>
    </w:rPr>
  </w:style>
  <w:style w:type="character" w:customStyle="1" w:styleId="WWCharLFO7LVL2">
    <w:name w:val="WW_CharLFO7LVL2"/>
    <w:qFormat/>
    <w:rPr>
      <w:rFonts w:ascii="Times New Roman" w:hAnsi="Times New Roman" w:cs="Courier New"/>
    </w:rPr>
  </w:style>
  <w:style w:type="character" w:customStyle="1" w:styleId="WWCharLFO7LVL3">
    <w:name w:val="WW_CharLFO7LVL3"/>
    <w:qFormat/>
    <w:rPr>
      <w:rFonts w:ascii="Wingdings" w:hAnsi="Wingdings" w:cs="Wingdings"/>
    </w:rPr>
  </w:style>
  <w:style w:type="character" w:customStyle="1" w:styleId="WWCharLFO7LVL4">
    <w:name w:val="WW_CharLFO7LVL4"/>
    <w:qFormat/>
    <w:rPr>
      <w:rFonts w:ascii="Symbol" w:hAnsi="Symbol" w:cs="Symbol"/>
    </w:rPr>
  </w:style>
  <w:style w:type="character" w:customStyle="1" w:styleId="WWCharLFO7LVL5">
    <w:name w:val="WW_CharLFO7LVL5"/>
    <w:qFormat/>
    <w:rPr>
      <w:rFonts w:ascii="Times New Roman" w:hAnsi="Times New Roman" w:cs="Courier New"/>
    </w:rPr>
  </w:style>
  <w:style w:type="character" w:customStyle="1" w:styleId="WWCharLFO7LVL6">
    <w:name w:val="WW_CharLFO7LVL6"/>
    <w:qFormat/>
    <w:rPr>
      <w:rFonts w:ascii="Wingdings" w:hAnsi="Wingdings" w:cs="Wingdings"/>
    </w:rPr>
  </w:style>
  <w:style w:type="character" w:customStyle="1" w:styleId="WWCharLFO7LVL7">
    <w:name w:val="WW_CharLFO7LVL7"/>
    <w:qFormat/>
    <w:rPr>
      <w:rFonts w:ascii="Symbol" w:hAnsi="Symbol" w:cs="Symbol"/>
    </w:rPr>
  </w:style>
  <w:style w:type="character" w:customStyle="1" w:styleId="WWCharLFO7LVL8">
    <w:name w:val="WW_CharLFO7LVL8"/>
    <w:qFormat/>
    <w:rPr>
      <w:rFonts w:ascii="Times New Roman" w:hAnsi="Times New Roman" w:cs="Courier New"/>
    </w:rPr>
  </w:style>
  <w:style w:type="character" w:customStyle="1" w:styleId="WWCharLFO7LVL9">
    <w:name w:val="WW_CharLFO7LVL9"/>
    <w:qFormat/>
    <w:rPr>
      <w:rFonts w:ascii="Wingdings" w:hAnsi="Wingdings" w:cs="Wingdings"/>
    </w:rPr>
  </w:style>
  <w:style w:type="character" w:customStyle="1" w:styleId="WWCharLFO10LVL1">
    <w:name w:val="WW_CharLFO10LVL1"/>
    <w:qFormat/>
    <w:rPr>
      <w:rFonts w:ascii="OpenSymbol;Symbol" w:eastAsia="OpenSymbol;Symbol" w:hAnsi="OpenSymbol;Symbol" w:cs="OpenSymbol;Symbol"/>
    </w:rPr>
  </w:style>
  <w:style w:type="character" w:customStyle="1" w:styleId="WWCharLFO10LVL2">
    <w:name w:val="WW_CharLFO10LVL2"/>
    <w:qFormat/>
    <w:rPr>
      <w:rFonts w:ascii="OpenSymbol;Symbol" w:eastAsia="OpenSymbol;Symbol" w:hAnsi="OpenSymbol;Symbol" w:cs="OpenSymbol;Symbol"/>
    </w:rPr>
  </w:style>
  <w:style w:type="character" w:customStyle="1" w:styleId="WWCharLFO10LVL3">
    <w:name w:val="WW_CharLFO10LVL3"/>
    <w:qFormat/>
    <w:rPr>
      <w:rFonts w:ascii="OpenSymbol;Symbol" w:eastAsia="OpenSymbol;Symbol" w:hAnsi="OpenSymbol;Symbol" w:cs="OpenSymbol;Symbol"/>
    </w:rPr>
  </w:style>
  <w:style w:type="character" w:customStyle="1" w:styleId="WWCharLFO10LVL4">
    <w:name w:val="WW_CharLFO10LVL4"/>
    <w:qFormat/>
    <w:rPr>
      <w:rFonts w:ascii="OpenSymbol;Symbol" w:eastAsia="OpenSymbol;Symbol" w:hAnsi="OpenSymbol;Symbol" w:cs="OpenSymbol;Symbol"/>
    </w:rPr>
  </w:style>
  <w:style w:type="character" w:customStyle="1" w:styleId="WWCharLFO10LVL5">
    <w:name w:val="WW_CharLFO10LVL5"/>
    <w:qFormat/>
    <w:rPr>
      <w:rFonts w:ascii="OpenSymbol;Symbol" w:eastAsia="OpenSymbol;Symbol" w:hAnsi="OpenSymbol;Symbol" w:cs="OpenSymbol;Symbol"/>
    </w:rPr>
  </w:style>
  <w:style w:type="character" w:customStyle="1" w:styleId="WWCharLFO10LVL6">
    <w:name w:val="WW_CharLFO10LVL6"/>
    <w:qFormat/>
    <w:rPr>
      <w:rFonts w:ascii="OpenSymbol;Symbol" w:eastAsia="OpenSymbol;Symbol" w:hAnsi="OpenSymbol;Symbol" w:cs="OpenSymbol;Symbol"/>
    </w:rPr>
  </w:style>
  <w:style w:type="character" w:customStyle="1" w:styleId="WWCharLFO10LVL7">
    <w:name w:val="WW_CharLFO10LVL7"/>
    <w:qFormat/>
    <w:rPr>
      <w:rFonts w:ascii="OpenSymbol;Symbol" w:eastAsia="OpenSymbol;Symbol" w:hAnsi="OpenSymbol;Symbol" w:cs="OpenSymbol;Symbol"/>
    </w:rPr>
  </w:style>
  <w:style w:type="character" w:customStyle="1" w:styleId="WWCharLFO10LVL8">
    <w:name w:val="WW_CharLFO10LVL8"/>
    <w:qFormat/>
    <w:rPr>
      <w:rFonts w:ascii="OpenSymbol;Symbol" w:eastAsia="OpenSymbol;Symbol" w:hAnsi="OpenSymbol;Symbol" w:cs="OpenSymbol;Symbol"/>
    </w:rPr>
  </w:style>
  <w:style w:type="character" w:customStyle="1" w:styleId="WWCharLFO10LVL9">
    <w:name w:val="WW_CharLFO10LVL9"/>
    <w:qFormat/>
    <w:rPr>
      <w:rFonts w:ascii="OpenSymbol;Symbol" w:eastAsia="OpenSymbol;Symbol" w:hAnsi="OpenSymbol;Symbol" w:cs="OpenSymbol;Symbol"/>
    </w:rPr>
  </w:style>
  <w:style w:type="character" w:customStyle="1" w:styleId="WWCharLFO13LVL1">
    <w:name w:val="WW_CharLFO13LVL1"/>
    <w:qFormat/>
    <w:rPr>
      <w:rFonts w:ascii="Times New Roman" w:hAnsi="Times New Roman" w:cs="Times New Roman"/>
      <w:b/>
      <w:bCs w:val="0"/>
      <w:sz w:val="24"/>
      <w:szCs w:val="24"/>
    </w:rPr>
  </w:style>
  <w:style w:type="character" w:customStyle="1" w:styleId="WWCharLFO13LVL2">
    <w:name w:val="WW_CharLFO13LVL2"/>
    <w:qFormat/>
    <w:rPr>
      <w:b w:val="0"/>
      <w:bCs/>
      <w:sz w:val="24"/>
      <w:szCs w:val="24"/>
    </w:rPr>
  </w:style>
  <w:style w:type="character" w:customStyle="1" w:styleId="WWCharLFO13LVL3">
    <w:name w:val="WW_CharLFO13LVL3"/>
    <w:qFormat/>
    <w:rPr>
      <w:rFonts w:ascii="Times New Roman" w:hAnsi="Times New Roman" w:cs="Times New Roman"/>
      <w:sz w:val="24"/>
      <w:szCs w:val="24"/>
    </w:rPr>
  </w:style>
  <w:style w:type="character" w:customStyle="1" w:styleId="WWCharLFO15LVL1">
    <w:name w:val="WW_CharLFO15LVL1"/>
    <w:qFormat/>
    <w:rPr>
      <w:rFonts w:ascii="Times New Roman" w:hAnsi="Times New Roman" w:cs="Times New Roman"/>
      <w:i w:val="0"/>
    </w:rPr>
  </w:style>
  <w:style w:type="character" w:customStyle="1" w:styleId="WWCharLFO15LVL2">
    <w:name w:val="WW_CharLFO15LVL2"/>
    <w:qFormat/>
    <w:rPr>
      <w:rFonts w:ascii="Times New Roman" w:hAnsi="Times New Roman" w:cs="Courier New"/>
    </w:rPr>
  </w:style>
  <w:style w:type="character" w:customStyle="1" w:styleId="WWCharLFO15LVL3">
    <w:name w:val="WW_CharLFO15LVL3"/>
    <w:qFormat/>
    <w:rPr>
      <w:rFonts w:ascii="Wingdings" w:hAnsi="Wingdings" w:cs="Wingdings"/>
    </w:rPr>
  </w:style>
  <w:style w:type="character" w:customStyle="1" w:styleId="WWCharLFO15LVL4">
    <w:name w:val="WW_CharLFO15LVL4"/>
    <w:qFormat/>
    <w:rPr>
      <w:rFonts w:ascii="Symbol" w:hAnsi="Symbol" w:cs="Symbol"/>
    </w:rPr>
  </w:style>
  <w:style w:type="character" w:customStyle="1" w:styleId="WWCharLFO15LVL5">
    <w:name w:val="WW_CharLFO15LVL5"/>
    <w:qFormat/>
    <w:rPr>
      <w:rFonts w:ascii="Times New Roman" w:hAnsi="Times New Roman" w:cs="Courier New"/>
    </w:rPr>
  </w:style>
  <w:style w:type="character" w:customStyle="1" w:styleId="WWCharLFO15LVL6">
    <w:name w:val="WW_CharLFO15LVL6"/>
    <w:qFormat/>
    <w:rPr>
      <w:rFonts w:ascii="Wingdings" w:hAnsi="Wingdings" w:cs="Wingdings"/>
    </w:rPr>
  </w:style>
  <w:style w:type="character" w:customStyle="1" w:styleId="WWCharLFO15LVL7">
    <w:name w:val="WW_CharLFO15LVL7"/>
    <w:qFormat/>
    <w:rPr>
      <w:rFonts w:ascii="Symbol" w:hAnsi="Symbol" w:cs="Symbol"/>
    </w:rPr>
  </w:style>
  <w:style w:type="character" w:customStyle="1" w:styleId="WWCharLFO15LVL8">
    <w:name w:val="WW_CharLFO15LVL8"/>
    <w:qFormat/>
    <w:rPr>
      <w:rFonts w:ascii="Times New Roman" w:hAnsi="Times New Roman" w:cs="Courier New"/>
    </w:rPr>
  </w:style>
  <w:style w:type="character" w:customStyle="1" w:styleId="WWCharLFO15LVL9">
    <w:name w:val="WW_CharLFO15LVL9"/>
    <w:qFormat/>
    <w:rPr>
      <w:rFonts w:ascii="Wingdings" w:hAnsi="Wingdings" w:cs="Wingdings"/>
    </w:rPr>
  </w:style>
  <w:style w:type="paragraph" w:customStyle="1" w:styleId="1">
    <w:name w:val="Заголовок1"/>
    <w:basedOn w:val="Standard"/>
    <w:next w:val="Textbody"/>
    <w:qFormat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Textbody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Standard"/>
    <w:qFormat/>
    <w:pPr>
      <w:suppressLineNumbers/>
    </w:pPr>
  </w:style>
  <w:style w:type="paragraph" w:styleId="a8">
    <w:name w:val="Title"/>
    <w:basedOn w:val="a"/>
    <w:next w:val="a5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List Paragraph"/>
    <w:basedOn w:val="a"/>
    <w:qFormat/>
    <w:pPr>
      <w:widowControl/>
      <w:suppressAutoHyphens w:val="0"/>
      <w:spacing w:after="200" w:line="276" w:lineRule="auto"/>
      <w:ind w:left="720"/>
      <w:textAlignment w:val="auto"/>
    </w:pPr>
    <w:rPr>
      <w:rFonts w:cs="Times New Roman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akutskenergo.ru/procurement/information-for-partne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8</Pages>
  <Words>2919</Words>
  <Characters>16639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ПАО "Якутскэнерго"</Company>
  <LinksUpToDate>false</LinksUpToDate>
  <CharactersWithSpaces>19519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Чащинова Валентина Александровна</dc:creator>
  <dc:description/>
  <cp:lastModifiedBy>Чащинова Валентина Александровна</cp:lastModifiedBy>
  <cp:revision>13</cp:revision>
  <dcterms:created xsi:type="dcterms:W3CDTF">2025-08-28T02:34:00Z</dcterms:created>
  <dcterms:modified xsi:type="dcterms:W3CDTF">2026-05-29T02:47:00Z</dcterms:modified>
  <dc:language>ru-RU</dc:language>
</cp:coreProperties>
</file>