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2026г.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b/>
          <w:color w:val="00000A"/>
          <w:lang w:val="ru-RU"/>
        </w:rPr>
        <w:t>(</w:t>
      </w:r>
      <w:r>
        <w:rPr>
          <w:color w:val="00000A"/>
        </w:rPr>
        <w:t>АО «</w:t>
      </w:r>
      <w:r>
        <w:rPr>
          <w:color w:val="00000A"/>
          <w:lang w:val="ru-RU"/>
        </w:rPr>
        <w:t>ДРСК</w:t>
      </w:r>
      <w:r>
        <w:rPr>
          <w:color w:val="00000A"/>
        </w:rPr>
        <w:t xml:space="preserve">») (далее – «Заказчик»), в лице </w:t>
      </w:r>
      <w:r>
        <w:rPr>
          <w:color w:val="00000A"/>
          <w:sz w:val="24"/>
          <w:szCs w:val="24"/>
        </w:rPr>
        <w:t xml:space="preserve">директора филиала </w:t>
      </w:r>
      <w:r>
        <w:rPr>
          <w:b/>
          <w:bCs/>
          <w:color w:val="00000A"/>
          <w:sz w:val="24"/>
          <w:szCs w:val="24"/>
        </w:rPr>
        <w:t>АО «ДРСК»  «Электрические сети ЕАО»</w:t>
      </w:r>
      <w:r>
        <w:rPr>
          <w:color w:val="00000A"/>
          <w:sz w:val="24"/>
          <w:szCs w:val="24"/>
        </w:rPr>
        <w:t xml:space="preserve"> </w:t>
      </w:r>
      <w:r>
        <w:rPr>
          <w:rFonts w:eastAsia="Times New Roman" w:cs="Times New Roman"/>
          <w:b/>
          <w:bCs w:val="false"/>
          <w:color w:val="00000A"/>
          <w:kern w:val="0"/>
          <w:sz w:val="24"/>
          <w:szCs w:val="24"/>
          <w:shd w:fill="auto" w:val="clear"/>
          <w:lang w:val="ru-RU" w:eastAsia="ru-RU" w:bidi="ar-SA"/>
        </w:rPr>
        <w:t>Демьянова Антона Васильевича</w:t>
      </w:r>
      <w:r>
        <w:rPr>
          <w:rFonts w:eastAsia="Times New Roman" w:cs="Times New Roman"/>
          <w:b w:val="false"/>
          <w:bCs w:val="false"/>
          <w:color w:val="00000A"/>
          <w:kern w:val="0"/>
          <w:sz w:val="24"/>
          <w:szCs w:val="24"/>
          <w:shd w:fill="auto" w:val="clear"/>
          <w:lang w:val="ru-RU" w:eastAsia="ru-RU" w:bidi="ar-SA"/>
        </w:rPr>
        <w:t xml:space="preserve">, действующего на основании доверенности № 8 от 01.01.2026 г </w:t>
      </w:r>
      <w:r>
        <w:rPr>
          <w:color w:val="00000A"/>
        </w:rPr>
        <w:t xml:space="preserve">,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 xml:space="preserve">по результатам проведенной Заказчиком конкурентной процедуры по лоту № </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 xml:space="preserve">на основании </w:t>
      </w:r>
      <w:r>
        <w:rPr>
          <w:bCs/>
          <w:color w:val="00000A"/>
          <w:highlight w:val="lightGray"/>
          <w:lang w:val="ru-RU"/>
        </w:rPr>
        <w:t xml:space="preserve">протокола о </w:t>
      </w:r>
      <w:r>
        <w:rPr>
          <w:bCs/>
          <w:color w:val="000000"/>
          <w:shd w:fill="CCCCCC" w:val="clear"/>
          <w:lang w:val="ru-RU"/>
        </w:rPr>
        <w:t>результатах</w:t>
      </w:r>
      <w:r>
        <w:rPr>
          <w:bCs/>
          <w:color w:val="00000A"/>
          <w:highlight w:val="lightGray"/>
        </w:rPr>
        <w:t xml:space="preserve"> </w:t>
      </w:r>
      <w:r>
        <w:rPr>
          <w:bCs/>
          <w:color w:val="00000A"/>
          <w:highlight w:val="lightGray"/>
          <w:lang w:val="ru-RU"/>
        </w:rPr>
        <w:t>__________</w:t>
      </w:r>
      <w:r>
        <w:rPr>
          <w:bCs/>
          <w:color w:val="00000A"/>
          <w:highlight w:val="lightGray"/>
        </w:rPr>
        <w:t xml:space="preserve"> №_______ от «___»__________ года</w:t>
      </w:r>
      <w:r>
        <w:rPr>
          <w:bCs/>
          <w:color w:val="00000A"/>
          <w:highlight w:val="lightGray"/>
          <w:lang w:val="ru-RU"/>
        </w:rPr>
        <w:t xml:space="preserve">, </w:t>
      </w: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lang w:eastAsia="en-US"/>
        </w:rPr>
      </w:pPr>
      <w:r>
        <w:rPr>
          <w:b/>
          <w:lang w:eastAsia="en-US"/>
        </w:rPr>
        <w:t>«Гарантийный срок»</w:t>
      </w:r>
      <w:r>
        <w:rP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highlight w:val="white"/>
        </w:rPr>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Технических требованиях (Приложение № 1 к Договору).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lang w:eastAsia="en-US"/>
        </w:rPr>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fals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w:t>
      </w:r>
      <w:r>
        <w:rPr>
          <w:b w:val="false"/>
          <w:sz w:val="24"/>
          <w:szCs w:val="24"/>
          <w:lang w:eastAsia="ru-RU"/>
        </w:rPr>
        <w:t>езультат</w:t>
      </w:r>
      <w:r>
        <w:rPr>
          <w:b w:val="false"/>
          <w:sz w:val="24"/>
          <w:szCs w:val="24"/>
          <w:lang w:val="ru-RU" w:eastAsia="ru-RU"/>
        </w:rPr>
        <w:t>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Технических требованиях (Приложение № 1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w:t>
      </w:r>
      <w:r>
        <w:rPr>
          <w:bCs/>
          <w:sz w:val="24"/>
          <w:szCs w:val="24"/>
          <w:shd w:fill="FFFFFF" w:val="clear"/>
        </w:rPr>
        <w:t>вреждения строительных конструкций и участков сетей (систем) инженерно-технического обеспечения.</w:t>
      </w:r>
    </w:p>
    <w:p>
      <w:pPr>
        <w:pStyle w:val="Normal"/>
        <w:spacing w:lineRule="auto" w:line="240"/>
        <w:ind w:firstLine="709"/>
        <w:rPr>
          <w:sz w:val="24"/>
          <w:szCs w:val="24"/>
          <w:lang w:val="x-none" w:eastAsia="en-US"/>
        </w:rPr>
      </w:pPr>
      <w:r>
        <w:rPr>
          <w:b/>
          <w:sz w:val="24"/>
          <w:szCs w:val="24"/>
          <w:shd w:fill="FFFFFF" w:val="clear"/>
          <w:lang w:eastAsia="en-US"/>
        </w:rPr>
        <w:t>«Субъект МСП»</w:t>
      </w:r>
      <w:r>
        <w:rPr>
          <w:sz w:val="24"/>
          <w:szCs w:val="24"/>
          <w:shd w:fill="FFFFFF" w:val="clear"/>
          <w:lang w:eastAsia="en-US"/>
        </w:rPr>
        <w:t xml:space="preserve"> – субъект</w:t>
      </w:r>
      <w:r>
        <w:rPr>
          <w:sz w:val="24"/>
          <w:szCs w:val="24"/>
          <w:lang w:eastAsia="en-US"/>
        </w:rPr>
        <w:t xml:space="preserve"> малого и среднего предпринимательства.</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w:t>
      </w:r>
      <w:r>
        <w:rPr>
          <w:b w:val="false"/>
          <w:sz w:val="24"/>
          <w:szCs w:val="24"/>
          <w:shd w:fill="auto" w:val="clear"/>
          <w:lang w:val="ru-RU" w:eastAsia="en-US"/>
        </w:rPr>
        <w:t>абот.</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708"/>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0" w:name="_Ref361410951"/>
      <w:r>
        <w:rPr>
          <w:bCs/>
        </w:rPr>
        <w:t>Подрядчик обязуется по заданию Заказчика в соответствии с Техническими требованиями (Приложение № 1 к Договору) выполнить работы</w:t>
      </w:r>
      <w:bookmarkEnd w:id="0"/>
      <w:r>
        <w:rPr>
          <w:bCs/>
        </w:rPr>
        <w:t xml:space="preserve">: </w:t>
      </w:r>
      <w:r>
        <w:rPr>
          <w:rFonts w:eastAsia="Times New Roman" w:cs="Times New Roman"/>
          <w:b/>
          <w:bCs/>
          <w:color w:val="00000A"/>
          <w:kern w:val="0"/>
          <w:sz w:val="24"/>
          <w:szCs w:val="24"/>
          <w:lang w:val="ru-RU" w:eastAsia="ru-RU" w:bidi="ar-SA"/>
        </w:rPr>
        <w:t>ОКПД2 42.22.22.140. Выполнение работ по восстановлению благоустройства, нарушенного при ведении хозяйственной деятельности филиала «Электрические сети Еврейской автономной области» на территории Городского РЭС, в рамках выполнения годовой программы ремонтов 2026 года для нужд филиала «Электрические сети Еврейской автономной области»</w:t>
      </w:r>
      <w:r>
        <w:rPr>
          <w:rFonts w:eastAsia="Times New Roman" w:cs="Times New Roman"/>
          <w:bCs/>
          <w:color w:val="00000A"/>
          <w:kern w:val="0"/>
          <w:sz w:val="24"/>
          <w:szCs w:val="24"/>
          <w:lang w:val="ru-RU" w:eastAsia="ru-RU" w:bidi="ar-SA"/>
        </w:rPr>
        <w:t>(далее по тексту – «Работы»), а также сдат</w:t>
      </w:r>
      <w:r>
        <w:rPr>
          <w:bCs/>
        </w:rPr>
        <w:t>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Объем Работ по Договору определяется Техническими требованиями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Филиала АО «ДРСК» «ЭС ЕАО». </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w:t>
      </w:r>
      <w:r>
        <w:rPr>
          <w:bCs/>
          <w:shd w:fill="auto" w:val="clear"/>
        </w:rPr>
        <w:t xml:space="preserve">  территория ЕАО.</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Cs/>
          <w:shd w:fill="auto" w:val="clear"/>
        </w:rPr>
        <w:t>с момента заключения Договора</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rFonts w:eastAsia="Times New Roman" w:cs="" w:cstheme="minorBidi"/>
          <w:b w:val="false"/>
          <w:bCs w:val="false"/>
          <w:color w:val="000000"/>
          <w:kern w:val="0"/>
          <w:sz w:val="22"/>
          <w:szCs w:val="22"/>
          <w:shd w:fill="auto" w:val="clear"/>
          <w:lang w:val="ru-RU" w:eastAsia="ru-RU" w:bidi="ar-SA"/>
        </w:rPr>
        <w:t>В течение 5 месяцев с даты заключения договора но не позднее 30.11.2026.</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 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pPr>
      <w:r>
        <w:rPr>
          <w:bCs/>
        </w:rPr>
        <w:t>В течени</w:t>
      </w:r>
      <w:r>
        <w:rPr>
          <w:rFonts w:eastAsia="Times New Roman" w:cs="Times New Roman"/>
          <w:bCs/>
          <w:color w:val="00000A"/>
          <w:kern w:val="0"/>
          <w:sz w:val="24"/>
          <w:szCs w:val="24"/>
          <w:lang w:val="ru-RU" w:eastAsia="ru-RU" w:bidi="ar-SA"/>
        </w:rPr>
        <w:t>е 3 (трех) р</w:t>
      </w:r>
      <w:r>
        <w:rPr>
          <w:bCs/>
        </w:rPr>
        <w:t>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pPr>
      <w:r>
        <w:rPr/>
        <w:t>место производства Работ,;</w:t>
      </w:r>
    </w:p>
    <w:p>
      <w:pPr>
        <w:pStyle w:val="ListParagraph"/>
        <w:numPr>
          <w:ilvl w:val="0"/>
          <w:numId w:val="5"/>
        </w:numPr>
        <w:shd w:val="clear" w:color="auto" w:fill="FFFFFF"/>
        <w:tabs>
          <w:tab w:val="clear" w:pos="708"/>
          <w:tab w:val="left" w:pos="709" w:leader="none"/>
          <w:tab w:val="left" w:pos="1418" w:leader="none"/>
        </w:tabs>
        <w:ind w:left="0" w:firstLine="709"/>
        <w:jc w:val="both"/>
        <w:rPr/>
      </w:pPr>
      <w:bookmarkStart w:id="2" w:name="_Ref361320734"/>
      <w:bookmarkStart w:id="3" w:name="_Ref361396847"/>
      <w:bookmarkStart w:id="4" w:name="_Ref361401696"/>
      <w:r>
        <w:rPr>
          <w:bCs/>
        </w:rPr>
        <w:t>техническую и иную документацию, указанную в Технических требованиях (Приложение № 1 к Договору), содержащую исходные данные для выполнения Подрядчиком Работ по Договору</w:t>
      </w:r>
      <w:bookmarkEnd w:id="2"/>
      <w:bookmarkEnd w:id="3"/>
      <w:bookmarkEnd w:id="4"/>
      <w:r>
        <w:rPr>
          <w:bCs/>
        </w:rPr>
        <w:t>.</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Техническими требованиями (Приложение № 1 к Договору).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0"/>
          <w:numId w:val="0"/>
        </w:numPr>
        <w:shd w:val="clear" w:color="auto" w:fill="FFFFFF"/>
        <w:tabs>
          <w:tab w:val="clear" w:pos="708"/>
          <w:tab w:val="left" w:pos="709" w:leader="none"/>
        </w:tabs>
        <w:ind w:left="0" w:hanging="0"/>
        <w:jc w:val="both"/>
        <w:rPr/>
      </w:pPr>
      <w:r>
        <w:rPr/>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bCs/>
        </w:rPr>
      </w:pPr>
      <w:r>
        <w:rPr>
          <w:b/>
          <w:bCs/>
        </w:rPr>
        <w:t xml:space="preserve">2.2.8. </w:t>
      </w:r>
      <w:r>
        <w:rPr>
          <w:bCs/>
        </w:rPr>
        <w:t>В случае нарушения Подрядчиком п.2.3.10 настоящего договора Заказчик имеет право:</w:t>
      </w:r>
    </w:p>
    <w:p>
      <w:pPr>
        <w:pStyle w:val="ListParagraph"/>
        <w:ind w:left="0" w:firstLine="709"/>
        <w:jc w:val="both"/>
        <w:rPr>
          <w:bCs/>
        </w:rPr>
      </w:pPr>
      <w:r>
        <w:rPr>
          <w:bCs/>
        </w:rPr>
        <w:t>-о</w:t>
      </w:r>
      <w:r>
        <w:rPr/>
        <w:t xml:space="preserve">тказать в допуске к работам </w:t>
      </w:r>
      <w:r>
        <w:rPr>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bCs/>
        </w:rPr>
      </w:pPr>
      <w:r>
        <w:rPr>
          <w:bCs/>
        </w:rPr>
        <w:t>либо</w:t>
      </w:r>
    </w:p>
    <w:p>
      <w:pPr>
        <w:pStyle w:val="ListParagraph"/>
        <w:ind w:left="0" w:firstLine="709"/>
        <w:jc w:val="both"/>
        <w:rPr/>
      </w:pPr>
      <w:r>
        <w:rPr>
          <w:bCs/>
        </w:rPr>
        <w:t>- допустить работников Подрядчика к работам в соответствии с п.2.1.8</w:t>
      </w:r>
      <w: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ind w:left="0" w:firstLine="709"/>
        <w:jc w:val="both"/>
        <w:rPr/>
      </w:pPr>
      <w:r>
        <w:rPr>
          <w:b/>
          <w:bCs/>
        </w:rPr>
        <w:t xml:space="preserve">2.2.9. </w:t>
      </w:r>
      <w:r>
        <w:rPr>
          <w:rFonts w:ascii="Liberation Serif" w:hAnsi="Liberation Serif"/>
          <w:b w:val="false"/>
          <w:bCs w:val="false"/>
          <w:i w:val="false"/>
          <w:iCs w:val="false"/>
          <w:sz w:val="24"/>
          <w:szCs w:val="24"/>
          <w:shd w:fill="auto" w:val="clear"/>
        </w:rPr>
        <w:t>В любое время т</w:t>
      </w:r>
      <w:r>
        <w:rPr>
          <w:rFonts w:ascii="Liberation Serif" w:hAnsi="Liberation Serif"/>
          <w:b w:val="false"/>
          <w:bCs/>
          <w:i w:val="false"/>
          <w:iCs w:val="false"/>
          <w:sz w:val="24"/>
          <w:szCs w:val="24"/>
          <w:shd w:fill="auto" w:val="clear"/>
        </w:rPr>
        <w:t xml:space="preserve">ребовать от Подрядчика представления информации о наличии </w:t>
      </w:r>
      <w:r>
        <w:rPr>
          <w:rFonts w:ascii="Liberation Serif" w:hAnsi="Liberation Serif"/>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rFonts w:ascii="Liberation Serif" w:hAnsi="Liberation Serif"/>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bCs/>
        </w:rPr>
      </w:pPr>
      <w:r>
        <w:rPr>
          <w:bCs/>
        </w:rPr>
        <w:t>место производства Работ;</w:t>
      </w:r>
    </w:p>
    <w:p>
      <w:pPr>
        <w:pStyle w:val="ListParagraph"/>
        <w:numPr>
          <w:ilvl w:val="0"/>
          <w:numId w:val="15"/>
        </w:numPr>
        <w:shd w:val="clear" w:color="auto" w:fill="FFFFFF"/>
        <w:tabs>
          <w:tab w:val="clear" w:pos="708"/>
          <w:tab w:val="left" w:pos="1418" w:leader="none"/>
        </w:tabs>
        <w:ind w:left="0" w:firstLine="709"/>
        <w:jc w:val="both"/>
        <w:rPr/>
      </w:pPr>
      <w:r>
        <w:rPr>
          <w:bCs/>
        </w:rPr>
        <w:t>техническую и иную документацию, указанную в Технических требованиях (Приложение № 1 к Договору).</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clear" w:pos="708"/>
          <w:tab w:val="left" w:pos="1418" w:leader="none"/>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rPr>
        <w:t>Выдать замечания в отношении технической и иной документации, предоставленной Заказчиком, в течени</w:t>
      </w:r>
      <w:r>
        <w:rPr>
          <w:bCs/>
          <w:shd w:fill="auto" w:val="clear"/>
        </w:rPr>
        <w:t>е 5 (пяти) рабочих дней с даты принятия её по Акту сдачи-приемки технической и иной документации. Отсутс</w:t>
      </w:r>
      <w:r>
        <w:rPr>
          <w:bCs/>
        </w:rPr>
        <w:t>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bCs/>
        </w:rPr>
      </w:pPr>
      <w:r>
        <w:rPr>
          <w:bCs/>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w:t>
      </w:r>
      <w:r>
        <w:rPr>
          <w:bCs/>
          <w:shd w:fill="FFFFFF" w:val="clear"/>
        </w:rPr>
        <w:t>бот;</w:t>
      </w:r>
    </w:p>
    <w:p>
      <w:pPr>
        <w:pStyle w:val="ListParagraph"/>
        <w:numPr>
          <w:ilvl w:val="0"/>
          <w:numId w:val="11"/>
        </w:numPr>
        <w:shd w:val="clear" w:color="auto" w:fill="FFFFFF"/>
        <w:tabs>
          <w:tab w:val="clear" w:pos="708"/>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pPr>
      <w:r>
        <w:rPr/>
        <w:t>Обеспечить:</w:t>
      </w:r>
    </w:p>
    <w:p>
      <w:pPr>
        <w:pStyle w:val="ListParagraph"/>
        <w:numPr>
          <w:ilvl w:val="0"/>
          <w:numId w:val="12"/>
        </w:numPr>
        <w:shd w:val="clear" w:color="auto" w:fill="FFFFFF"/>
        <w:tabs>
          <w:tab w:val="clear" w:pos="708"/>
          <w:tab w:val="left" w:pos="567" w:leader="none"/>
        </w:tabs>
        <w:ind w:left="0" w:firstLine="709"/>
        <w:jc w:val="both"/>
        <w:rPr>
          <w:bCs/>
        </w:rPr>
      </w:pPr>
      <w:r>
        <w:rPr>
          <w:bCs/>
        </w:rPr>
        <w:t xml:space="preserve">участие в саморегулируемой организации, основанной на членстве лиц, </w:t>
      </w:r>
      <w:r>
        <w:rPr/>
        <w:t>осуществляющих строительство</w:t>
      </w:r>
      <w:r>
        <w:rPr>
          <w:bCs/>
        </w:rPr>
        <w:t xml:space="preserve"> (с учетом исключений, предусмотренных законодательством Российской Федерации</w:t>
      </w:r>
      <w:r>
        <w:rPr>
          <w:rStyle w:val="FootnoteReference"/>
          <w:bCs/>
        </w:rPr>
        <w:footnoteReference w:id="2"/>
      </w:r>
      <w:r>
        <w:rPr>
          <w:bCs/>
        </w:rPr>
        <w:t>);</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clear" w:pos="708"/>
          <w:tab w:val="left" w:pos="709" w:leader="none"/>
          <w:tab w:val="left" w:pos="1418" w:leader="none"/>
        </w:tabs>
        <w:ind w:left="0" w:firstLine="709"/>
        <w:jc w:val="both"/>
        <w:rPr>
          <w:bCs/>
        </w:rPr>
      </w:pPr>
      <w:r>
        <w:rPr>
          <w:bCs/>
          <w:sz w:val="24"/>
          <w:szCs w:val="23"/>
          <w:u w:val="none"/>
          <w:lang w:val="ru-RU" w:bidi="ar-SA"/>
        </w:rPr>
        <w:t xml:space="preserve">Не более чем за 3 рабочих дня до начала выполнения работ (вида работ) Подрядчик обязан направить в адрес Заказчика </w:t>
      </w:r>
      <w:r>
        <w:rPr>
          <w:b w:val="false"/>
          <w:bCs w:val="false"/>
          <w:sz w:val="24"/>
          <w:szCs w:val="23"/>
          <w:u w:val="none"/>
          <w:lang w:val="ru-RU" w:bidi="ar-SA"/>
        </w:rPr>
        <w:t xml:space="preserve">уведомление о допуске персонала Подрядчика </w:t>
      </w:r>
      <w:r>
        <w:rPr>
          <w:b w:val="false"/>
          <w:bCs w:val="false"/>
          <w:sz w:val="24"/>
          <w:szCs w:val="23"/>
          <w:u w:val="none"/>
          <w:shd w:fill="auto" w:val="clear"/>
          <w:lang w:val="ru-RU" w:bidi="ar-SA"/>
        </w:rPr>
        <w:t>и/или</w:t>
      </w:r>
      <w:r>
        <w:rPr>
          <w:b w:val="false"/>
          <w:bCs w:val="false"/>
          <w:sz w:val="24"/>
          <w:szCs w:val="23"/>
          <w:u w:val="none"/>
          <w:lang w:val="ru-RU" w:bidi="ar-SA"/>
        </w:rPr>
        <w:t xml:space="preserve"> Субподрядчика к выполнению работ </w:t>
      </w:r>
      <w:r>
        <w:rPr>
          <w:bCs/>
          <w:sz w:val="24"/>
          <w:szCs w:val="23"/>
          <w:u w:val="none"/>
          <w:lang w:val="ru-RU" w:bidi="ar-SA"/>
        </w:rPr>
        <w:t xml:space="preserve">(вида работ) с указанием </w:t>
      </w:r>
      <w:r>
        <w:rPr>
          <w:bCs/>
          <w:sz w:val="24"/>
          <w:szCs w:val="23"/>
          <w:u w:val="none"/>
          <w:shd w:fill="auto" w:val="clear"/>
          <w:lang w:val="ru-RU" w:bidi="ar-SA"/>
        </w:rPr>
        <w:t>в нем</w:t>
      </w:r>
      <w:r>
        <w:rPr>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w:t>
      </w:r>
      <w:r>
        <w:rPr>
          <w:bCs/>
          <w:sz w:val="24"/>
          <w:szCs w:val="23"/>
          <w:u w:val="none"/>
          <w:lang w:val="ru-RU" w:bidi="ar-SA"/>
        </w:rPr>
        <w:t xml:space="preserve"> </w:t>
      </w:r>
      <w:r>
        <w:rPr>
          <w:bCs/>
          <w:sz w:val="24"/>
          <w:szCs w:val="23"/>
          <w:u w:val="none"/>
          <w:shd w:fill="auto" w:val="clear"/>
          <w:lang w:val="ru-RU" w:bidi="ar-SA"/>
        </w:rPr>
        <w:t>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lang w:val="ru-RU" w:bidi="ar-SA"/>
        </w:rPr>
        <w:t>и иных документов, подтверждающих договорные отношения персонала с Подрядчиком.</w:t>
      </w:r>
      <w:r>
        <w:rPr>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clear" w:pos="708"/>
          <w:tab w:val="left" w:pos="1418" w:leader="none"/>
        </w:tabs>
        <w:ind w:left="0" w:firstLine="709"/>
        <w:jc w:val="both"/>
        <w:rPr>
          <w:bCs/>
        </w:rPr>
      </w:pPr>
      <w: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w:t>
      </w:r>
    </w:p>
    <w:p>
      <w:pPr>
        <w:pStyle w:val="ListParagraph"/>
        <w:numPr>
          <w:ilvl w:val="2"/>
          <w:numId w:val="2"/>
        </w:numPr>
        <w:shd w:val="clear" w:color="auto" w:fill="FFFFFF"/>
        <w:tabs>
          <w:tab w:val="clear" w:pos="708"/>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w:t>
      </w:r>
      <w:r>
        <w:rPr>
          <w:shd w:fill="auto" w:val="clear"/>
        </w:rPr>
        <w:t>е уведомление должно быть получено Заказчиком заблаговременно</w:t>
      </w:r>
      <w:r>
        <w:rPr>
          <w:bCs/>
          <w:shd w:fill="auto" w:val="clear"/>
        </w:rPr>
        <w:t xml:space="preserve">, но не позднее, чем за </w:t>
      </w:r>
      <w:r>
        <w:rPr>
          <w:shd w:fill="auto" w:val="clear"/>
        </w:rPr>
        <w:t>5 (пять)</w:t>
      </w:r>
      <w:r>
        <w:rPr>
          <w:bCs/>
          <w:shd w:fill="auto" w:val="clear"/>
        </w:rPr>
        <w:t xml:space="preserve"> раб</w:t>
      </w:r>
      <w:r>
        <w:rPr>
          <w:bCs/>
        </w:rPr>
        <w:t>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8" w:name="_GoBack1"/>
      <w:bookmarkEnd w:id="8"/>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w:t>
      </w:r>
      <w:r>
        <w:rPr>
          <w:shd w:fill="auto" w:val="clear"/>
        </w:rPr>
        <w:t>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 </w:t>
      </w:r>
      <w:r>
        <w:rPr>
          <w:rFonts w:ascii="Liberation Serif" w:hAnsi="Liberation Serif"/>
          <w:b w:val="false"/>
          <w:bCs w:val="false"/>
          <w:i w:val="false"/>
          <w:iCs w:val="false"/>
          <w:sz w:val="24"/>
          <w:szCs w:val="24"/>
          <w:shd w:fill="auto" w:val="clear"/>
        </w:rPr>
        <w:t xml:space="preserve">Соблюдать требования, установленные в Технических требованиях (Приложение №1), в том числе о </w:t>
      </w:r>
      <w:r>
        <w:rPr>
          <w:rFonts w:ascii="Liberation Serif" w:hAnsi="Liberation Serif"/>
          <w:b w:val="false"/>
          <w:bCs/>
          <w:i w:val="false"/>
          <w:iCs w:val="false"/>
          <w:sz w:val="24"/>
          <w:szCs w:val="24"/>
          <w:shd w:fill="auto" w:val="clear"/>
        </w:rPr>
        <w:t xml:space="preserve">наличии </w:t>
      </w:r>
      <w:r>
        <w:rPr>
          <w:rFonts w:ascii="Liberation Serif" w:hAnsi="Liberation Serif"/>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09"/>
        <w:jc w:val="both"/>
        <w:rPr/>
      </w:pPr>
      <w:r>
        <w:rPr>
          <w:rFonts w:ascii="Liberation Serif" w:hAnsi="Liberation Serif"/>
          <w:b w:val="false"/>
          <w:bCs w:val="false"/>
          <w:i w:val="false"/>
          <w:iCs w:val="false"/>
          <w:sz w:val="24"/>
          <w:szCs w:val="24"/>
          <w:shd w:fill="auto" w:val="clear"/>
        </w:rPr>
        <w:t xml:space="preserve"> </w:t>
      </w:r>
      <w:r>
        <w:rPr>
          <w:rFonts w:ascii="Liberation Serif" w:hAnsi="Liberation Serif"/>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информацию о </w:t>
      </w:r>
      <w:r>
        <w:rPr>
          <w:rFonts w:ascii="Liberation Serif" w:hAnsi="Liberation Serif"/>
          <w:b w:val="false"/>
          <w:bCs/>
          <w:i w:val="false"/>
          <w:iCs w:val="false"/>
          <w:caps w:val="false"/>
          <w:smallCaps w:val="false"/>
          <w:sz w:val="24"/>
          <w:szCs w:val="24"/>
          <w:shd w:fill="auto" w:val="clear"/>
        </w:rPr>
        <w:t xml:space="preserve">наличии </w:t>
      </w:r>
      <w:r>
        <w:rPr>
          <w:rFonts w:ascii="Liberation Serif" w:hAnsi="Liberation Serif"/>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ascii="Liberation Serif" w:hAnsi="Liberation Serif"/>
          <w:b w:val="false"/>
          <w:bCs/>
          <w:i w:val="false"/>
          <w:iCs w:val="false"/>
          <w:caps w:val="false"/>
          <w:smallCaps w:val="false"/>
          <w:sz w:val="24"/>
          <w:szCs w:val="24"/>
          <w:shd w:fill="auto" w:val="clear"/>
        </w:rPr>
        <w:t>.</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shd w:val="clear" w:color="auto" w:fill="FFFFFF"/>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rPr>
        <w:t xml:space="preserve">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tabs>
          <w:tab w:val="clear" w:pos="708"/>
          <w:tab w:val="left" w:pos="851" w:leader="none"/>
        </w:tabs>
        <w:ind w:left="0" w:firstLine="709"/>
        <w:jc w:val="both"/>
        <w:rPr>
          <w:highlight w:val="lightGray"/>
        </w:rPr>
      </w:pPr>
      <w:r>
        <w:rPr>
          <w:highlight w:val="lightGray"/>
        </w:rPr>
      </w:r>
    </w:p>
    <w:p>
      <w:pPr>
        <w:pStyle w:val="ListParagraph"/>
        <w:shd w:val="clear" w:color="auto" w:fill="FFFFFF"/>
        <w:tabs>
          <w:tab w:val="clear" w:pos="708"/>
          <w:tab w:val="left" w:pos="1418" w:leader="none"/>
        </w:tabs>
        <w:ind w:left="0" w:firstLine="426"/>
        <w:jc w:val="both"/>
        <w:rPr/>
      </w:pPr>
      <w: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Сметным расчетом (Приложение № 4 к Договору) </w:t>
      </w:r>
      <w:r>
        <w:rPr>
          <w:bCs/>
          <w:shd w:fill="auto" w:val="clear"/>
        </w:rPr>
        <w:t>является твердой</w:t>
      </w:r>
      <w:r>
        <w:rPr>
          <w:bCs/>
        </w:rPr>
        <w:t xml:space="preserve">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t>– «НК РФ»)</w:t>
      </w:r>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shd w:fill="auto" w:val="clear"/>
        </w:rPr>
        <w:t xml:space="preserve">Твердая </w:t>
      </w:r>
      <w:r>
        <w:rPr>
          <w:bCs/>
          <w:shd w:fill="auto" w:val="clear"/>
        </w:rPr>
        <w:t>ц</w:t>
      </w:r>
      <w:r>
        <w:rPr>
          <w:bCs/>
        </w:rPr>
        <w:t xml:space="preserve">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bCs/>
        </w:rPr>
      </w:pPr>
      <w:r>
        <w:rPr>
          <w:bCs/>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выполнение ремонтных работ;</w:t>
      </w:r>
    </w:p>
    <w:p>
      <w:pPr>
        <w:pStyle w:val="ListParagraph"/>
        <w:numPr>
          <w:ilvl w:val="2"/>
          <w:numId w:val="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9" w:name="_Ref361858588"/>
      <w:bookmarkStart w:id="10" w:name="_Ref361834675"/>
      <w:r>
        <w:rPr>
          <w:bCs/>
        </w:rPr>
        <w:t>Оплата по Договору осуществляется Заказчиком в следующем порядке:</w:t>
      </w:r>
      <w:bookmarkEnd w:id="9"/>
      <w:bookmarkEnd w:id="10"/>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szCs w:val="22"/>
        </w:rPr>
        <w:t>Платежи в размере</w:t>
      </w:r>
      <w:r>
        <w:rPr>
          <w:szCs w:val="22"/>
          <w:shd w:fill="FFFFFF" w:val="clear"/>
        </w:rPr>
        <w:t xml:space="preserve"> 100% (ста процентов) от стоимости каждого Этапа Работ выплачиваются в течение </w:t>
      </w:r>
      <w:r>
        <w:rPr>
          <w:shd w:fill="FFFFFF" w:val="clear"/>
        </w:rPr>
        <w:t>7 (семи) рабочих дней</w:t>
      </w:r>
      <w:r>
        <w:rPr>
          <w:rStyle w:val="FootnoteReference"/>
          <w:shd w:fill="FFFFFF" w:val="clear"/>
        </w:rPr>
        <w:footnoteReference w:id="3"/>
      </w:r>
      <w:r>
        <w:rPr>
          <w:shd w:fill="FFFFFF" w:val="clear"/>
        </w:rPr>
        <w:t xml:space="preserve"> </w:t>
      </w:r>
      <w:r>
        <w:rPr>
          <w:szCs w:val="22"/>
          <w:shd w:fill="FFFFFF" w:val="clear"/>
        </w:rPr>
        <w:t>с даты подписания Сторонами документов, указанных в пункте 4.1 Договора, на основании счета, выставленного Подрядчиком, и с учетом пункта 3.4.2 Договора</w:t>
      </w:r>
    </w:p>
    <w:p>
      <w:pPr>
        <w:pStyle w:val="ListParagraph"/>
        <w:numPr>
          <w:ilvl w:val="2"/>
          <w:numId w:val="2"/>
        </w:numPr>
        <w:shd w:val="clear" w:color="auto" w:fill="FFFFFF"/>
        <w:tabs>
          <w:tab w:val="clear" w:pos="708"/>
          <w:tab w:val="left" w:pos="1418" w:leader="none"/>
        </w:tabs>
        <w:ind w:left="0" w:firstLine="709"/>
        <w:jc w:val="both"/>
        <w:rPr>
          <w:highlight w:val="white"/>
        </w:rPr>
      </w:pPr>
      <w:bookmarkStart w:id="11" w:name="_Ref361834178"/>
      <w:bookmarkEnd w:id="11"/>
      <w:r>
        <w:rPr>
          <w:shd w:fill="FFFFFF"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bookmarkStart w:id="12" w:name="_Ref361336647"/>
      <w:bookmarkEnd w:id="1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bookmarkStart w:id="13" w:name="_Ref3613350231"/>
      <w:bookmarkStart w:id="14" w:name="_Ref361834251"/>
      <w:bookmarkEnd w:id="13"/>
      <w:bookmarkEnd w:id="14"/>
      <w:r>
        <w:rPr>
          <w:bCs/>
        </w:rPr>
        <w:t xml:space="preserve">Индексация Цены Договора не допускается. </w:t>
      </w:r>
    </w:p>
    <w:p>
      <w:pPr>
        <w:pStyle w:val="ListParagraph"/>
        <w:numPr>
          <w:ilvl w:val="1"/>
          <w:numId w:val="2"/>
        </w:numPr>
        <w:shd w:val="clear" w:color="auto" w:fill="FFFFFF"/>
        <w:tabs>
          <w:tab w:val="clear" w:pos="708"/>
          <w:tab w:val="left" w:pos="1134"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суммы неустоек (пени, штрафы) за неисполнение и / или ненадлежащее исполнение обязательств по Договору, стоимость работ по устранению недостатков</w:t>
      </w:r>
      <w:r>
        <w:rPr>
          <w:bCs/>
          <w:shd w:fill="FFFFFF" w:val="clear"/>
        </w:rPr>
        <w:t xml:space="preserve"> выполненных Подрядчиком Работ.</w:t>
      </w:r>
    </w:p>
    <w:p>
      <w:pPr>
        <w:pStyle w:val="ListParagraph"/>
        <w:shd w:val="clear" w:color="auto" w:fill="FFFFFF"/>
        <w:tabs>
          <w:tab w:val="clear" w:pos="708"/>
          <w:tab w:val="left" w:pos="1134" w:leader="none"/>
        </w:tabs>
        <w:ind w:left="0" w:firstLine="709"/>
        <w:jc w:val="both"/>
        <w:rPr>
          <w:highlight w:val="white"/>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08"/>
          <w:tab w:val="left" w:pos="1134" w:leader="none"/>
        </w:tabs>
        <w:ind w:left="0" w:firstLine="709"/>
        <w:jc w:val="both"/>
        <w:rPr/>
      </w:pPr>
      <w:bookmarkStart w:id="15" w:name="_Ref361336865"/>
      <w:r>
        <w:rPr>
          <w:bCs/>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1418" w:leader="none"/>
        </w:tabs>
        <w:ind w:left="0" w:firstLine="709"/>
        <w:jc w:val="both"/>
        <w:rPr/>
      </w:pPr>
      <w:r>
        <w:rPr/>
        <w:t>Акт КС-2, Справку КС-3 в 3 (трех) экземплярах</w:t>
      </w:r>
      <w:r>
        <w:rPr>
          <w:bCs/>
        </w:rPr>
        <w:t xml:space="preserve"> с</w:t>
      </w:r>
      <w:r>
        <w:rPr>
          <w:bCs/>
          <w:shd w:fill="FFFFFF" w:val="clear"/>
        </w:rPr>
        <w:t xml:space="preserve"> приложением Приемо-сдаточной документации;</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shd w:fill="auto" w:val="clear"/>
        </w:rPr>
        <w:t>Акт</w:t>
      </w:r>
      <w:r>
        <w:rPr>
          <w:bCs/>
          <w:shd w:fill="auto" w:val="clear"/>
        </w:rPr>
        <w:t xml:space="preserve"> ОС-3 в 2 (двух) экземплярах</w:t>
      </w:r>
      <w:bookmarkEnd w:id="15"/>
      <w:r>
        <w:rPr>
          <w:shd w:fill="auto" w:val="clear"/>
        </w:rPr>
        <w:t>.</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bCs/>
        </w:rPr>
      </w:pPr>
      <w:bookmarkStart w:id="16" w:name="_Ref361337635"/>
      <w:bookmarkEnd w:id="16"/>
      <w:r>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shd w:val="clear" w:color="auto" w:fill="FFFFFF"/>
        <w:tabs>
          <w:tab w:val="clear" w:pos="708"/>
          <w:tab w:val="left" w:pos="1134" w:leader="none"/>
        </w:tabs>
        <w:ind w:left="0" w:hanging="0"/>
        <w:jc w:val="both"/>
        <w:rPr/>
      </w:pPr>
      <w:r>
        <w:rPr/>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bCs/>
        </w:rPr>
      </w:pPr>
      <w:bookmarkStart w:id="17" w:name="_Ref361405028"/>
      <w:r>
        <w:rPr>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t>КС-2</w:t>
      </w:r>
      <w:bookmarkEnd w:id="17"/>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08"/>
          <w:tab w:val="left" w:pos="284" w:leader="none"/>
          <w:tab w:val="left" w:pos="1134" w:leader="none"/>
        </w:tabs>
        <w:ind w:left="0" w:hanging="0"/>
        <w:jc w:val="center"/>
        <w:rPr>
          <w:b/>
          <w:bCs/>
        </w:rPr>
      </w:pPr>
      <w:r>
        <w:rPr>
          <w:b/>
          <w:bCs/>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 </w:t>
      </w:r>
      <w:r>
        <w:rPr>
          <w:rFonts w:eastAsia="Times New Roman" w:ascii="Liberation Serif" w:hAnsi="Liberation Serif"/>
          <w:bCs/>
          <w:sz w:val="24"/>
          <w:szCs w:val="24"/>
          <w:shd w:fill="FFFFFF" w:val="clear"/>
        </w:rPr>
        <w:t>В</w:t>
      </w:r>
      <w:r>
        <w:rPr>
          <w:rFonts w:ascii="Liberation Serif" w:hAnsi="Liberation Serif"/>
          <w:bCs/>
          <w:sz w:val="24"/>
          <w:szCs w:val="24"/>
          <w:shd w:fill="FFFFFF" w:val="clear"/>
        </w:rPr>
        <w:t xml:space="preserve">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0,01 (ноль целых одна сотая) процента от несвоевременно оплаченной суммы за каждый день просрочки, </w:t>
      </w:r>
      <w:r>
        <w:rPr>
          <w:rFonts w:eastAsia="Times New Roman" w:ascii="Liberation Serif" w:hAnsi="Liberation Serif"/>
          <w:bCs/>
          <w:sz w:val="24"/>
          <w:szCs w:val="24"/>
          <w:shd w:fill="FFFFFF" w:val="clear"/>
        </w:rPr>
        <w:t xml:space="preserve">но не более 5 % от Цены Договора, </w:t>
      </w:r>
      <w:r>
        <w:rPr>
          <w:rFonts w:ascii="Liberation Serif" w:hAnsi="Liberation Serif"/>
          <w:bCs/>
          <w:sz w:val="24"/>
          <w:szCs w:val="24"/>
          <w:shd w:fill="FFFFFF" w:val="clear"/>
        </w:rPr>
        <w:t>начиная с 31 (тридцать первого) календарного дня просрочки (неустойка с 1 по 30 день просрочки не начисляется).</w:t>
      </w:r>
    </w:p>
    <w:p>
      <w:pPr>
        <w:pStyle w:val="Normal"/>
        <w:numPr>
          <w:ilvl w:val="1"/>
          <w:numId w:val="2"/>
        </w:numPr>
        <w:tabs>
          <w:tab w:val="clear" w:pos="708"/>
          <w:tab w:val="left" w:pos="1134" w:leader="none"/>
        </w:tabs>
        <w:spacing w:lineRule="auto" w:line="240"/>
        <w:ind w:left="0" w:firstLine="709"/>
        <w:rPr>
          <w:highlight w:val="white"/>
        </w:rPr>
      </w:pPr>
      <w:r>
        <w:rPr>
          <w:bCs/>
          <w:sz w:val="24"/>
          <w:szCs w:val="24"/>
          <w:shd w:fill="FFFFFF" w:val="clear"/>
        </w:rPr>
        <w:t xml:space="preserve">В случае </w:t>
      </w:r>
      <w:r>
        <w:rPr>
          <w:sz w:val="24"/>
          <w:szCs w:val="24"/>
          <w:shd w:fill="FFFFFF"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rFonts w:eastAsia="Calibri"/>
          <w:bCs/>
          <w:shd w:fill="FFFFFF"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ind w:left="0" w:firstLine="709"/>
        <w:jc w:val="both"/>
        <w:rPr>
          <w:bCs/>
        </w:rPr>
      </w:pPr>
      <w:r>
        <w:rPr>
          <w:rFonts w:eastAsia="Calibri"/>
          <w:bCs/>
          <w:shd w:fill="FFFFFF" w:val="clear"/>
        </w:rPr>
        <w:t>Неустойки в размере 0,1 (ноль целых и одна десятая) процента от Цены Договора</w:t>
      </w:r>
      <w:r>
        <w:rPr>
          <w:rFonts w:eastAsia="Calibri"/>
          <w:bCs/>
          <w:highlight w:val="lightGray"/>
        </w:rPr>
        <w:t>/</w:t>
      </w:r>
      <w:r>
        <w:rPr>
          <w:rFonts w:eastAsia="Calibri"/>
          <w:bCs/>
          <w:shd w:fill="auto" w:val="clear"/>
        </w:rPr>
        <w:t>Объекта за каждый день просрочки – в случае несвоевременного устранения</w:t>
      </w:r>
      <w:r>
        <w:rPr>
          <w:rFonts w:eastAsia="Calibri"/>
          <w:bCs/>
          <w:shd w:fill="FFFFFF" w:val="clear"/>
        </w:rPr>
        <w:t xml:space="preserve"> недостатков, влияющих на возможность эксплуатации (использования) Результата Работ </w:t>
      </w:r>
      <w:r>
        <w:rPr>
          <w:bCs/>
          <w:shd w:fill="FFFFFF" w:val="clear"/>
        </w:rPr>
        <w:t xml:space="preserve">в целом </w:t>
      </w:r>
      <w:r>
        <w:rPr>
          <w:rFonts w:eastAsia="Calibri"/>
          <w:bCs/>
          <w:shd w:fill="FFFFFF" w:val="clear"/>
        </w:rPr>
        <w:t xml:space="preserve">по </w:t>
      </w:r>
      <w:r>
        <w:rPr>
          <w:rFonts w:eastAsia="Calibri"/>
          <w:bCs/>
          <w:shd w:fill="auto" w:val="clear"/>
        </w:rPr>
        <w:t xml:space="preserve">Договору и / или соответствующего Объекта; </w:t>
      </w:r>
    </w:p>
    <w:p>
      <w:pPr>
        <w:pStyle w:val="ListParagraph"/>
        <w:numPr>
          <w:ilvl w:val="2"/>
          <w:numId w:val="2"/>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auto" w:val="clear"/>
        </w:rPr>
        <w:t xml:space="preserve">в целом </w:t>
      </w:r>
      <w:r>
        <w:rPr>
          <w:rFonts w:eastAsia="Calibri"/>
          <w:bCs/>
          <w:sz w:val="24"/>
          <w:szCs w:val="24"/>
          <w:shd w:fill="auto" w:val="clear"/>
        </w:rPr>
        <w:t>по Договору и / или соответствующего Объекта.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clear" w:pos="708"/>
          <w:tab w:val="left" w:pos="1134" w:leader="none"/>
        </w:tabs>
        <w:spacing w:lineRule="auto" w:line="240"/>
        <w:ind w:firstLine="709"/>
        <w:rPr>
          <w:bCs/>
        </w:rPr>
      </w:pPr>
      <w:r>
        <w:rPr>
          <w:color w:val="000000"/>
          <w:sz w:val="24"/>
          <w:shd w:fill="auto" w:val="clear"/>
        </w:rPr>
        <w:t>В случае, если неисполнение/ненадлежащее исполнение Подрядчиком обязател</w:t>
      </w:r>
      <w:r>
        <w:rPr>
          <w:color w:val="000000"/>
          <w:sz w:val="24"/>
        </w:rPr>
        <w:t>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val="clear" w:color="auto" w:fill="FFFFFF"/>
        <w:tabs>
          <w:tab w:val="clear" w:pos="708"/>
          <w:tab w:val="left" w:pos="1134"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2"/>
        </w:numPr>
        <w:shd w:val="clear" w:color="auto" w:fill="FFFFFF"/>
        <w:tabs>
          <w:tab w:val="clear" w:pos="708"/>
          <w:tab w:val="left" w:pos="1134" w:leader="none"/>
        </w:tabs>
        <w:ind w:left="0" w:firstLine="709"/>
        <w:jc w:val="both"/>
        <w:rPr>
          <w:bCs/>
        </w:rPr>
      </w:pPr>
      <w:r>
        <w:rPr/>
        <w:t xml:space="preserve"> </w:t>
      </w:r>
      <w:r>
        <w:rPr>
          <w:rFonts w:eastAsia="Times New Roman" w:ascii="Liberation Serif" w:hAnsi="Liberation Serif"/>
          <w:b w:val="false"/>
          <w:bCs w:val="false"/>
          <w:i w:val="false"/>
          <w:iCs w:val="false"/>
          <w:caps w:val="false"/>
          <w:smallCaps w:val="false"/>
          <w:color w:val="000000"/>
          <w:sz w:val="24"/>
          <w:szCs w:val="24"/>
        </w:rPr>
        <w:t>В случае нарушения Подрядчиком требований Технических требований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bCs/>
        </w:rPr>
      </w:pPr>
      <w:r>
        <w:rPr>
          <w:rFonts w:eastAsia="Times New Roman" w:ascii="Liberation Serif" w:hAnsi="Liberation Serif"/>
          <w:b w:val="false"/>
          <w:bCs w:val="false"/>
          <w:i w:val="false"/>
          <w:iCs w:val="false"/>
          <w:caps w:val="false"/>
          <w:smallCaps w:val="false"/>
          <w:color w:val="000000"/>
          <w:sz w:val="24"/>
          <w:szCs w:val="24"/>
        </w:rPr>
        <w:t xml:space="preserve"> </w:t>
      </w:r>
      <w:r>
        <w:rPr>
          <w:rFonts w:eastAsia="Times New Roman" w:ascii="Liberation Serif" w:hAnsi="Liberation Serif"/>
          <w:b w:val="false"/>
          <w:bCs/>
          <w:i w:val="false"/>
          <w:iCs w:val="false"/>
          <w:caps w:val="false"/>
          <w:smallCaps w:val="false"/>
          <w:color w:val="000000"/>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rPr>
      </w:pPr>
      <w:r>
        <w:rPr>
          <w:b/>
          <w:color w:val="000000"/>
          <w:sz w:val="24"/>
          <w:szCs w:val="24"/>
        </w:rPr>
      </w:r>
    </w:p>
    <w:p>
      <w:pPr>
        <w:pStyle w:val="ListParagraph"/>
        <w:numPr>
          <w:ilvl w:val="0"/>
          <w:numId w:val="2"/>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2"/>
        </w:numPr>
        <w:tabs>
          <w:tab w:val="clear" w:pos="708"/>
          <w:tab w:val="left" w:pos="1134" w:leader="none"/>
        </w:tabs>
        <w:spacing w:lineRule="auto" w:line="240"/>
        <w:ind w:left="0" w:firstLine="709"/>
        <w:rPr>
          <w:bCs/>
          <w:sz w:val="24"/>
          <w:szCs w:val="24"/>
        </w:rPr>
      </w:pPr>
      <w:bookmarkStart w:id="18" w:name="_Ref361337777"/>
      <w:r>
        <w:rPr>
          <w:sz w:val="24"/>
          <w:szCs w:val="24"/>
          <w:shd w:fill="auto" w:val="clear"/>
        </w:rPr>
        <w:t>Гарантийный</w:t>
      </w:r>
      <w:r>
        <w:rPr>
          <w:bCs/>
          <w:sz w:val="24"/>
          <w:szCs w:val="24"/>
          <w:shd w:fill="auto" w:val="clear"/>
        </w:rPr>
        <w:t xml:space="preserve"> срок  составляет 6 (шесть) месяцев и начинает течь с даты подписания Сторонами А</w:t>
      </w:r>
      <w:r>
        <w:rPr>
          <w:sz w:val="24"/>
          <w:szCs w:val="24"/>
          <w:shd w:fill="auto" w:val="clear"/>
        </w:rPr>
        <w:t>кта КС-2</w:t>
      </w:r>
      <w:r>
        <w:rPr>
          <w:bCs/>
          <w:sz w:val="24"/>
          <w:szCs w:val="24"/>
          <w:shd w:fill="auto" w:val="clear"/>
        </w:rPr>
        <w:t xml:space="preserve"> </w:t>
      </w:r>
      <w:bookmarkEnd w:id="18"/>
      <w:r>
        <w:rPr>
          <w:bCs/>
          <w:sz w:val="24"/>
          <w:szCs w:val="24"/>
          <w:shd w:fill="auto" w:val="clear"/>
        </w:rPr>
        <w:t>по Объекту либо с даты прекращения (расторжения) Договора. Г</w:t>
      </w:r>
      <w:r>
        <w:rPr>
          <w:bCs/>
          <w:sz w:val="24"/>
          <w:szCs w:val="24"/>
        </w:rPr>
        <w:t xml:space="preserve">арантийный срок может быть продлен в соответствии с условиями Договора. </w:t>
      </w:r>
    </w:p>
    <w:p>
      <w:pPr>
        <w:pStyle w:val="ListParagraph"/>
        <w:numPr>
          <w:ilvl w:val="1"/>
          <w:numId w:val="2"/>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val="clear" w:color="auto" w:fill="FFFFFF"/>
        <w:tabs>
          <w:tab w:val="clear" w:pos="708"/>
          <w:tab w:val="left" w:pos="1134" w:leader="none"/>
        </w:tabs>
        <w:ind w:left="0" w:firstLine="709"/>
        <w:jc w:val="both"/>
        <w:rPr>
          <w:bCs/>
        </w:rPr>
      </w:pPr>
      <w:bookmarkStart w:id="19"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19"/>
      <w:r>
        <w:rPr>
          <w:bCs/>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0" w:name="OLE_LINK5"/>
      <w:bookmarkStart w:id="21" w:name="OLE_LINK6"/>
      <w:r>
        <w:rPr>
          <w:bCs/>
        </w:rPr>
        <w:t>Акте о недостатках, составленном в порядке, установленном пунктом 7.5 Договора</w:t>
      </w:r>
      <w:bookmarkEnd w:id="20"/>
      <w:bookmarkEnd w:id="21"/>
      <w:r>
        <w:rPr>
          <w:bCs/>
        </w:rPr>
        <w:t>.</w:t>
      </w:r>
      <w:r>
        <w:rPr/>
        <w:t xml:space="preserve">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2"/>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bCs/>
        </w:rPr>
      </w:pPr>
      <w:bookmarkStart w:id="22"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2"/>
      <w:r>
        <w:rPr>
          <w:bCs/>
        </w:rPr>
        <w:t xml:space="preserve"> </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bCs/>
        </w:rPr>
      </w:pPr>
      <w:bookmarkStart w:id="23" w:name="_Ref361337832"/>
      <w:bookmarkEnd w:id="23"/>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bCs/>
        </w:rPr>
      </w:pPr>
      <w:bookmarkStart w:id="24" w:name="_Ref361337863"/>
      <w:bookmarkEnd w:id="24"/>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2"/>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Pr>
          <w:bCs/>
          <w:color w:val="000000"/>
          <w:shd w:fill="FFFFFF" w:val="clear"/>
        </w:rPr>
        <w:t>е Применимым правом как дача</w:t>
      </w:r>
      <w:r>
        <w:rPr>
          <w:bCs/>
          <w:color w:val="000000"/>
        </w:rPr>
        <w:t xml:space="preserve">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2"/>
        </w:numPr>
        <w:shd w:val="clear" w:color="auto" w:fill="FFFFFF"/>
        <w:tabs>
          <w:tab w:val="clear" w:pos="708"/>
          <w:tab w:val="left" w:pos="1134" w:leader="none"/>
        </w:tabs>
        <w:ind w:left="0" w:firstLine="709"/>
        <w:jc w:val="both"/>
        <w:rPr>
          <w:bCs/>
        </w:rPr>
      </w:pPr>
      <w:bookmarkStart w:id="25"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5"/>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bCs/>
        </w:rPr>
      </w:pPr>
      <w:bookmarkStart w:id="26" w:name="_Ref361337921"/>
      <w:bookmarkEnd w:id="26"/>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7" w:name="_Ref361337948"/>
      <w:bookmarkEnd w:id="27"/>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bCs/>
        </w:rPr>
      </w:pPr>
      <w:bookmarkStart w:id="28" w:name="_Ref361337980"/>
      <w:bookmarkEnd w:id="28"/>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29" w:name="_Ref373243071"/>
      <w:bookmarkEnd w:id="29"/>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2"/>
        </w:numPr>
        <w:shd w:val="clear" w:color="auto" w:fill="FFFFFF"/>
        <w:tabs>
          <w:tab w:val="clear" w:pos="708"/>
          <w:tab w:val="left" w:pos="1134" w:leader="none"/>
        </w:tabs>
        <w:ind w:left="0" w:firstLine="709"/>
        <w:jc w:val="both"/>
        <w:rPr>
          <w:bCs/>
        </w:rPr>
      </w:pPr>
      <w:bookmarkStart w:id="30" w:name="_Ref361337992"/>
      <w:bookmarkEnd w:id="30"/>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2"/>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состоит в СРО, основанной на членстве лиц, осуществляющих строительство</w:t>
      </w:r>
      <w:r>
        <w:rPr>
          <w:rStyle w:val="FootnoteReference"/>
        </w:rPr>
        <w:footnoteReference w:id="4"/>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Pr>
        <w:footnoteReference w:id="5"/>
      </w:r>
      <w:r>
        <w:rPr/>
        <w:t>;</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w:t>
      </w:r>
      <w:r>
        <w:rPr>
          <w:shd w:fill="auto" w:val="clear"/>
        </w:rPr>
        <w:t>/ 60 (шестьдесят) календарных дней</w:t>
      </w:r>
      <w:bookmarkStart w:id="31" w:name="_GoBack"/>
      <w:bookmarkEnd w:id="31"/>
      <w: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708"/>
          <w:tab w:val="left" w:pos="1134" w:leader="none"/>
        </w:tabs>
        <w:ind w:left="0" w:right="23" w:firstLine="709"/>
        <w:jc w:val="both"/>
        <w:rPr/>
      </w:pPr>
      <w:r>
        <w:rPr/>
        <w:t xml:space="preserve">  </w:t>
      </w:r>
      <w:r>
        <w:rPr>
          <w:rFonts w:ascii="Liberation Serif" w:hAnsi="Liberation Serif"/>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rFonts w:ascii="Liberation Serif" w:hAnsi="Liberation Serif"/>
          <w:b w:val="false"/>
          <w:bCs/>
          <w:i w:val="false"/>
          <w:iCs w:val="false"/>
          <w:caps w:val="false"/>
          <w:smallCaps w:val="false"/>
          <w:color w:val="000000"/>
          <w:sz w:val="24"/>
          <w:szCs w:val="24"/>
          <w:shd w:fill="auto" w:val="clear"/>
        </w:rPr>
        <w:t xml:space="preserve">наличии </w:t>
      </w:r>
      <w:r>
        <w:rPr>
          <w:rFonts w:ascii="Liberation Serif" w:hAnsi="Liberation Serif"/>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п.2.3.44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2"/>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tabs>
          <w:tab w:val="clear" w:pos="708"/>
          <w:tab w:val="left" w:pos="1134" w:leader="none"/>
          <w:tab w:val="left" w:pos="1418" w:leader="none"/>
        </w:tabs>
        <w:ind w:left="0" w:firstLine="709"/>
        <w:jc w:val="both"/>
        <w:rPr>
          <w:bCs/>
        </w:rPr>
      </w:pPr>
      <w:r>
        <w:rPr>
          <w:bCs/>
        </w:rPr>
        <w:t xml:space="preserve">Срок для рассмотрения претензии – 15 (пятнадцать) рабочих дней со дня ее получения. </w:t>
      </w:r>
      <w:r>
        <w:rPr>
          <w:bCs/>
          <w:shd w:fill="auto" w:val="clear"/>
        </w:rPr>
        <w:t>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rPr>
      </w:pPr>
      <w:r>
        <w:rPr>
          <w:b/>
          <w:bCs/>
        </w:rPr>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2"/>
        </w:numPr>
        <w:shd w:val="clear" w:color="auto" w:fill="FFFFFF"/>
        <w:tabs>
          <w:tab w:val="clear" w:pos="708"/>
          <w:tab w:val="left" w:pos="426" w:leader="none"/>
        </w:tabs>
        <w:ind w:left="0" w:hanging="0"/>
        <w:jc w:val="center"/>
        <w:rPr/>
      </w:pPr>
      <w:r>
        <w:rPr>
          <w:b/>
          <w:bCs/>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lightGray"/>
        </w:rPr>
      </w:pPr>
      <w:r>
        <w:rPr>
          <w:shd w:fill="auto" w:val="clear"/>
        </w:rPr>
        <w:t>Д</w:t>
      </w:r>
      <w:r>
        <w:rPr/>
        <w:t xml:space="preserve">оговор вступает в силу с даты его подписания Сторонами и действует до полного исполнения ими принятых на себя обязательств. </w:t>
      </w:r>
      <w:r>
        <w:rPr>
          <w:shd w:fill="auto" w:val="clear"/>
        </w:rPr>
        <w:t>В соответствии с пунктом 2 статьи 425 ГК РФ условия Договора применяются к отношениям Сторон, возникшим с момента подписания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средств электронной связи не допуск</w:t>
      </w:r>
      <w:r>
        <w:rPr/>
        <w:t>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pPr>
      <w:bookmarkStart w:id="32"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2"/>
      <w:r>
        <w:rPr/>
        <w:t xml:space="preserve"> </w:t>
      </w:r>
    </w:p>
    <w:p>
      <w:pPr>
        <w:pStyle w:val="ListParagraph"/>
        <w:numPr>
          <w:ilvl w:val="1"/>
          <w:numId w:val="2"/>
        </w:numPr>
        <w:shd w:val="clear" w:color="auto" w:fill="FFFFFF"/>
        <w:tabs>
          <w:tab w:val="clear" w:pos="708"/>
          <w:tab w:val="left" w:pos="1134" w:leader="none"/>
        </w:tabs>
        <w:ind w:left="0" w:firstLine="709"/>
        <w:jc w:val="both"/>
        <w:rPr>
          <w:bCs/>
        </w:rPr>
      </w:pPr>
      <w:bookmarkStart w:id="33"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3"/>
      <w:r>
        <w:rPr>
          <w:bCs/>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08"/>
          <w:tab w:val="left" w:pos="1701" w:leader="none"/>
        </w:tabs>
        <w:ind w:left="0" w:firstLine="709"/>
        <w:jc w:val="both"/>
        <w:rPr>
          <w:bCs/>
        </w:rPr>
      </w:pPr>
      <w:bookmarkStart w:id="34" w:name="_Ref361338032"/>
      <w:bookmarkEnd w:id="34"/>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auto" w:val="clear"/>
        </w:rPr>
        <w:t>, направленные посредством электронной почты,  долж</w:t>
      </w:r>
      <w:r>
        <w:rPr>
          <w:bCs/>
        </w:rPr>
        <w:t xml:space="preserve">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w:t>
      </w:r>
      <w:r>
        <w:rPr>
          <w:shd w:fill="FFFFFF" w:val="clear"/>
        </w:rPr>
        <w:t>м</w:t>
      </w:r>
      <w:r>
        <w:rPr>
          <w:bCs/>
          <w:shd w:fill="FFFFFF" w:val="clear"/>
        </w:rPr>
        <w:t>.</w:t>
      </w:r>
    </w:p>
    <w:p>
      <w:pPr>
        <w:pStyle w:val="ListParagraph"/>
        <w:numPr>
          <w:ilvl w:val="1"/>
          <w:numId w:val="2"/>
        </w:numPr>
        <w:shd w:val="clear" w:color="auto" w:fill="FFFFFF"/>
        <w:tabs>
          <w:tab w:val="clear" w:pos="708"/>
          <w:tab w:val="left" w:pos="1134" w:leader="none"/>
        </w:tabs>
        <w:ind w:left="0" w:firstLine="709"/>
        <w:jc w:val="both"/>
        <w:rPr/>
      </w:pPr>
      <w:r>
        <w:rPr>
          <w:shd w:fill="FFFFFF" w:val="clear"/>
        </w:rPr>
        <w:t>Во все</w:t>
      </w:r>
      <w:r>
        <w:rPr/>
        <w:t xml:space="preserve">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«Электрические сети ЕАО» расположенный по адресу: 679011, г. Биробиджан, ЕАО, ул. Черноморская, д.6. ИНН/КПП 2801108200/790102001,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ind w:left="0" w:firstLine="709"/>
        <w:jc w:val="both"/>
        <w:rPr/>
      </w:pPr>
      <w:r>
        <w:rPr>
          <w:bCs/>
          <w:iCs/>
          <w:sz w:val="24"/>
        </w:rPr>
        <w:t xml:space="preserve">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филиала АО «ДРСК» «ЭС ЕАО». В случае отсутствия контактной информации поступившие документы не считаются поступившими в филиал АО «ДРСК» «ЭС ЕАО». Ответственным лицом Заказчика на день подписания Договора является Сазонов Виталий Николаевич, е-mail: </w:t>
      </w:r>
      <w:hyperlink r:id="rId5">
        <w:r>
          <w:rPr>
            <w:bCs/>
            <w:iCs/>
            <w:sz w:val="24"/>
          </w:rPr>
          <w:t>sazonov_vn@eao.drsk.ru</w:t>
        </w:r>
      </w:hyperlink>
      <w:r>
        <w:rPr>
          <w:bCs/>
          <w:iCs/>
          <w:sz w:val="24"/>
        </w:rPr>
        <w:t>.</w:t>
      </w:r>
    </w:p>
    <w:p>
      <w:pPr>
        <w:pStyle w:val="ListParagraph"/>
        <w:shd w:val="clear" w:color="auto" w:fill="FFFFFF"/>
        <w:ind w:left="0" w:firstLine="709"/>
        <w:rPr>
          <w:bCs/>
          <w:sz w:val="22"/>
        </w:rPr>
      </w:pPr>
      <w:r>
        <w:rPr>
          <w:bCs/>
          <w:sz w:val="22"/>
        </w:rPr>
      </w:r>
    </w:p>
    <w:p>
      <w:pPr>
        <w:pStyle w:val="ListParagraph"/>
        <w:shd w:val="clear" w:color="auto" w:fill="FFFFFF"/>
        <w:ind w:left="0" w:firstLine="709"/>
        <w:rPr>
          <w:bCs/>
          <w:sz w:val="22"/>
        </w:rPr>
      </w:pPr>
      <w:r>
        <w:rPr>
          <w:bCs/>
          <w:sz w:val="22"/>
        </w:rPr>
      </w:r>
    </w:p>
    <w:p>
      <w:pPr>
        <w:pStyle w:val="ListParagraph"/>
        <w:numPr>
          <w:ilvl w:val="0"/>
          <w:numId w:val="2"/>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ListParagraph"/>
        <w:shd w:val="clear" w:color="auto" w:fill="FFFFFF"/>
        <w:ind w:left="0" w:hanging="0"/>
        <w:jc w:val="both"/>
        <w:rPr>
          <w:bCs/>
        </w:rPr>
      </w:pPr>
      <w:r>
        <w:rPr>
          <w:bCs/>
        </w:rPr>
        <w:t>Приложение № 2 – Перечень Объектов;</w:t>
      </w:r>
    </w:p>
    <w:p>
      <w:pPr>
        <w:pStyle w:val="ListParagraph"/>
        <w:shd w:val="clear" w:color="auto" w:fill="FFFFFF"/>
        <w:ind w:left="0" w:hanging="0"/>
        <w:jc w:val="both"/>
        <w:rPr>
          <w:bCs/>
        </w:rPr>
      </w:pPr>
      <w:r>
        <w:rPr>
          <w:bCs/>
        </w:rPr>
        <w:t>Приложение № 3 – Календарный график выполнения Работ;</w:t>
      </w:r>
    </w:p>
    <w:p>
      <w:pPr>
        <w:pStyle w:val="ListParagraph"/>
        <w:shd w:val="clear" w:color="auto" w:fill="FFFFFF"/>
        <w:ind w:left="0" w:hanging="0"/>
        <w:jc w:val="both"/>
        <w:rPr>
          <w:bCs/>
        </w:rPr>
      </w:pPr>
      <w:r>
        <w:rPr>
          <w:bCs/>
        </w:rPr>
        <w:t>Приложение № 4 – Сметный расчет с приложениями;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numPr>
          <w:ilvl w:val="0"/>
          <w:numId w:val="2"/>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17"/>
        <w:gridCol w:w="345"/>
      </w:tblGrid>
      <w:tr>
        <w:trPr/>
        <w:tc>
          <w:tcPr>
            <w:tcW w:w="4928"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962"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9890"/>
            </w:tblGrid>
            <w:tr>
              <w:trPr/>
              <w:tc>
                <w:tcPr>
                  <w:tcW w:w="9890" w:type="dxa"/>
                  <w:tcBorders/>
                  <w:shd w:color="auto" w:fill="auto" w:val="clear"/>
                </w:tcPr>
                <w:p>
                  <w:pPr>
                    <w:pStyle w:val="Normal"/>
                    <w:widowControl w:val="false"/>
                    <w:spacing w:lineRule="auto" w:line="240"/>
                    <w:ind w:hanging="0"/>
                    <w:rPr>
                      <w:b/>
                      <w:sz w:val="24"/>
                      <w:szCs w:val="24"/>
                    </w:rPr>
                  </w:pPr>
                  <w:r>
                    <w:rPr>
                      <w:b/>
                      <w:sz w:val="24"/>
                      <w:szCs w:val="24"/>
                    </w:rPr>
                    <w:t>ЗАКАЗЧИК:</w:t>
                  </w:r>
                </w:p>
              </w:tc>
            </w:tr>
            <w:tr>
              <w:trPr/>
              <w:tc>
                <w:tcPr>
                  <w:tcW w:w="9890" w:type="dxa"/>
                  <w:tcBorders/>
                  <w:shd w:color="auto" w:fill="auto" w:val="clear"/>
                </w:tcPr>
                <w:p>
                  <w:pPr>
                    <w:pStyle w:val="Normal"/>
                    <w:widowControl w:val="false"/>
                    <w:spacing w:lineRule="auto" w:line="240"/>
                    <w:ind w:hanging="0"/>
                    <w:jc w:val="left"/>
                    <w:rPr>
                      <w:b/>
                      <w:sz w:val="22"/>
                      <w:szCs w:val="22"/>
                    </w:rPr>
                  </w:pPr>
                  <w:r>
                    <w:rPr>
                      <w:b/>
                      <w:sz w:val="22"/>
                      <w:szCs w:val="22"/>
                    </w:rPr>
                    <w:t>Акционерное общество</w:t>
                  </w:r>
                </w:p>
                <w:p>
                  <w:pPr>
                    <w:pStyle w:val="Normal"/>
                    <w:widowControl w:val="false"/>
                    <w:spacing w:lineRule="auto" w:line="240"/>
                    <w:ind w:hanging="0"/>
                    <w:jc w:val="left"/>
                    <w:rPr>
                      <w:b/>
                      <w:sz w:val="22"/>
                      <w:szCs w:val="22"/>
                    </w:rPr>
                  </w:pPr>
                  <w:r>
                    <w:rPr>
                      <w:b/>
                      <w:sz w:val="22"/>
                      <w:szCs w:val="22"/>
                    </w:rPr>
                    <w:t>«Дальневосточная распределительная сетевая компания» (АО «ДРСК»)</w:t>
                  </w:r>
                </w:p>
                <w:p>
                  <w:pPr>
                    <w:pStyle w:val="Normal"/>
                    <w:widowControl w:val="false"/>
                    <w:spacing w:lineRule="auto" w:line="240"/>
                    <w:ind w:hanging="0"/>
                    <w:jc w:val="left"/>
                    <w:rPr>
                      <w:sz w:val="22"/>
                      <w:szCs w:val="22"/>
                    </w:rPr>
                  </w:pPr>
                  <w:r>
                    <w:rPr>
                      <w:sz w:val="22"/>
                      <w:szCs w:val="22"/>
                    </w:rPr>
                    <w:t>Юридический адрес:</w:t>
                  </w:r>
                </w:p>
                <w:p>
                  <w:pPr>
                    <w:pStyle w:val="Normal"/>
                    <w:widowControl w:val="false"/>
                    <w:spacing w:lineRule="auto" w:line="240"/>
                    <w:ind w:hanging="0"/>
                    <w:jc w:val="left"/>
                    <w:rPr>
                      <w:sz w:val="22"/>
                      <w:szCs w:val="22"/>
                    </w:rPr>
                  </w:pPr>
                  <w:r>
                    <w:rPr>
                      <w:sz w:val="22"/>
                      <w:szCs w:val="22"/>
                    </w:rPr>
                    <w:t xml:space="preserve">675004, Российская федерация  г. Благовещенск, </w:t>
                  </w:r>
                </w:p>
                <w:p>
                  <w:pPr>
                    <w:pStyle w:val="Normal"/>
                    <w:widowControl w:val="false"/>
                    <w:spacing w:lineRule="auto" w:line="240"/>
                    <w:ind w:hanging="0"/>
                    <w:jc w:val="left"/>
                    <w:rPr>
                      <w:sz w:val="22"/>
                      <w:szCs w:val="22"/>
                    </w:rPr>
                  </w:pPr>
                  <w:r>
                    <w:rPr>
                      <w:sz w:val="22"/>
                      <w:szCs w:val="22"/>
                    </w:rPr>
                    <w:t>ул. Шевченко, 32</w:t>
                  </w:r>
                </w:p>
                <w:p>
                  <w:pPr>
                    <w:pStyle w:val="Normal"/>
                    <w:widowControl w:val="false"/>
                    <w:spacing w:lineRule="auto" w:line="240"/>
                    <w:ind w:hanging="0"/>
                    <w:jc w:val="left"/>
                    <w:rPr>
                      <w:sz w:val="22"/>
                      <w:szCs w:val="22"/>
                    </w:rPr>
                  </w:pPr>
                  <w:r>
                    <w:rPr>
                      <w:sz w:val="22"/>
                      <w:szCs w:val="22"/>
                    </w:rPr>
                    <w:t>ИНН 2801108200 КПП 775050001</w:t>
                  </w:r>
                </w:p>
                <w:p>
                  <w:pPr>
                    <w:pStyle w:val="Normal"/>
                    <w:widowControl w:val="false"/>
                    <w:spacing w:lineRule="auto" w:line="240"/>
                    <w:ind w:hanging="0"/>
                    <w:jc w:val="left"/>
                    <w:rPr>
                      <w:sz w:val="22"/>
                      <w:szCs w:val="22"/>
                    </w:rPr>
                  </w:pPr>
                  <w:r>
                    <w:rPr>
                      <w:sz w:val="22"/>
                      <w:szCs w:val="22"/>
                    </w:rPr>
                    <w:t>р/с 40702810003010113258</w:t>
                  </w:r>
                </w:p>
                <w:p>
                  <w:pPr>
                    <w:pStyle w:val="Normal"/>
                    <w:widowControl w:val="false"/>
                    <w:spacing w:lineRule="auto" w:line="240"/>
                    <w:ind w:hanging="0"/>
                    <w:jc w:val="left"/>
                    <w:rPr>
                      <w:sz w:val="22"/>
                      <w:szCs w:val="22"/>
                    </w:rPr>
                  </w:pPr>
                  <w:r>
                    <w:rPr>
                      <w:sz w:val="22"/>
                      <w:szCs w:val="22"/>
                    </w:rPr>
                    <w:t>к/с 30101810600000000608</w:t>
                  </w:r>
                </w:p>
                <w:p>
                  <w:pPr>
                    <w:pStyle w:val="Normal"/>
                    <w:widowControl w:val="false"/>
                    <w:spacing w:lineRule="auto" w:line="240"/>
                    <w:ind w:hanging="0"/>
                    <w:jc w:val="left"/>
                    <w:rPr>
                      <w:sz w:val="22"/>
                      <w:szCs w:val="22"/>
                    </w:rPr>
                  </w:pPr>
                  <w:r>
                    <w:rPr>
                      <w:sz w:val="22"/>
                      <w:szCs w:val="22"/>
                    </w:rPr>
                    <w:t>в ГРКЦ ГУ Банка России по Хабаровскому краю</w:t>
                  </w:r>
                </w:p>
                <w:p>
                  <w:pPr>
                    <w:pStyle w:val="Normal"/>
                    <w:widowControl w:val="false"/>
                    <w:spacing w:lineRule="auto" w:line="240"/>
                    <w:ind w:hanging="0"/>
                    <w:jc w:val="left"/>
                    <w:rPr>
                      <w:sz w:val="22"/>
                      <w:szCs w:val="22"/>
                    </w:rPr>
                  </w:pPr>
                  <w:r>
                    <w:rPr>
                      <w:sz w:val="22"/>
                      <w:szCs w:val="22"/>
                    </w:rPr>
                    <w:t>БИК 040813608</w:t>
                  </w:r>
                </w:p>
                <w:p>
                  <w:pPr>
                    <w:pStyle w:val="Normal"/>
                    <w:widowControl w:val="false"/>
                    <w:spacing w:lineRule="auto" w:line="240"/>
                    <w:ind w:hanging="0"/>
                    <w:jc w:val="left"/>
                    <w:rPr>
                      <w:sz w:val="22"/>
                      <w:szCs w:val="22"/>
                    </w:rPr>
                  </w:pPr>
                  <w:r>
                    <w:rPr>
                      <w:sz w:val="22"/>
                      <w:szCs w:val="22"/>
                    </w:rPr>
                    <w:t xml:space="preserve">Дальневосточный банк ПАО «Сбербанк России» </w:t>
                  </w:r>
                </w:p>
                <w:p>
                  <w:pPr>
                    <w:pStyle w:val="Normal"/>
                    <w:widowControl w:val="false"/>
                    <w:spacing w:lineRule="auto" w:line="240"/>
                    <w:ind w:hanging="0"/>
                    <w:jc w:val="left"/>
                    <w:rPr>
                      <w:sz w:val="22"/>
                      <w:szCs w:val="22"/>
                    </w:rPr>
                  </w:pPr>
                  <w:r>
                    <w:rPr>
                      <w:sz w:val="22"/>
                      <w:szCs w:val="22"/>
                    </w:rPr>
                    <w:t>г.Хабаровск</w:t>
                  </w:r>
                </w:p>
                <w:p>
                  <w:pPr>
                    <w:pStyle w:val="Normal"/>
                    <w:widowControl w:val="false"/>
                    <w:spacing w:lineRule="auto" w:line="240"/>
                    <w:ind w:hanging="0"/>
                    <w:jc w:val="left"/>
                    <w:rPr>
                      <w:sz w:val="22"/>
                      <w:szCs w:val="22"/>
                    </w:rPr>
                  </w:pPr>
                  <w:r>
                    <w:rPr>
                      <w:sz w:val="22"/>
                      <w:szCs w:val="22"/>
                    </w:rPr>
                    <w:t>Почтовый адрес:</w:t>
                  </w:r>
                </w:p>
                <w:p>
                  <w:pPr>
                    <w:pStyle w:val="Normal"/>
                    <w:widowControl w:val="false"/>
                    <w:spacing w:lineRule="auto" w:line="240"/>
                    <w:ind w:hanging="0"/>
                    <w:jc w:val="left"/>
                    <w:rPr>
                      <w:sz w:val="22"/>
                      <w:szCs w:val="22"/>
                    </w:rPr>
                  </w:pPr>
                  <w:r>
                    <w:rPr>
                      <w:sz w:val="22"/>
                      <w:szCs w:val="22"/>
                    </w:rPr>
                    <w:t>679011, ЕАО, г.Биробиджан,</w:t>
                  </w:r>
                </w:p>
                <w:p>
                  <w:pPr>
                    <w:pStyle w:val="Normal"/>
                    <w:widowControl w:val="false"/>
                    <w:spacing w:lineRule="auto" w:line="240"/>
                    <w:ind w:hanging="0"/>
                    <w:jc w:val="left"/>
                    <w:rPr>
                      <w:sz w:val="22"/>
                      <w:szCs w:val="22"/>
                    </w:rPr>
                  </w:pPr>
                  <w:r>
                    <w:rPr>
                      <w:sz w:val="22"/>
                      <w:szCs w:val="22"/>
                    </w:rPr>
                    <w:t>ул. Черноморская,6</w:t>
                  </w:r>
                </w:p>
                <w:p>
                  <w:pPr>
                    <w:pStyle w:val="Normal"/>
                    <w:widowControl w:val="false"/>
                    <w:spacing w:lineRule="auto" w:line="240"/>
                    <w:ind w:hanging="0"/>
                    <w:jc w:val="left"/>
                    <w:rPr>
                      <w:sz w:val="22"/>
                      <w:szCs w:val="22"/>
                    </w:rPr>
                  </w:pPr>
                  <w:r>
                    <w:rPr>
                      <w:sz w:val="22"/>
                      <w:szCs w:val="22"/>
                    </w:rPr>
                    <w:t>Филиал АО «ДРСК»  «ЭС ЕАО»</w:t>
                  </w:r>
                </w:p>
                <w:p>
                  <w:pPr>
                    <w:pStyle w:val="Normal"/>
                    <w:widowControl w:val="false"/>
                    <w:spacing w:lineRule="auto" w:line="240"/>
                    <w:ind w:hanging="0"/>
                    <w:jc w:val="left"/>
                    <w:rPr>
                      <w:sz w:val="22"/>
                      <w:szCs w:val="22"/>
                    </w:rPr>
                  </w:pPr>
                  <w:r>
                    <w:rPr>
                      <w:sz w:val="22"/>
                      <w:szCs w:val="22"/>
                    </w:rPr>
                    <w:t>КПП 790102001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r>
          </w:tbl>
          <w:p>
            <w:pPr>
              <w:pStyle w:val="Normal"/>
              <w:widowControl w:val="false"/>
              <w:rPr/>
            </w:pPr>
            <w:r>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65"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tabs>
                <w:tab w:val="clear" w:pos="708"/>
                <w:tab w:val="left" w:pos="360" w:leader="none"/>
              </w:tabs>
              <w:spacing w:lineRule="auto" w:line="240"/>
              <w:ind w:hanging="0"/>
              <w:jc w:val="left"/>
              <w:rPr>
                <w:b/>
                <w:sz w:val="24"/>
                <w:szCs w:val="24"/>
              </w:rPr>
            </w:pPr>
            <w:r>
              <w:rPr>
                <w:b/>
                <w:sz w:val="24"/>
                <w:szCs w:val="24"/>
              </w:rPr>
              <w:t>«Заказчик»</w:t>
            </w:r>
          </w:p>
          <w:p>
            <w:pPr>
              <w:pStyle w:val="Normal"/>
              <w:widowControl w:val="false"/>
              <w:tabs>
                <w:tab w:val="clear" w:pos="708"/>
                <w:tab w:val="left" w:pos="360" w:leader="none"/>
                <w:tab w:val="left" w:pos="2655" w:leader="none"/>
              </w:tabs>
              <w:spacing w:lineRule="auto" w:line="240"/>
              <w:ind w:hanging="0"/>
              <w:jc w:val="left"/>
              <w:rPr>
                <w:b/>
                <w:sz w:val="24"/>
                <w:szCs w:val="24"/>
              </w:rPr>
            </w:pPr>
            <w:r>
              <w:rPr>
                <w:b/>
                <w:sz w:val="24"/>
                <w:szCs w:val="24"/>
              </w:rPr>
              <w:t>Директор филиала</w:t>
            </w:r>
          </w:p>
          <w:p>
            <w:pPr>
              <w:pStyle w:val="Normal"/>
              <w:widowControl w:val="false"/>
              <w:tabs>
                <w:tab w:val="clear" w:pos="708"/>
                <w:tab w:val="left" w:pos="360" w:leader="none"/>
              </w:tabs>
              <w:spacing w:lineRule="auto" w:line="240"/>
              <w:ind w:hanging="0"/>
              <w:jc w:val="left"/>
              <w:rPr>
                <w:b/>
                <w:sz w:val="24"/>
                <w:szCs w:val="24"/>
              </w:rPr>
            </w:pPr>
            <w:r>
              <w:rPr>
                <w:b/>
                <w:sz w:val="24"/>
                <w:szCs w:val="24"/>
              </w:rPr>
              <w:t>АО «ДРСК» «ЭС ЕАО»</w:t>
            </w:r>
          </w:p>
          <w:p>
            <w:pPr>
              <w:pStyle w:val="Normal"/>
              <w:widowControl w:val="false"/>
              <w:tabs>
                <w:tab w:val="clear" w:pos="708"/>
                <w:tab w:val="left" w:pos="360" w:leader="none"/>
              </w:tabs>
              <w:spacing w:lineRule="auto" w:line="240"/>
              <w:ind w:hanging="0"/>
              <w:jc w:val="left"/>
              <w:rPr>
                <w:b/>
                <w:sz w:val="24"/>
                <w:szCs w:val="24"/>
              </w:rPr>
            </w:pPr>
            <w:r>
              <w:rPr>
                <w:b/>
                <w:sz w:val="24"/>
                <w:szCs w:val="24"/>
              </w:rPr>
            </w:r>
          </w:p>
          <w:p>
            <w:pPr>
              <w:pStyle w:val="Normal"/>
              <w:widowControl w:val="false"/>
              <w:spacing w:lineRule="auto" w:line="240"/>
              <w:ind w:hanging="0"/>
              <w:jc w:val="left"/>
              <w:rPr>
                <w:sz w:val="24"/>
                <w:szCs w:val="24"/>
                <w:highlight w:val="lightGray"/>
              </w:rPr>
            </w:pPr>
            <w:r>
              <w:rPr>
                <w:b/>
                <w:sz w:val="24"/>
                <w:szCs w:val="24"/>
                <w:highlight w:val="lightGray"/>
              </w:rPr>
              <w:t>__________________А.В.Демьянов</w:t>
            </w:r>
            <w:r>
              <w:rPr>
                <w:sz w:val="24"/>
                <w:szCs w:val="24"/>
                <w:highlight w:val="lightGray"/>
              </w:rPr>
              <w:t xml:space="preserve"> </w:t>
            </w:r>
          </w:p>
          <w:p>
            <w:pPr>
              <w:pStyle w:val="Normal"/>
              <w:widowControl w:val="false"/>
              <w:spacing w:lineRule="auto" w:line="240"/>
              <w:ind w:hanging="0"/>
              <w:jc w:val="left"/>
              <w:rPr>
                <w:sz w:val="24"/>
                <w:szCs w:val="24"/>
                <w:highlight w:val="lightGray"/>
              </w:rPr>
            </w:pPr>
            <w:r>
              <w:rPr>
                <w:sz w:val="24"/>
                <w:szCs w:val="24"/>
                <w:highlight w:val="lightGray"/>
              </w:rPr>
            </w:r>
          </w:p>
        </w:tc>
        <w:tc>
          <w:tcPr>
            <w:tcW w:w="4780"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left"/>
              <w:rPr>
                <w:sz w:val="24"/>
                <w:szCs w:val="24"/>
              </w:rPr>
            </w:pPr>
            <w:r>
              <w:rPr>
                <w:sz w:val="24"/>
                <w:szCs w:val="24"/>
                <w:highlight w:val="lightGray"/>
              </w:rPr>
              <w:t>_______________ / _______________</w:t>
            </w:r>
            <w:r>
              <w:rPr>
                <w:sz w:val="24"/>
                <w:szCs w:val="24"/>
              </w:rPr>
              <w:t xml:space="preserve"> </w:t>
            </w:r>
          </w:p>
          <w:p>
            <w:pPr>
              <w:pStyle w:val="Normal"/>
              <w:widowControl w:val="false"/>
              <w:spacing w:lineRule="auto" w:line="240"/>
              <w:ind w:hanging="0"/>
              <w:jc w:val="left"/>
              <w:rPr>
                <w:sz w:val="24"/>
                <w:szCs w:val="24"/>
              </w:rPr>
            </w:pPr>
            <w:r>
              <w:rPr>
                <w:sz w:val="24"/>
                <w:szCs w:val="24"/>
              </w:rPr>
            </w:r>
          </w:p>
        </w:tc>
        <w:tc>
          <w:tcPr>
            <w:tcW w:w="345" w:type="dxa"/>
            <w:tcBorders/>
            <w:shd w:fill="auto" w:val="clear"/>
          </w:tcPr>
          <w:p>
            <w:pPr>
              <w:pStyle w:val="Normal"/>
              <w:widowControl w:val="false"/>
              <w:rPr/>
            </w:pPr>
            <w:r>
              <w:rPr/>
            </w:r>
          </w:p>
        </w:tc>
      </w:tr>
    </w:tbl>
    <w:p>
      <w:pPr>
        <w:sectPr>
          <w:footnotePr>
            <w:numFmt w:val="decimal"/>
          </w:footnotePr>
          <w:type w:val="nextPage"/>
          <w:pgSz w:w="11906" w:h="16838"/>
          <w:pgMar w:left="1418" w:right="851" w:gutter="0" w:header="0" w:top="709" w:footer="0" w:bottom="851"/>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Перечень Объектов</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mc:AlternateContent>
          <mc:Choice Requires="wps">
            <w:drawing>
              <wp:anchor behindDoc="0" distT="0" distB="0"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108" w:type="dxa"/>
                        <w:tblLayout w:type="fixed"/>
                        <w:tblCellMar>
                          <w:top w:w="0" w:type="dxa"/>
                          <w:left w:w="103" w:type="dxa"/>
                          <w:bottom w:w="0" w:type="dxa"/>
                          <w:right w:w="108" w:type="dxa"/>
                        </w:tblCellMar>
                        <w:tblLook w:val="04a0" w:noVBand="1" w:noHBand="0" w:lastColumn="0" w:firstColumn="1" w:lastRow="0" w:firstRow="1"/>
                      </w:tblPr>
                      <w:tblGrid>
                        <w:gridCol w:w="703"/>
                        <w:gridCol w:w="4567"/>
                        <w:gridCol w:w="4651"/>
                      </w:tblGrid>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 </w:t>
                            </w:r>
                            <w:r>
                              <w:rPr>
                                <w:sz w:val="24"/>
                                <w:szCs w:val="24"/>
                              </w:rPr>
                              <w:t>п/п</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Наименование Объекта</w:t>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 xml:space="preserve">Имущество Заказчика </w:t>
                            </w:r>
                          </w:p>
                          <w:p>
                            <w:pPr>
                              <w:pStyle w:val="Normal"/>
                              <w:widowControl w:val="false"/>
                              <w:spacing w:lineRule="auto" w:line="240"/>
                              <w:ind w:hanging="0"/>
                              <w:jc w:val="center"/>
                              <w:rPr/>
                            </w:pPr>
                            <w:r>
                              <w:rPr>
                                <w:sz w:val="24"/>
                                <w:szCs w:val="24"/>
                              </w:rPr>
                              <w:t>(основные средства) в составе Объекта</w:t>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1</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2</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r>
                        <w:trPr/>
                        <w:tc>
                          <w:tcPr>
                            <w:tcW w:w="7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pPr>
                            <w:r>
                              <w:rPr>
                                <w:sz w:val="24"/>
                                <w:szCs w:val="24"/>
                              </w:rPr>
                              <w:t>3</w:t>
                            </w:r>
                          </w:p>
                        </w:tc>
                        <w:tc>
                          <w:tcPr>
                            <w:tcW w:w="45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4"/>
                                <w:szCs w:val="24"/>
                              </w:rPr>
                            </w:pPr>
                            <w:r>
                              <w:rPr>
                                <w:bCs/>
                                <w:sz w:val="24"/>
                                <w:szCs w:val="24"/>
                              </w:rPr>
                            </w:r>
                          </w:p>
                        </w:tc>
                        <w:tc>
                          <w:tcPr>
                            <w:tcW w:w="46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24"/>
                                <w:szCs w:val="24"/>
                              </w:rPr>
                            </w:pPr>
                            <w:r>
                              <w:rPr>
                                <w:sz w:val="24"/>
                                <w:szCs w:val="24"/>
                              </w:rPr>
                            </w:r>
                          </w:p>
                        </w:tc>
                      </w:tr>
                    </w:tbl>
                    <w:p>
                      <w:pPr>
                        <w:pStyle w:val="Style28"/>
                        <w:rPr/>
                      </w:pPr>
                      <w:r>
                        <w:rPr/>
                      </w:r>
                    </w:p>
                  </w:txbxContent>
                </v:textbox>
                <w10:wrap type="square"/>
              </v:rect>
            </w:pict>
          </mc:Fallback>
        </mc:AlternateConten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b/>
          <w:sz w:val="24"/>
          <w:lang w:val="en-US"/>
        </w:rPr>
      </w:pPr>
      <w:r>
        <w:rPr>
          <w:b/>
          <w:sz w:val="24"/>
          <w:lang w:val="en-US"/>
        </w:rPr>
      </w:r>
      <w:r>
        <w:br w:type="page"/>
      </w:r>
    </w:p>
    <w:p>
      <w:pPr>
        <w:pStyle w:val="Normal"/>
        <w:spacing w:lineRule="auto" w:line="240"/>
        <w:ind w:left="5103" w:hanging="0"/>
        <w:rPr>
          <w:sz w:val="22"/>
          <w:szCs w:val="22"/>
        </w:rPr>
      </w:pPr>
      <w:r>
        <w:rPr>
          <w:sz w:val="22"/>
          <w:szCs w:val="22"/>
        </w:rPr>
        <w:t>Приложение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3" w:type="dxa"/>
          <w:bottom w:w="0" w:type="dxa"/>
          <w:right w:w="108" w:type="dxa"/>
        </w:tblCellMar>
        <w:tblLook w:val="04a0" w:noVBand="1" w:noHBand="0" w:lastColumn="0" w:firstColumn="1" w:lastRow="0" w:firstRow="1"/>
      </w:tblPr>
      <w:tblGrid>
        <w:gridCol w:w="680"/>
        <w:gridCol w:w="1635"/>
        <w:gridCol w:w="1421"/>
        <w:gridCol w:w="1549"/>
        <w:gridCol w:w="840"/>
        <w:gridCol w:w="1176"/>
        <w:gridCol w:w="1"/>
        <w:gridCol w:w="773"/>
        <w:gridCol w:w="1"/>
        <w:gridCol w:w="849"/>
        <w:gridCol w:w="1"/>
        <w:gridCol w:w="984"/>
      </w:tblGrid>
      <w:tr>
        <w:trPr/>
        <w:tc>
          <w:tcPr>
            <w:tcW w:w="680"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35"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6"/>
            </w:r>
          </w:p>
        </w:tc>
        <w:tc>
          <w:tcPr>
            <w:tcW w:w="201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(__%), руб.</w:t>
            </w:r>
          </w:p>
        </w:tc>
        <w:tc>
          <w:tcPr>
            <w:tcW w:w="98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680"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35"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3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74"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50"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68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w:t>
            </w:r>
          </w:p>
        </w:tc>
        <w:tc>
          <w:tcPr>
            <w:tcW w:w="8245"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10"/>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6"/>
          <w:footerReference w:type="default" r:id="rId7"/>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bCs/>
          <w:sz w:val="24"/>
          <w:szCs w:val="24"/>
        </w:rPr>
        <w:t>ОБЪЕКТНЫЙ СМЕТНЫЙ РАСЧЕТ</w:t>
      </w:r>
      <w:r>
        <w:rPr>
          <w:bCs/>
        </w:rPr>
        <w:t xml:space="preserve"> </w:t>
      </w: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800" w:type="pct"/>
        <w:jc w:val="left"/>
        <w:tblInd w:w="0" w:type="dxa"/>
        <w:tblLayout w:type="fixed"/>
        <w:tblCellMar>
          <w:top w:w="0" w:type="dxa"/>
          <w:left w:w="103" w:type="dxa"/>
          <w:bottom w:w="0" w:type="dxa"/>
          <w:right w:w="108" w:type="dxa"/>
        </w:tblCellMar>
        <w:tblLook w:val="04a0" w:noVBand="1" w:noHBand="0" w:lastColumn="0" w:firstColumn="1" w:lastRow="0" w:firstRow="1"/>
      </w:tblPr>
      <w:tblGrid>
        <w:gridCol w:w="702"/>
        <w:gridCol w:w="1467"/>
        <w:gridCol w:w="1322"/>
        <w:gridCol w:w="1459"/>
        <w:gridCol w:w="1323"/>
        <w:gridCol w:w="1322"/>
        <w:gridCol w:w="1655"/>
      </w:tblGrid>
      <w:tr>
        <w:trPr>
          <w:trHeight w:val="214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0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4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2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0" w:type="dxa"/>
        <w:tblLayout w:type="fixed"/>
        <w:tblCellMar>
          <w:top w:w="0" w:type="dxa"/>
          <w:left w:w="103" w:type="dxa"/>
          <w:bottom w:w="0" w:type="dxa"/>
          <w:right w:w="108" w:type="dxa"/>
        </w:tblCellMar>
        <w:tblLook w:val="01e0" w:noVBand="0" w:noHBand="0" w:lastColumn="1" w:firstColumn="1" w:lastRow="1" w:firstRow="1"/>
      </w:tblPr>
      <w:tblGrid>
        <w:gridCol w:w="3643"/>
        <w:gridCol w:w="5414"/>
      </w:tblGrid>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sz w:val="20"/>
                <w:szCs w:val="20"/>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rFonts w:ascii="Liberation Serif" w:hAnsi="Liberation Serif" w:eastAsia="Times New Roman" w:cs="Times New Roman"/>
                <w:color w:val="00000A"/>
                <w:kern w:val="0"/>
                <w:sz w:val="24"/>
                <w:szCs w:val="24"/>
                <w:lang w:val="ru-RU" w:eastAsia="ru-RU" w:bidi="ar-SA"/>
              </w:rPr>
            </w:pPr>
            <w:r>
              <w:rPr>
                <w:rFonts w:eastAsia="Times New Roman" w:cs="Times New Roman" w:ascii="Liberation Serif" w:hAnsi="Liberation Serif"/>
                <w:color w:val="00000A"/>
                <w:kern w:val="0"/>
                <w:sz w:val="24"/>
                <w:szCs w:val="24"/>
                <w:lang w:val="ru-RU" w:eastAsia="ru-RU" w:bidi="ar-SA"/>
              </w:rPr>
              <w:t xml:space="preserve">  </w:t>
            </w:r>
            <w:r>
              <w:rPr>
                <w:rFonts w:eastAsia="Times New Roman" w:cs="Times New Roman" w:ascii="Liberation Serif" w:hAnsi="Liberation Serif"/>
                <w:color w:val="00000A"/>
                <w:kern w:val="0"/>
                <w:sz w:val="24"/>
                <w:szCs w:val="24"/>
                <w:lang w:val="ru-RU" w:eastAsia="ru-RU" w:bidi="ar-SA"/>
              </w:rPr>
              <w:t>500 000 (пятьсот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4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0"/>
                <w:kern w:val="0"/>
                <w:sz w:val="24"/>
                <w:szCs w:val="28"/>
                <w:lang w:val="ru-RU" w:eastAsia="ru-RU" w:bidi="ar-SA"/>
              </w:rPr>
            </w:pPr>
            <w:r>
              <w:rPr>
                <w:rFonts w:eastAsia="Times New Roman" w:cs="Times New Roman"/>
                <w:color w:val="000000"/>
                <w:kern w:val="0"/>
                <w:sz w:val="24"/>
                <w:szCs w:val="28"/>
                <w:lang w:val="ru-RU" w:eastAsia="ru-RU" w:bidi="ar-SA"/>
              </w:rPr>
              <w:t>3. Нарушение требований охраны труда</w:t>
            </w:r>
          </w:p>
        </w:tc>
        <w:tc>
          <w:tcPr>
            <w:tcW w:w="541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100 000 (сто тысяч) рублей за каждый случай нарушения.</w:t>
            </w:r>
          </w:p>
          <w:p>
            <w:pPr>
              <w:pStyle w:val="Normal"/>
              <w:widowControl w:val="false"/>
              <w:spacing w:lineRule="auto" w:line="240"/>
              <w:ind w:left="0" w:right="0" w:hanging="0"/>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bookmarkStart w:id="35" w:name="RANGE!A1%2525252525252525252525252525252"/>
            <w:bookmarkStart w:id="36" w:name="RANGE!A1%2525252525252525252525252525252"/>
            <w:bookmarkStart w:id="37" w:name="RANGE!A1%2525252525252525252525252525252"/>
            <w:bookmarkStart w:id="38" w:name="RANGE!A1%2525252525252525252525252525252"/>
            <w:bookmarkEnd w:id="37"/>
            <w:bookmarkEnd w:id="38"/>
          </w:p>
        </w:tc>
      </w:tr>
    </w:tbl>
    <w:p>
      <w:pPr>
        <w:pStyle w:val="Normal"/>
        <w:spacing w:lineRule="auto" w:line="240"/>
        <w:ind w:hanging="0"/>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fixed"/>
  </w:font>
  <w:font w:name="Courier New">
    <w:charset w:val="01"/>
    <w:family w:val="modern"/>
    <w:pitch w:val="fixed"/>
  </w:font>
  <w:font w:name="Wingdings">
    <w:charset w:val="02"/>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t xml:space="preserve">  Не требуется членство в СРО контрагентов по договорам строительного подряда в следующих случаях:</w:t>
      </w:r>
    </w:p>
    <w:p>
      <w:pPr>
        <w:pStyle w:val="FootnoteText"/>
        <w:tabs>
          <w:tab w:val="clear" w:pos="708"/>
          <w:tab w:val="left" w:pos="284" w:leader="none"/>
        </w:tabs>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8"/>
          <w:tab w:val="left" w:pos="284" w:leader="none"/>
        </w:tabs>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tabs>
          <w:tab w:val="clear" w:pos="708"/>
          <w:tab w:val="left" w:pos="284" w:leader="none"/>
        </w:tabs>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tabs>
          <w:tab w:val="clear" w:pos="708"/>
          <w:tab w:val="left" w:pos="284" w:leader="none"/>
        </w:tabs>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rPr/>
      </w:pPr>
      <w:r>
        <w:rPr>
          <w:rStyle w:val="Style6"/>
        </w:rPr>
        <w:footnoteRef/>
      </w:r>
      <w:r>
        <w:rPr>
          <w:rStyle w:val="Style6"/>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 </w:t>
      </w:r>
    </w:p>
  </w:footnote>
  <w:footnote w:id="5">
    <w:p>
      <w:pPr>
        <w:pStyle w:val="FootnoteText"/>
        <w:jc w:val="both"/>
        <w:rPr/>
      </w:pPr>
      <w:r>
        <w:rPr>
          <w:rStyle w:val="Style6"/>
        </w:rPr>
        <w:footnoteRef/>
      </w:r>
      <w:r>
        <w:rPr>
          <w:rStyle w:val="Style6"/>
        </w:rPr>
        <w:tab/>
      </w:r>
      <w:r>
        <w:rPr/>
        <w:t xml:space="preserve"> В случае, если членство в СРО требуется в соответствии с законодательством Российской Федерации</w:t>
      </w:r>
    </w:p>
  </w:footnote>
  <w:footnote w:id="6">
    <w:p>
      <w:pPr>
        <w:pStyle w:val="FootnoteText"/>
        <w:rPr/>
      </w:pPr>
      <w:r>
        <w:rPr>
          <w:rStyle w:val="Style6"/>
        </w:rPr>
        <w:footnoteRef/>
      </w:r>
      <w:r>
        <w:rPr>
          <w:rStyle w:val="Style6"/>
        </w:rPr>
        <w:tab/>
      </w:r>
      <w:r>
        <w:rPr/>
        <w:t xml:space="preserve"> Наименование Объекта, в отношении которого выполняются Этапы Работ.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shd w:fill="auto" w:val="clear"/>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i w:val="false"/>
        <w:b/>
        <w:szCs w:val="24"/>
        <w:iCs w:val="false"/>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7f64e9"/>
    <w:rPr>
      <w:sz w:val="24"/>
      <w:szCs w:val="24"/>
    </w:rPr>
  </w:style>
  <w:style w:type="character" w:styleId="Style17" w:customStyle="1">
    <w:name w:val="Верхний колонтитул Знак"/>
    <w:basedOn w:val="DefaultParagraphFont"/>
    <w:qFormat/>
    <w:rsid w:val="00e63d62"/>
    <w:rPr>
      <w:sz w:val="28"/>
      <w:szCs w:val="28"/>
    </w:rPr>
  </w:style>
  <w:style w:type="character" w:styleId="Style18">
    <w:name w:val="Маркеры"/>
    <w:qFormat/>
    <w:rPr>
      <w:rFonts w:ascii="OpenSymbol" w:hAnsi="OpenSymbol" w:eastAsia="OpenSymbol" w:cs="OpenSymbol"/>
    </w:rPr>
  </w:style>
  <w:style w:type="character" w:styleId="WW8Num1z0">
    <w:name w:val="WW8Num1z0"/>
    <w:qFormat/>
    <w:rPr>
      <w:rFonts w:ascii="Times New Roman" w:hAnsi="Times New Roman" w:cs="Times New Roman"/>
      <w:sz w:val="18"/>
      <w:szCs w:val="18"/>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IndexHeading">
    <w:name w:val="Index Heading"/>
    <w:basedOn w:val="Style20"/>
    <w:pPr>
      <w:suppressLineNumbers/>
      <w:ind w:left="0" w:hanging="0"/>
    </w:pPr>
    <w:rPr>
      <w:b/>
      <w:bCs/>
      <w:sz w:val="32"/>
      <w:szCs w:val="32"/>
    </w:rPr>
  </w:style>
  <w:style w:type="paragraph" w:styleId="TOCHeading">
    <w:name w:val="TOC Heading"/>
    <w:basedOn w:val="Heading1"/>
    <w:next w:val="Normal"/>
    <w:qFormat/>
    <w:pPr>
      <w:keepLines/>
      <w:spacing w:lineRule="auto" w:line="276" w:before="480" w:after="0"/>
      <w:ind w:left="0" w:right="0" w:hanging="0"/>
      <w:jc w:val="left"/>
    </w:pPr>
    <w:rPr>
      <w:rFonts w:ascii="Cambria" w:hAnsi="Cambria" w:eastAsia="Times New Roman" w:cs="Times New Roman"/>
      <w:color w:val="365F91"/>
      <w:sz w:val="28"/>
      <w:szCs w:val="28"/>
      <w:lang w:val="ru-RU" w:eastAsia="ru-RU"/>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sazonov_vn@eao.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9DD2-F093-4D1C-8E8A-6AAF418832F5}">
  <ds:schemaRefs>
    <ds:schemaRef ds:uri="http://schemas.openxmlformats.org/officeDocument/2006/bibliography"/>
  </ds:schemaRefs>
</ds:datastoreItem>
</file>

<file path=customXml/itemProps2.xml><?xml version="1.0" encoding="utf-8"?>
<ds:datastoreItem xmlns:ds="http://schemas.openxmlformats.org/officeDocument/2006/customXml" ds:itemID="{77805C9B-B773-4CAC-80DC-79E70DAE0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Application>AlterOffice/3.3.0.4$Linux_X86_64 LibreOffice_project/fa736b558560ebea8f92088bfd7720f4b3918f3f</Application>
  <AppVersion>15.0000</AppVersion>
  <Pages>31</Pages>
  <Words>11297</Words>
  <Characters>80395</Characters>
  <CharactersWithSpaces>91159</CharactersWithSpaces>
  <Paragraphs>505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2022-11-01T07:27:00Z</dcterms:created>
  <dc:creator>UK VoHEC</dc:creator>
  <dc:description/>
  <dc:language>ru-RU</dc:language>
  <cp:lastModifiedBy>kiriltsov_av</cp:lastModifiedBy>
  <cp:lastPrinted>2020-03-18T05:01:00Z</cp:lastPrinted>
  <dcterms:modified xsi:type="dcterms:W3CDTF">2026-06-02T09:58:57Z</dcterms:modified>
  <cp:revision>37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