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right="0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  <w:t>Технические требования на оказание услуг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ОКПД 2 86.21.10 Оказание услуг по проведени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ю предрейсовых и послерейсовых медицинских осмотров водителей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>пос. Магдагачи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  <w:shd w:fill="auto" w:val="clear"/>
        </w:rPr>
        <w:t>Лот №</w:t>
      </w:r>
      <w:r>
        <w:rPr>
          <w:rFonts w:eastAsia="Calibri"/>
          <w:b/>
          <w:bCs/>
          <w:sz w:val="28"/>
          <w:szCs w:val="28"/>
          <w:shd w:fill="auto" w:val="clear"/>
        </w:rPr>
        <w:t>80</w:t>
      </w:r>
      <w:r>
        <w:rPr>
          <w:rFonts w:eastAsia="Calibri"/>
          <w:b/>
          <w:bCs/>
          <w:sz w:val="28"/>
          <w:szCs w:val="28"/>
          <w:shd w:fill="auto" w:val="clear"/>
        </w:rPr>
        <w:t>26</w:t>
      </w:r>
      <w:r>
        <w:rPr>
          <w:rFonts w:eastAsia="Calibri"/>
          <w:b/>
          <w:bCs/>
          <w:sz w:val="28"/>
          <w:szCs w:val="28"/>
          <w:shd w:fill="auto" w:val="clear"/>
        </w:rPr>
        <w:t>-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shd w:fill="auto" w:val="clear"/>
          <w:em w:val="none"/>
        </w:rPr>
        <w:t xml:space="preserve">ЭКСП ПРОД-2027-Влад ТК РусГидро </w:t>
      </w:r>
      <w:r>
        <w:rPr>
          <w:rFonts w:eastAsia="Calibri"/>
          <w:b/>
          <w:bCs/>
          <w:i w:val="false"/>
          <w:strike w:val="false"/>
          <w:dstrike w:val="false"/>
          <w:outline w:val="false"/>
          <w:shadow w:val="false"/>
          <w:sz w:val="28"/>
          <w:szCs w:val="28"/>
          <w:u w:val="none"/>
          <w:em w:val="none"/>
        </w:rPr>
        <w:t>АО</w:t>
      </w:r>
    </w:p>
    <w:p>
      <w:pPr>
        <w:pStyle w:val="Normal"/>
        <w:keepNext w:val="true"/>
        <w:keepLines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instrText xml:space="preserve"> TOC \z \o "1-4" \u \h</w:instrText>
          </w:r>
          <w:r>
            <w:rPr>
              <w:sz w:val="22"/>
              <w:b w:val="false"/>
              <w:szCs w:val="22"/>
              <w:bCs w:val="false"/>
              <w:rFonts w:eastAsia="" w:cs="" w:ascii="Calibri" w:hAnsi="Calibri"/>
            </w:rPr>
            <w:fldChar w:fldCharType="separate"/>
          </w:r>
          <w:r>
            <w:rPr>
              <w:rFonts w:eastAsia="" w:cs="" w:cstheme="minorBidi" w:eastAsiaTheme="minorEastAsia" w:ascii="Calibri" w:hAnsi="Calibri"/>
              <w:b w:val="false"/>
              <w:bCs w:val="false"/>
              <w:sz w:val="22"/>
              <w:szCs w:val="22"/>
            </w:rPr>
          </w:r>
        </w:p>
        <w:p>
          <w:pPr>
            <w:pStyle w:val="TOC1"/>
            <w:rPr/>
          </w:pPr>
          <w:hyperlink w:anchor="_Toc135150390">
            <w:r>
              <w:rPr>
                <w:webHidden/>
                <w:rStyle w:val="Style14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1">
            <w:r>
              <w:rPr>
                <w:webHidden/>
                <w:rStyle w:val="Style14"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2">
            <w:r>
              <w:rPr>
                <w:webHidden/>
                <w:rStyle w:val="Style14"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Цель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3">
            <w:r>
              <w:rPr>
                <w:webHidden/>
                <w:rStyle w:val="Style14"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394">
            <w:r>
              <w:rPr>
                <w:webHidden/>
                <w:rStyle w:val="Style14"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Иные требования и сведения общего характера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5">
            <w:r>
              <w:rPr>
                <w:webHidden/>
                <w:rStyle w:val="Style14"/>
                <w:rFonts w:eastAsia="Calibri"/>
                <w:vanish w:val="false"/>
                <w:lang w:val="x-none" w:eastAsia="x-none"/>
              </w:rPr>
              <w:t>Таблица 1</w:t>
            </w:r>
            <w:r>
              <w:rPr>
                <w:rStyle w:val="Style14"/>
                <w:rFonts w:eastAsia="Calibri"/>
                <w:lang w:eastAsia="x-none"/>
              </w:rPr>
              <w:t>.</w:t>
            </w:r>
            <w:r>
              <w:rPr>
                <w:rStyle w:val="Style14"/>
                <w:rFonts w:eastAsia="Calibri"/>
                <w:lang w:val="x-none" w:eastAsia="x-none"/>
              </w:rPr>
              <w:t xml:space="preserve"> </w:t>
            </w:r>
            <w:r>
              <w:rPr>
                <w:rStyle w:val="Style14"/>
                <w:rFonts w:eastAsia="Calibri"/>
                <w:lang w:eastAsia="x-none"/>
              </w:rPr>
              <w:t>Перечень объектов заказчика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_Toc135150395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396">
            <w:r>
              <w:rPr>
                <w:webHidden/>
                <w:rStyle w:val="Style14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4"/>
            <w:rPr/>
          </w:pPr>
          <w:hyperlink w:anchor="_Toc135150397">
            <w:r>
              <w:rPr>
                <w:webHidden/>
                <w:rStyle w:val="Style14"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объемам и срокам оказания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398">
            <w:r>
              <w:rPr>
                <w:webHidden/>
                <w:rStyle w:val="Style14"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1"/>
            <w:rPr/>
          </w:pPr>
          <w:hyperlink w:anchor="_Toc135150399">
            <w:r>
              <w:rPr>
                <w:webHidden/>
                <w:rStyle w:val="Style14"/>
                <w:vanish w:val="false"/>
              </w:rPr>
              <w:t>Таблица 2. Перечень и объем оказываемых услуг</w:t>
              <w:tab/>
            </w:r>
          </w:hyperlink>
          <w:r>
            <w:rPr>
              <w:vanish w:val="false"/>
            </w:rPr>
            <w:t>4</w:t>
          </w:r>
        </w:p>
        <w:p>
          <w:pPr>
            <w:pStyle w:val="TOC3"/>
            <w:tabs>
              <w:tab w:val="left" w:pos="840" w:leader="none"/>
              <w:tab w:val="right" w:pos="9911" w:leader="dot"/>
            </w:tabs>
            <w:rPr/>
          </w:pPr>
          <w:hyperlink w:anchor="_Toc135150400">
            <w:r>
              <w:rPr>
                <w:webHidden/>
                <w:rStyle w:val="Style14"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_Toc135150401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 3. Требования к срокам оказания услуг</w:t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/>
          </w:pPr>
          <w:hyperlink w:anchor="_Toc135150402">
            <w:r>
              <w:rPr>
                <w:webHidden/>
                <w:rStyle w:val="Style14"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3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_Toc135150403 \h</w:instrText>
            </w:r>
            <w:r>
              <w:rPr>
                <w:webHidden/>
              </w:rPr>
              <w:fldChar w:fldCharType="separate"/>
            </w:r>
            <w:r>
              <w:rPr>
                <w:webHidden/>
                <w:rStyle w:val="Style14"/>
                <w:vanish w:val="false"/>
              </w:rPr>
              <w:t>Таблица 4. Требования к качеству услуг</w:t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4">
            <w:r>
              <w:rPr>
                <w:webHidden/>
                <w:rStyle w:val="Style14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закупки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35150405">
            <w:r>
              <w:rPr>
                <w:webHidden/>
                <w:rStyle w:val="Style14"/>
                <w:vanish w:val="false"/>
              </w:rPr>
              <w:t>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</w:rPr>
              <w:t>Требования к документации по ценообразованию на этапе заключения (исполнения) договора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_Toc135150405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  <w:r>
            <w:rPr>
              <w:rStyle w:val="Style14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  <w:numId w:val="0"/>
        </w:numPr>
        <w:ind w:left="0" w:hanging="0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Toc135150390"/>
      <w:bookmarkStart w:id="1" w:name="_Toc54643694"/>
      <w:r>
        <w:rPr/>
        <w:t>Общие сведения</w:t>
      </w:r>
      <w:bookmarkEnd w:id="0"/>
      <w:bookmarkEnd w:id="1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" w:name="_Toc54643696"/>
      <w:bookmarkStart w:id="3" w:name="_Toc135150391"/>
      <w:bookmarkStart w:id="4" w:name="_Toc46743506"/>
      <w:r>
        <w:rPr/>
        <w:t>Наименование закупаемой продукции</w:t>
      </w:r>
      <w:bookmarkEnd w:id="2"/>
      <w:bookmarkEnd w:id="3"/>
      <w:bookmarkEnd w:id="4"/>
    </w:p>
    <w:p>
      <w:pPr>
        <w:pStyle w:val="Normal"/>
        <w:bidi w:val="0"/>
        <w:jc w:val="left"/>
        <w:rPr>
          <w:rFonts w:ascii="Times New Roman" w:hAnsi="Times New Roman"/>
          <w:sz w:val="24"/>
          <w:szCs w:val="24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ab/>
        <w:t>ОКПД 2 86.21.10 Оказание услуг по проведению предрейсовых и послерейсовых медицинских осмотров водителей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в 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Магдагачи</w:t>
      </w:r>
      <w:r>
        <w:rPr>
          <w:b w:val="false"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нужд Владивостокского представительства АО «ТК РусГидро»</w:t>
      </w:r>
    </w:p>
    <w:p>
      <w:pPr>
        <w:pStyle w:val="Heading4"/>
        <w:numPr>
          <w:ilvl w:val="1"/>
          <w:numId w:val="3"/>
        </w:numPr>
        <w:ind w:left="426" w:hanging="426"/>
        <w:rPr>
          <w:rFonts w:ascii="Times New Roman" w:hAnsi="Times New Roman"/>
          <w:sz w:val="24"/>
          <w:szCs w:val="24"/>
        </w:rPr>
      </w:pPr>
      <w:bookmarkStart w:id="5" w:name="_Toc54643697"/>
      <w:bookmarkStart w:id="6" w:name="_Toc135150392"/>
      <w:bookmarkStart w:id="7" w:name="_Toc46743507"/>
      <w:r>
        <w:rPr>
          <w:sz w:val="24"/>
          <w:szCs w:val="24"/>
        </w:rPr>
        <w:t xml:space="preserve">Цель </w:t>
      </w:r>
      <w:bookmarkEnd w:id="7"/>
      <w:r>
        <w:rPr>
          <w:sz w:val="24"/>
          <w:szCs w:val="24"/>
        </w:rPr>
        <w:t>оказания услуг</w:t>
      </w:r>
      <w:bookmarkEnd w:id="6"/>
      <w:r>
        <w:rPr>
          <w:sz w:val="24"/>
          <w:szCs w:val="24"/>
        </w:rPr>
        <w:t xml:space="preserve"> </w:t>
      </w:r>
      <w:bookmarkEnd w:id="5"/>
    </w:p>
    <w:p>
      <w:pPr>
        <w:pStyle w:val="Normal"/>
        <w:tabs>
          <w:tab w:val="clear" w:pos="708"/>
          <w:tab w:val="left" w:pos="426" w:leader="none"/>
        </w:tabs>
        <w:ind w:firstLine="567"/>
        <w:jc w:val="both"/>
        <w:rPr>
          <w:sz w:val="24"/>
          <w:szCs w:val="24"/>
        </w:rPr>
      </w:pPr>
      <w:bookmarkStart w:id="8" w:name="_Toc54643698"/>
      <w:bookmarkStart w:id="9" w:name="_Toc46743508"/>
      <w:bookmarkEnd w:id="8"/>
      <w:bookmarkEnd w:id="9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0" w:name="_Toc54643700"/>
      <w:bookmarkStart w:id="11" w:name="_Hlk49857604"/>
      <w:bookmarkStart w:id="12" w:name="_Toc135150393"/>
      <w:bookmarkStart w:id="13" w:name="_Toc46743509"/>
      <w:bookmarkStart w:id="14" w:name="_Toc54643698_Копия_1"/>
      <w:bookmarkStart w:id="15" w:name="_Toc46743508_Копия_1"/>
      <w:bookmarkEnd w:id="14"/>
      <w:bookmarkEnd w:id="15"/>
      <w:r>
        <w:rPr/>
        <w:t xml:space="preserve">Информация в отношении исполнения договора, </w:t>
      </w:r>
      <w:bookmarkStart w:id="16" w:name="_Hlk46492347"/>
      <w:r>
        <w:rPr/>
        <w:t xml:space="preserve">которая должна быть учтена при подготовке заявки </w:t>
      </w:r>
      <w:bookmarkEnd w:id="16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1"/>
      <w:bookmarkEnd w:id="12"/>
      <w:bookmarkEnd w:id="13"/>
      <w:r>
        <w:rPr>
          <w:lang w:val="ru-RU"/>
        </w:rPr>
        <w:t xml:space="preserve"> </w:t>
      </w:r>
      <w:bookmarkStart w:id="17" w:name="_Hlk48209761"/>
      <w:bookmarkEnd w:id="10"/>
    </w:p>
    <w:p>
      <w:pPr>
        <w:pStyle w:val="Normal"/>
        <w:widowControl/>
        <w:bidi w:val="0"/>
        <w:ind w:left="0" w:right="0" w:firstLine="510"/>
        <w:jc w:val="both"/>
        <w:rPr>
          <w:lang w:val="ru-RU"/>
        </w:rPr>
      </w:pPr>
      <w:r>
        <w:rPr>
          <w:color w:val="22272F"/>
          <w:sz w:val="24"/>
          <w:szCs w:val="24"/>
          <w:shd w:fill="FFFFFF" w:val="clear"/>
          <w:lang w:val="ru-RU" w:eastAsia="x-none"/>
        </w:rPr>
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</w:r>
      <w:r>
        <w:rPr>
          <w:sz w:val="24"/>
          <w:szCs w:val="24"/>
          <w:lang w:val="ru-RU" w:eastAsia="x-none"/>
        </w:rPr>
        <w:t>.</w:t>
      </w:r>
    </w:p>
    <w:p>
      <w:pPr>
        <w:pStyle w:val="Heading4"/>
        <w:numPr>
          <w:ilvl w:val="1"/>
          <w:numId w:val="3"/>
        </w:numPr>
        <w:ind w:left="426" w:hanging="426"/>
        <w:rPr>
          <w:rStyle w:val="Style8"/>
          <w:b/>
          <w:lang w:val="ru-RU"/>
        </w:rPr>
      </w:pPr>
      <w:bookmarkStart w:id="18" w:name="_Toc54643701"/>
      <w:bookmarkStart w:id="19" w:name="_Toc135150394"/>
      <w:bookmarkStart w:id="20" w:name="_Toc50125126"/>
      <w:bookmarkStart w:id="21" w:name="_Toc46743510"/>
      <w:bookmarkEnd w:id="17"/>
      <w:bookmarkEnd w:id="20"/>
      <w:bookmarkEnd w:id="21"/>
      <w:r>
        <w:rPr/>
        <w:t>Иные требования и сведения общего характера</w:t>
      </w:r>
      <w:bookmarkEnd w:id="19"/>
      <w:r>
        <w:rPr>
          <w:lang w:val="ru-RU"/>
        </w:rPr>
        <w:t xml:space="preserve"> </w:t>
      </w:r>
      <w:bookmarkEnd w:id="18"/>
    </w:p>
    <w:p>
      <w:pPr>
        <w:pStyle w:val="Normal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Ежедневное проведение предрейсовых и послерейсовых медицинских осмотров водителей транспортных средств.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22" w:name="_Toc54643699"/>
      <w:bookmarkStart w:id="23" w:name="_Toc135150395"/>
      <w:bookmarkStart w:id="24" w:name="_Toc129097754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22"/>
      <w:bookmarkEnd w:id="23"/>
      <w:bookmarkEnd w:id="24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3"/>
        <w:gridCol w:w="2008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Магдагачи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 xml:space="preserve">Проведение осмотров осуществляется в </w:t>
            </w:r>
            <w:r>
              <w:rPr>
                <w:iCs/>
                <w:sz w:val="24"/>
                <w:szCs w:val="24"/>
                <w:shd w:fill="auto" w:val="clear"/>
              </w:rPr>
              <w:t xml:space="preserve">  </w:t>
            </w:r>
            <w:r>
              <w:rPr>
                <w:b w:val="false"/>
                <w:i w:val="false"/>
                <w:iCs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  <w:lang w:val="ru-RU"/>
              </w:rPr>
              <w:t>пос. Магдагачи</w:t>
            </w:r>
          </w:p>
        </w:tc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25" w:name="_Toc51339693"/>
      <w:bookmarkStart w:id="26" w:name="_Toc54643702"/>
      <w:bookmarkStart w:id="27" w:name="_Toc135150396"/>
      <w:r>
        <w:rPr>
          <w:lang w:val="ru-RU"/>
        </w:rPr>
        <w:t>Требования</w:t>
      </w:r>
      <w:r>
        <w:rPr/>
        <w:t xml:space="preserve"> к продукции</w:t>
      </w:r>
      <w:bookmarkEnd w:id="25"/>
      <w:bookmarkEnd w:id="26"/>
      <w:bookmarkEnd w:id="2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28" w:name="_Toc54643703"/>
      <w:bookmarkStart w:id="29" w:name="_Toc135150397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8"/>
      <w:bookmarkEnd w:id="29"/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0" w:name="_Toc54643704"/>
      <w:bookmarkStart w:id="31" w:name="_Toc135150398"/>
      <w:r>
        <w:rPr/>
        <w:t>Требования к перечню и объему услуг</w:t>
      </w:r>
      <w:bookmarkEnd w:id="30"/>
      <w:bookmarkEnd w:id="31"/>
    </w:p>
    <w:p>
      <w:pPr>
        <w:pStyle w:val="Heading1"/>
        <w:numPr>
          <w:ilvl w:val="0"/>
          <w:numId w:val="0"/>
        </w:numPr>
        <w:ind w:left="0" w:hanging="0"/>
        <w:rPr/>
      </w:pPr>
      <w:bookmarkStart w:id="32" w:name="_Toc54643705"/>
      <w:bookmarkStart w:id="33" w:name="_Toc135150399"/>
      <w:bookmarkStart w:id="34" w:name="_Toc51339695"/>
      <w:r>
        <w:rPr/>
        <w:t xml:space="preserve">Таблица 2. Перечень </w:t>
      </w:r>
      <w:bookmarkEnd w:id="34"/>
      <w:r>
        <w:rPr/>
        <w:t>и объем оказываемых услуг</w:t>
      </w:r>
      <w:bookmarkEnd w:id="32"/>
      <w:bookmarkEnd w:id="33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1095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5" w:name="_Toc54643706"/>
      <w:bookmarkStart w:id="36" w:name="_Toc135150400"/>
      <w:bookmarkStart w:id="37" w:name="_Toc51339696"/>
      <w:r>
        <w:rPr/>
        <w:t xml:space="preserve">Требования </w:t>
      </w:r>
      <w:bookmarkEnd w:id="37"/>
      <w:r>
        <w:rPr/>
        <w:t>к срокам оказания услуг</w:t>
      </w:r>
      <w:bookmarkEnd w:id="35"/>
      <w:bookmarkEnd w:id="36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8" w:name="_Toc54643707"/>
      <w:bookmarkStart w:id="39" w:name="_Toc135150401"/>
      <w:bookmarkStart w:id="40" w:name="_Toc50125127"/>
      <w:bookmarkStart w:id="41" w:name="_Toc51339697"/>
      <w:bookmarkStart w:id="42" w:name="_Toc50125126_Копия_1"/>
      <w:bookmarkEnd w:id="42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3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40"/>
      <w:bookmarkEnd w:id="41"/>
      <w:bookmarkEnd w:id="43"/>
      <w:r>
        <w:rPr>
          <w:lang w:val="ru-RU"/>
        </w:rPr>
        <w:t>оказания услуг</w:t>
      </w:r>
      <w:bookmarkEnd w:id="38"/>
      <w:bookmarkEnd w:id="39"/>
    </w:p>
    <w:tbl>
      <w:tblPr>
        <w:tblW w:w="9776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9"/>
        <w:gridCol w:w="2551"/>
        <w:gridCol w:w="2978"/>
        <w:gridCol w:w="3117"/>
      </w:tblGrid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9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>
                <w:highlight w:val="none"/>
                <w:shd w:fill="auto" w:val="clear"/>
              </w:rPr>
            </w:pP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ОКПД 2 86.21.10 Оказание услуг по проведению предрейсовых и послерейсовых медицинских осмотров водителей в 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>пос. Магдагачи</w:t>
            </w:r>
            <w:r>
              <w:rPr>
                <w:b w:val="false"/>
                <w:i w:val="false"/>
                <w:strike w:val="false"/>
                <w:dstrike w:val="false"/>
                <w:outline w:val="false"/>
                <w:shadow w:val="false"/>
                <w:sz w:val="24"/>
                <w:szCs w:val="24"/>
                <w:u w:val="none"/>
                <w:shd w:fill="auto" w:val="clear"/>
                <w:em w:val="none"/>
              </w:rPr>
              <w:t xml:space="preserve"> для нужд Владивостокского представительства АО «ТК РусГидро»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01.01.2027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  <w:lang w:val="ru-RU"/>
              </w:rPr>
              <w:t>31.12.20</w:t>
            </w:r>
            <w:r>
              <w:rPr>
                <w:sz w:val="24"/>
                <w:szCs w:val="24"/>
                <w:shd w:fill="auto" w:val="clear"/>
                <w:lang w:val="ru-RU"/>
              </w:rPr>
              <w:t>30</w:t>
            </w:r>
            <w:r>
              <w:rPr>
                <w:sz w:val="24"/>
                <w:szCs w:val="24"/>
                <w:shd w:fill="auto" w:val="clear"/>
                <w:lang w:val="ru-RU"/>
              </w:rPr>
              <w:t xml:space="preserve"> г</w:t>
            </w:r>
            <w:r>
              <w:rPr>
                <w:sz w:val="24"/>
                <w:szCs w:val="24"/>
                <w:shd w:fill="auto" w:val="clear"/>
                <w:lang w:val="ru-RU"/>
              </w:rPr>
              <w:t>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4" w:name="_Toc54643709"/>
      <w:bookmarkStart w:id="45" w:name="_Toc51339698"/>
      <w:bookmarkStart w:id="46" w:name="_Toc54643708"/>
      <w:bookmarkStart w:id="47" w:name="_Toc135150402"/>
      <w:bookmarkStart w:id="48" w:name="_Toc46743511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Toc135150403"/>
      <w:r>
        <w:rPr/>
        <w:t>Таблица </w:t>
      </w:r>
      <w:r>
        <w:rPr>
          <w:lang w:val="ru-RU"/>
        </w:rPr>
        <w:t>4</w:t>
      </w:r>
      <w:r>
        <w:rPr/>
        <w:t>. Требования к</w:t>
      </w:r>
      <w:bookmarkEnd w:id="44"/>
      <w:bookmarkEnd w:id="45"/>
      <w:bookmarkEnd w:id="49"/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 xml:space="preserve"> ОКПД 2 86.21.10 Оказание услуг по проведению предрейсовых и послерейсовых медицинских осмотров водителей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в 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>пос. Магдагачи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shd w:fill="auto" w:val="clear"/>
          <w:em w:val="none"/>
        </w:rPr>
        <w:t xml:space="preserve"> для н</w:t>
      </w:r>
      <w:r>
        <w:rPr>
          <w:b/>
          <w:bCs/>
          <w:i w:val="false"/>
          <w:strike w:val="false"/>
          <w:dstrike w:val="false"/>
          <w:outline w:val="false"/>
          <w:shadow w:val="false"/>
          <w:sz w:val="24"/>
          <w:szCs w:val="24"/>
          <w:u w:val="none"/>
          <w:em w:val="none"/>
        </w:rPr>
        <w:t>ужд Владивостокского представительства АО «ТК РусГидро»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7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59"/>
        <w:gridCol w:w="5222"/>
        <w:gridCol w:w="1649"/>
        <w:gridCol w:w="2435"/>
        <w:gridCol w:w="2268"/>
        <w:gridCol w:w="2940"/>
      </w:tblGrid>
      <w:tr>
        <w:trPr>
          <w:trHeight w:val="276" w:hRule="atLeast"/>
        </w:trPr>
        <w:tc>
          <w:tcPr>
            <w:tcW w:w="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2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16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4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>
          <w:trHeight w:val="276" w:hRule="atLeast"/>
        </w:trPr>
        <w:tc>
          <w:tcPr>
            <w:tcW w:w="75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22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6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0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0"/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9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Общие требования к оказанию услуг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FFFFFF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lang w:val="ru-RU"/>
              </w:rPr>
              <w:t>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421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</w:t>
            </w:r>
            <w:r>
              <w:rPr>
                <w:sz w:val="24"/>
                <w:szCs w:val="24"/>
                <w:shd w:fill="auto" w:val="clear"/>
              </w:rPr>
              <w:t xml:space="preserve">ся в </w:t>
            </w:r>
            <w:r>
              <w:rPr>
                <w:sz w:val="24"/>
                <w:szCs w:val="24"/>
                <w:shd w:fill="auto" w:val="clear"/>
              </w:rPr>
              <w:t>пос. Магдагачи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 анамнеза;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артериального давления и пульса у водителей;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90" w:hRule="atLeast"/>
        </w:trPr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скана (копии) действующей лицензии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предрейсовых/послерейсовых медицинских осмотров водителей автотранспортных средств. Обеспечение наличия, ведение (в бумажном или электронном виде) и архивное хранение указанного журнала осуществляются «Исполнителем» своими силами и за свой счет. После заполнения журнал хранится у «Исполнителя». В целях контроля результатов осмотров и соблюдения законодательства о персональных данных, «Исполнитель» обязуется ежемесячно, одновременно с предоставлением первичных учетных документов (актов оказанных услуг), направлять «Заказчику» надлежащим образом заверенные выписки из журнала в бумажном или электронном формате исключительно в отношении водителей «Заказчика». По результатам проводимых «Исполнителем» предрейсовых/послерейсовых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проведенных медицинских осмотров вносятся в Журналы, а также в предоставляемые «Заказчику» выписки из них, в которых указывается следующая информация об осматриваемом: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и время проведения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фамилия, имя, отчество (при наличии)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пол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дата рождения осматриваемого;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результаты исследований;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>
                <w:rFonts w:ascii="Times New Roman" w:hAnsi="Times New Roman"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заключение о результатах медицинского осмотра;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медицинского работника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усиленная квалифицированная электронная подпись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), с указанием фамилии, имени и отчества (при наличии) медицинского работника;</w:t>
            </w:r>
          </w:p>
          <w:p>
            <w:pPr>
              <w:pStyle w:val="Style37"/>
              <w:widowControl w:val="false"/>
              <w:numPr>
                <w:ilvl w:val="0"/>
                <w:numId w:val="10"/>
              </w:numPr>
              <w:suppressAutoHyphens w:val="true"/>
              <w:bidi w:val="0"/>
              <w:spacing w:lineRule="auto" w:line="240" w:before="0" w:after="283"/>
              <w:ind w:left="510" w:right="0" w:hanging="340"/>
              <w:jc w:val="left"/>
              <w:rPr/>
            </w:pP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Подпись осматриваемого, проходящего медицинский осмотр (при ведении Журнала в электронном виде — </w:t>
            </w:r>
            <w:r>
              <w:rPr>
                <w:rStyle w:val="Strong"/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с использованием электронных носителей/терминалов в соответствии с законодательством РФ</w:t>
            </w:r>
            <w:r>
              <w:rPr>
                <w:rFonts w:eastAsia="Times New Roman" w:cs="Times New Roman"/>
                <w:b w:val="false"/>
                <w:bCs w:val="false"/>
                <w:color w:val="auto"/>
                <w:kern w:val="0"/>
                <w:sz w:val="24"/>
                <w:szCs w:val="24"/>
                <w:lang w:val="ru-RU" w:eastAsia="ru-RU" w:bidi="ar-SA"/>
              </w:rPr>
              <w:t>).</w:t>
              <w:br/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Исполнитель обязуются сохранять конфиденциальность информации, полученной в ходе исполнения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6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07.00ч.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с требованием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1" w:name="_Toc54643710"/>
      <w:bookmarkStart w:id="52" w:name="_Toc135150404"/>
      <w:bookmarkStart w:id="53" w:name="_Toc53393312"/>
      <w:bookmarkStart w:id="54" w:name="_Toc53395937"/>
      <w:r>
        <w:rPr/>
        <w:t>Требования к документации по ценообразованию</w:t>
      </w:r>
      <w:bookmarkEnd w:id="53"/>
      <w:bookmarkEnd w:id="54"/>
      <w:r>
        <w:rPr/>
        <w:t xml:space="preserve"> на этапе закупки</w:t>
      </w:r>
      <w:bookmarkEnd w:id="51"/>
      <w:bookmarkEnd w:id="52"/>
    </w:p>
    <w:p>
      <w:pPr>
        <w:pStyle w:val="Normal"/>
        <w:widowControl w:val="false"/>
        <w:tabs>
          <w:tab w:val="clear" w:pos="708"/>
          <w:tab w:val="left" w:pos="0" w:leader="none"/>
        </w:tabs>
        <w:ind w:firstLine="680"/>
        <w:jc w:val="both"/>
        <w:rPr>
          <w:iCs/>
        </w:rPr>
      </w:pPr>
      <w:r>
        <w:rPr>
          <w:color w:val="000000"/>
        </w:rPr>
        <w:t>Цена на оказание услуг определяется на основании коммерческого предложения Исполнителя, действующего на момент заключения договора.</w:t>
      </w:r>
    </w:p>
    <w:p>
      <w:pPr>
        <w:pStyle w:val="Heading1"/>
        <w:numPr>
          <w:ilvl w:val="0"/>
          <w:numId w:val="3"/>
        </w:numPr>
        <w:ind w:left="426" w:hanging="426"/>
        <w:rPr/>
      </w:pPr>
      <w:bookmarkStart w:id="55" w:name="_Toc54281228"/>
      <w:bookmarkStart w:id="56" w:name="_Toc54643711"/>
      <w:bookmarkStart w:id="57" w:name="_Toc135150405"/>
      <w:r>
        <w:rPr/>
        <w:t>Требования к документации по ценообразованию на этапе заключения (исполнения) договора</w:t>
      </w:r>
      <w:bookmarkEnd w:id="55"/>
      <w:bookmarkEnd w:id="56"/>
      <w:bookmarkEnd w:id="57"/>
    </w:p>
    <w:p>
      <w:pPr>
        <w:pStyle w:val="Normal"/>
        <w:ind w:firstLine="709"/>
        <w:jc w:val="both"/>
        <w:rPr>
          <w:iCs/>
        </w:rPr>
      </w:pPr>
      <w:r>
        <w:rPr>
          <w:iCs/>
        </w:rPr>
        <w:t>После исполнения своих обязанностей по договору Исполнитель предоставляет Заказчику оригинал реестра, счета и акта приемки - передачи оказанных услуг.</w:t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rPr>
          <w:iCs/>
        </w:rPr>
      </w:pPr>
      <w:r>
        <w:rPr>
          <w:iCs/>
        </w:rPr>
      </w:r>
    </w:p>
    <w:p>
      <w:pPr>
        <w:pStyle w:val="Normal"/>
        <w:snapToGrid w:val="false"/>
        <w:jc w:val="both"/>
        <w:rPr>
          <w:rFonts w:eastAsia="Times New Roman" w:cs="Times New Roman"/>
          <w:i/>
          <w:i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snapToGrid w:val="false"/>
        <w:jc w:val="both"/>
        <w:rPr/>
      </w:pPr>
      <w:r>
        <w:rPr/>
      </w:r>
    </w:p>
    <w:p>
      <w:pPr>
        <w:pStyle w:val="Normal"/>
        <w:snapToGrid w:val="false"/>
        <w:jc w:val="both"/>
        <w:rPr/>
      </w:pPr>
      <w:r>
        <w:rPr/>
      </w:r>
      <w:bookmarkStart w:id="58" w:name="_Ref40301253"/>
      <w:bookmarkStart w:id="59" w:name="_Ref40301253"/>
      <w:bookmarkEnd w:id="59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  <w:bookmarkStart w:id="60" w:name="_Ref40301253_Копия_1"/>
      <w:bookmarkStart w:id="61" w:name="_Ref40301253_Копия_1"/>
      <w:bookmarkEnd w:id="61"/>
    </w:p>
    <w:p>
      <w:pPr>
        <w:pStyle w:val="Normal"/>
        <w:spacing w:before="0" w:after="120"/>
        <w:rPr>
          <w:i/>
          <w:i/>
          <w:iCs/>
          <w:sz w:val="24"/>
          <w:szCs w:val="24"/>
          <w:shd w:fill="FFFF99" w:val="clear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10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5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11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  <w:rPr/>
    </w:lvl>
    <w:lvl w:ilvl="2">
      <w:start w:val="1"/>
      <w:numFmt w:val="decimal"/>
      <w:lvlText w:val="%3."/>
      <w:lvlJc w:val="left"/>
      <w:pPr>
        <w:tabs>
          <w:tab w:val="num" w:pos="2007"/>
        </w:tabs>
        <w:ind w:left="2007" w:hanging="360"/>
      </w:pPr>
      <w:rPr/>
    </w:lvl>
    <w:lvl w:ilvl="3">
      <w:start w:val="1"/>
      <w:numFmt w:val="decimal"/>
      <w:lvlText w:val="%4."/>
      <w:lvlJc w:val="left"/>
      <w:pPr>
        <w:tabs>
          <w:tab w:val="num" w:pos="2367"/>
        </w:tabs>
        <w:ind w:left="2367" w:hanging="360"/>
      </w:pPr>
      <w:rPr/>
    </w:lvl>
    <w:lvl w:ilvl="4">
      <w:start w:val="1"/>
      <w:numFmt w:val="decimal"/>
      <w:lvlText w:val="%5."/>
      <w:lvlJc w:val="left"/>
      <w:pPr>
        <w:tabs>
          <w:tab w:val="num" w:pos="2727"/>
        </w:tabs>
        <w:ind w:left="2727" w:hanging="360"/>
      </w:pPr>
      <w:rPr/>
    </w:lvl>
    <w:lvl w:ilvl="5">
      <w:start w:val="1"/>
      <w:numFmt w:val="decimal"/>
      <w:lvlText w:val="%6."/>
      <w:lvlJc w:val="left"/>
      <w:pPr>
        <w:tabs>
          <w:tab w:val="num" w:pos="3087"/>
        </w:tabs>
        <w:ind w:left="3087" w:hanging="360"/>
      </w:pPr>
      <w:rPr/>
    </w:lvl>
    <w:lvl w:ilvl="6">
      <w:start w:val="1"/>
      <w:numFmt w:val="decimal"/>
      <w:lvlText w:val="%7."/>
      <w:lvlJc w:val="left"/>
      <w:pPr>
        <w:tabs>
          <w:tab w:val="num" w:pos="3447"/>
        </w:tabs>
        <w:ind w:left="3447" w:hanging="360"/>
      </w:pPr>
      <w:rPr/>
    </w:lvl>
    <w:lvl w:ilvl="7">
      <w:start w:val="1"/>
      <w:numFmt w:val="decimal"/>
      <w:lvlText w:val="%8."/>
      <w:lvlJc w:val="left"/>
      <w:pPr>
        <w:tabs>
          <w:tab w:val="num" w:pos="3807"/>
        </w:tabs>
        <w:ind w:left="3807" w:hanging="360"/>
      </w:pPr>
      <w:rPr/>
    </w:lvl>
    <w:lvl w:ilvl="8">
      <w:start w:val="1"/>
      <w:numFmt w:val="decimal"/>
      <w:lvlText w:val="%9."/>
      <w:lvlJc w:val="left"/>
      <w:pPr>
        <w:tabs>
          <w:tab w:val="num" w:pos="4167"/>
        </w:tabs>
        <w:ind w:left="4167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character" w:styleId="Style15">
    <w:name w:val="Символ нумерации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7">
    <w:name w:val="Указатель"/>
    <w:basedOn w:val="Normal"/>
    <w:qFormat/>
    <w:pPr>
      <w:suppressLineNumbers/>
    </w:pPr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4">
    <w:name w:val="Содержимое врезки"/>
    <w:basedOn w:val="Normal"/>
    <w:qFormat/>
    <w:pPr/>
    <w:rPr/>
  </w:style>
  <w:style w:type="paragraph" w:styleId="Style35">
    <w:name w:val="Содержимое таблицы"/>
    <w:basedOn w:val="Normal"/>
    <w:qFormat/>
    <w:pPr>
      <w:widowControl w:val="false"/>
      <w:suppressLineNumbers/>
    </w:pPr>
    <w:rPr/>
  </w:style>
  <w:style w:type="paragraph" w:styleId="Style36">
    <w:name w:val="Заголовок таблицы"/>
    <w:basedOn w:val="Style35"/>
    <w:qFormat/>
    <w:pPr>
      <w:suppressLineNumbers/>
      <w:jc w:val="center"/>
    </w:pPr>
    <w:rPr>
      <w:b/>
      <w:bCs/>
    </w:rPr>
  </w:style>
  <w:style w:type="paragraph" w:styleId="Style37">
    <w:name w:val="Блочная цитата"/>
    <w:basedOn w:val="Normal"/>
    <w:qFormat/>
    <w:pPr>
      <w:spacing w:before="0" w:after="283"/>
      <w:ind w:left="567" w:right="567" w:hanging="0"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3478259251">
    <w:name w:val="347825925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1382</TotalTime>
  <Application>AlterOffice/3.4.0.9$Linux_X86_64 LibreOffice_project/b8daf9e823b1a5463a2f48435ddc2e8696e7d4fc</Application>
  <AppVersion>15.0000</AppVersion>
  <Pages>11</Pages>
  <Words>1787</Words>
  <Characters>12436</Characters>
  <CharactersWithSpaces>13945</CharactersWithSpaces>
  <Paragraphs>270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belovdal@corp.gidroogk.com</cp:lastModifiedBy>
  <cp:lastPrinted>2024-03-27T14:25:30Z</cp:lastPrinted>
  <dcterms:modified xsi:type="dcterms:W3CDTF">2026-06-01T10:45:24Z</dcterms:modified>
  <cp:revision>116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