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ind w:left="5245" w:right="0" w:hanging="0"/>
        <w:jc w:val="right"/>
        <w:outlineLvl w:val="0"/>
        <w:rPr>
          <w:lang w:eastAsia="x-none"/>
        </w:rPr>
      </w:pPr>
      <w:r>
        <w:rPr>
          <w:lang w:eastAsia="x-none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Технические требования на оказание услуг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ОКПД 2 86.21.10 Оказание услуг по про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 xml:space="preserve">ведению предрейсовых и послерейсовых медицинских осмотров водителей в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>г. Поронайск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 xml:space="preserve"> для нужд Владивостокского представительства АО «ТК РусГидро»</w:t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  <w:shd w:fill="auto" w:val="clear"/>
        </w:rPr>
        <w:t>Лот №</w:t>
      </w:r>
      <w:r>
        <w:rPr>
          <w:rFonts w:eastAsia="Calibri"/>
          <w:b/>
          <w:bCs/>
          <w:sz w:val="28"/>
          <w:szCs w:val="28"/>
          <w:shd w:fill="auto" w:val="clear"/>
        </w:rPr>
        <w:t>80</w:t>
      </w:r>
      <w:r>
        <w:rPr>
          <w:rFonts w:eastAsia="Calibri"/>
          <w:b/>
          <w:bCs/>
          <w:sz w:val="28"/>
          <w:szCs w:val="28"/>
          <w:shd w:fill="auto" w:val="clear"/>
        </w:rPr>
        <w:t>54</w:t>
      </w:r>
      <w:r>
        <w:rPr>
          <w:rFonts w:eastAsia="Calibri"/>
          <w:b/>
          <w:bCs/>
          <w:sz w:val="28"/>
          <w:szCs w:val="28"/>
          <w:shd w:fill="auto" w:val="clear"/>
        </w:rPr>
        <w:t>-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 xml:space="preserve">ЭКСП ПРОД-2027-Влад 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ТК РусГидро АО</w:t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/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instrText xml:space="preserve"> TOC \z \o "1-4" \u \h</w:instrText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fldChar w:fldCharType="separate"/>
          </w:r>
          <w:r>
            <w:rPr>
              <w:rFonts w:eastAsia="" w:cs="" w:cstheme="minorBidi" w:eastAsiaTheme="minorEastAsia" w:ascii="Calibri" w:hAnsi="Calibri"/>
              <w:b w:val="false"/>
              <w:bCs w:val="false"/>
              <w:sz w:val="22"/>
              <w:szCs w:val="22"/>
            </w:rPr>
          </w:r>
        </w:p>
        <w:p>
          <w:pPr>
            <w:pStyle w:val="TOC1"/>
            <w:rPr/>
          </w:pPr>
          <w:hyperlink w:anchor="_Toc135150390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1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2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3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4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Иные требования и сведения общего характера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5">
            <w:r>
              <w:rPr>
                <w:webHidden/>
                <w:rStyle w:val="Style14"/>
                <w:rFonts w:eastAsia="Calibri"/>
                <w:vanish w:val="false"/>
                <w:lang w:val="x-none" w:eastAsia="x-none"/>
              </w:rPr>
              <w:t>Таблица 1</w:t>
            </w:r>
            <w:r>
              <w:rPr>
                <w:rStyle w:val="Style14"/>
                <w:rFonts w:eastAsia="Calibri"/>
                <w:lang w:eastAsia="x-none"/>
              </w:rPr>
              <w:t>.</w:t>
            </w:r>
            <w:r>
              <w:rPr>
                <w:rStyle w:val="Style14"/>
                <w:rFonts w:eastAsia="Calibri"/>
                <w:lang w:val="x-none" w:eastAsia="x-none"/>
              </w:rPr>
              <w:t xml:space="preserve"> </w:t>
            </w:r>
            <w:r>
              <w:rPr>
                <w:rStyle w:val="Style14"/>
                <w:rFonts w:eastAsia="Calibri"/>
                <w:lang w:eastAsia="x-none"/>
              </w:rPr>
              <w:t>Перечень объектов заказчика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6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продукции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4"/>
            <w:rPr/>
          </w:pPr>
          <w:hyperlink w:anchor="_Toc135150397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398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перечню и объему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1"/>
            <w:rPr/>
          </w:pPr>
          <w:hyperlink w:anchor="_Toc135150399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400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402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4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5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заключения (исполнения) договора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</w:rPr>
      </w:pPr>
      <w:bookmarkStart w:id="0" w:name="_Toc135150390"/>
      <w:bookmarkStart w:id="1" w:name="_Toc54643694"/>
      <w:r>
        <w:rPr/>
        <w:t>Общие сведения</w:t>
      </w:r>
      <w:bookmarkEnd w:id="0"/>
      <w:bookmarkEnd w:id="1"/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" w:name="_Toc54643696"/>
      <w:bookmarkStart w:id="3" w:name="_Toc135150391"/>
      <w:bookmarkStart w:id="4" w:name="_Toc46743506"/>
      <w:r>
        <w:rPr/>
        <w:t>Наименование закупаемой продукции</w:t>
      </w:r>
      <w:bookmarkEnd w:id="2"/>
      <w:bookmarkEnd w:id="3"/>
      <w:bookmarkEnd w:id="4"/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ab/>
        <w:t>ОКПД 2 86.21.10 Оказание услуг по проведению предрейсовых и послерейсовых медицинских осмотров водителе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й в 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>г. Поронайск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 д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ля нужд Владивостокского представительства АО «ТК РусГидро»</w:t>
      </w:r>
    </w:p>
    <w:p>
      <w:pPr>
        <w:pStyle w:val="Heading4"/>
        <w:numPr>
          <w:ilvl w:val="1"/>
          <w:numId w:val="3"/>
        </w:numPr>
        <w:ind w:left="426" w:hanging="426"/>
        <w:rPr>
          <w:rFonts w:ascii="Times New Roman" w:hAnsi="Times New Roman"/>
          <w:sz w:val="24"/>
          <w:szCs w:val="24"/>
        </w:rPr>
      </w:pPr>
      <w:bookmarkStart w:id="5" w:name="_Toc54643697"/>
      <w:bookmarkStart w:id="6" w:name="_Toc135150392"/>
      <w:bookmarkStart w:id="7" w:name="_Toc46743507"/>
      <w:r>
        <w:rPr>
          <w:sz w:val="24"/>
          <w:szCs w:val="24"/>
        </w:rPr>
        <w:t xml:space="preserve">Цель </w:t>
      </w:r>
      <w:bookmarkEnd w:id="7"/>
      <w:r>
        <w:rPr>
          <w:sz w:val="24"/>
          <w:szCs w:val="24"/>
        </w:rPr>
        <w:t>оказания услуг</w:t>
      </w:r>
      <w:bookmarkEnd w:id="6"/>
      <w:r>
        <w:rPr>
          <w:sz w:val="24"/>
          <w:szCs w:val="24"/>
        </w:rPr>
        <w:t xml:space="preserve"> </w:t>
      </w:r>
      <w:bookmarkEnd w:id="5"/>
    </w:p>
    <w:p>
      <w:pPr>
        <w:pStyle w:val="Normal"/>
        <w:tabs>
          <w:tab w:val="clear" w:pos="708"/>
          <w:tab w:val="left" w:pos="426" w:leader="none"/>
        </w:tabs>
        <w:ind w:firstLine="567"/>
        <w:jc w:val="both"/>
        <w:rPr>
          <w:sz w:val="24"/>
          <w:szCs w:val="24"/>
        </w:rPr>
      </w:pPr>
      <w:bookmarkStart w:id="8" w:name="_Toc54643698"/>
      <w:bookmarkStart w:id="9" w:name="_Toc46743508"/>
      <w:bookmarkEnd w:id="8"/>
      <w:bookmarkEnd w:id="9"/>
      <w:r>
        <w:rPr>
          <w:sz w:val="24"/>
          <w:szCs w:val="24"/>
        </w:rPr>
        <w:t>Целью предрейсовых/ послерейсовых медицинских осмотров водителей является выявление лиц, которые по медицинским показаниям не могут быть допущены к управлению автомобилем как с позиции обеспечения безопасности дорожного движения, так и охраны здоровья водителя и пассажиров.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0" w:name="_Toc54643700"/>
      <w:bookmarkStart w:id="11" w:name="_Hlk49857604"/>
      <w:bookmarkStart w:id="12" w:name="_Toc135150393"/>
      <w:bookmarkStart w:id="13" w:name="_Toc46743509"/>
      <w:bookmarkStart w:id="14" w:name="_Toc54643698_Копия_1"/>
      <w:bookmarkStart w:id="15" w:name="_Toc46743508_Копия_1"/>
      <w:bookmarkEnd w:id="14"/>
      <w:bookmarkEnd w:id="15"/>
      <w:r>
        <w:rPr/>
        <w:t xml:space="preserve">Информация в отношении исполнения договора, </w:t>
      </w:r>
      <w:bookmarkStart w:id="16" w:name="_Hlk46492347"/>
      <w:r>
        <w:rPr/>
        <w:t xml:space="preserve">которая должна быть учтена при подготовке заявки </w:t>
      </w:r>
      <w:bookmarkEnd w:id="16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11"/>
      <w:bookmarkEnd w:id="12"/>
      <w:bookmarkEnd w:id="13"/>
      <w:r>
        <w:rPr>
          <w:lang w:val="ru-RU"/>
        </w:rPr>
        <w:t xml:space="preserve"> </w:t>
      </w:r>
      <w:bookmarkStart w:id="17" w:name="_Hlk48209761"/>
      <w:bookmarkEnd w:id="10"/>
    </w:p>
    <w:p>
      <w:pPr>
        <w:pStyle w:val="Normal"/>
        <w:widowControl/>
        <w:bidi w:val="0"/>
        <w:ind w:left="0" w:right="0" w:firstLine="510"/>
        <w:jc w:val="both"/>
        <w:rPr>
          <w:lang w:val="ru-RU"/>
        </w:rPr>
      </w:pPr>
      <w:r>
        <w:rPr>
          <w:color w:val="22272F"/>
          <w:sz w:val="24"/>
          <w:szCs w:val="24"/>
          <w:shd w:fill="FFFFFF" w:val="clear"/>
          <w:lang w:val="ru-RU" w:eastAsia="x-none"/>
        </w:rPr>
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</w:r>
      <w:r>
        <w:rPr>
          <w:sz w:val="24"/>
          <w:szCs w:val="24"/>
          <w:lang w:val="ru-RU" w:eastAsia="x-none"/>
        </w:rPr>
        <w:t>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8" w:name="_Toc54643701"/>
      <w:bookmarkStart w:id="19" w:name="_Toc135150394"/>
      <w:bookmarkStart w:id="20" w:name="_Toc50125126"/>
      <w:bookmarkStart w:id="21" w:name="_Toc46743510"/>
      <w:bookmarkEnd w:id="17"/>
      <w:bookmarkEnd w:id="20"/>
      <w:bookmarkEnd w:id="21"/>
      <w:r>
        <w:rPr/>
        <w:t>Иные требования и сведения общего характера</w:t>
      </w:r>
      <w:bookmarkEnd w:id="19"/>
      <w:r>
        <w:rPr>
          <w:lang w:val="ru-RU"/>
        </w:rPr>
        <w:t xml:space="preserve"> </w:t>
      </w:r>
      <w:bookmarkEnd w:id="18"/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Ежедневное проведение предрейсовых и послерейсовых медицинских осмотров водителей транспортных средств.</w:t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60"/>
        <w:ind w:left="0" w:hanging="0"/>
        <w:outlineLvl w:val="0"/>
        <w:rPr>
          <w:rFonts w:eastAsia="Calibri"/>
          <w:b/>
          <w:lang w:eastAsia="x-none"/>
        </w:rPr>
      </w:pPr>
      <w:bookmarkStart w:id="22" w:name="_Toc54643699"/>
      <w:bookmarkStart w:id="23" w:name="_Toc135150395"/>
      <w:bookmarkStart w:id="24" w:name="_Toc129097754"/>
      <w:r>
        <w:rPr>
          <w:rFonts w:eastAsia="Calibri"/>
          <w:b/>
          <w:lang w:val="x-none" w:eastAsia="x-none"/>
        </w:rPr>
        <w:t>Таблица 1</w:t>
      </w:r>
      <w:r>
        <w:rPr>
          <w:rFonts w:eastAsia="Calibri"/>
          <w:b/>
          <w:lang w:eastAsia="x-none"/>
        </w:rPr>
        <w:t>.</w:t>
      </w:r>
      <w:r>
        <w:rPr>
          <w:rFonts w:eastAsia="Calibri"/>
          <w:b/>
          <w:lang w:val="x-none" w:eastAsia="x-none"/>
        </w:rPr>
        <w:t xml:space="preserve"> </w:t>
      </w:r>
      <w:r>
        <w:rPr>
          <w:rFonts w:eastAsia="Calibri"/>
          <w:b/>
          <w:lang w:eastAsia="x-none"/>
        </w:rPr>
        <w:t>Перечень объектов заказчика</w:t>
      </w:r>
      <w:bookmarkEnd w:id="22"/>
      <w:bookmarkEnd w:id="23"/>
      <w:bookmarkEnd w:id="24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261"/>
        <w:gridCol w:w="2103"/>
        <w:gridCol w:w="2008"/>
        <w:gridCol w:w="1984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1268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ОКПД 2 86.21.10 Оказание услуг по проведению предрейсовых и послерейсовых медицинских осмотров водителей в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>г. Поронайск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 для нужд Владивостокского представительства АО «ТК РусГидро»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Проведение осмотров осуществляется в </w:t>
            </w:r>
            <w:r>
              <w:rPr>
                <w:iCs/>
                <w:sz w:val="24"/>
                <w:szCs w:val="24"/>
                <w:shd w:fill="auto" w:val="clear"/>
              </w:rPr>
              <w:t xml:space="preserve">  </w:t>
            </w:r>
            <w:r>
              <w:rPr>
                <w:b w:val="false"/>
                <w:i w:val="false"/>
                <w:iCs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  <w:lang w:val="ru-RU"/>
              </w:rPr>
              <w:t>г. Поронайск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</w:tbl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firstLine="567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  <w:lang w:val="ru-RU"/>
        </w:rPr>
      </w:pPr>
      <w:bookmarkStart w:id="25" w:name="_Toc51339693"/>
      <w:bookmarkStart w:id="26" w:name="_Toc54643702"/>
      <w:bookmarkStart w:id="27" w:name="_Toc135150396"/>
      <w:r>
        <w:rPr>
          <w:lang w:val="ru-RU"/>
        </w:rPr>
        <w:t>Требования</w:t>
      </w:r>
      <w:r>
        <w:rPr/>
        <w:t xml:space="preserve"> к продукции</w:t>
      </w:r>
      <w:bookmarkEnd w:id="25"/>
      <w:bookmarkEnd w:id="26"/>
      <w:bookmarkEnd w:id="27"/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8" w:name="_Toc54643703"/>
      <w:bookmarkStart w:id="29" w:name="_Toc135150397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8"/>
      <w:bookmarkEnd w:id="29"/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0" w:name="_Toc54643704"/>
      <w:bookmarkStart w:id="31" w:name="_Toc135150398"/>
      <w:r>
        <w:rPr/>
        <w:t>Требования к перечню и объему услуг</w:t>
      </w:r>
      <w:bookmarkEnd w:id="30"/>
      <w:bookmarkEnd w:id="31"/>
    </w:p>
    <w:p>
      <w:pPr>
        <w:pStyle w:val="Heading1"/>
        <w:numPr>
          <w:ilvl w:val="0"/>
          <w:numId w:val="0"/>
        </w:numPr>
        <w:ind w:left="0" w:hanging="0"/>
        <w:rPr/>
      </w:pPr>
      <w:bookmarkStart w:id="32" w:name="_Toc54643705"/>
      <w:bookmarkStart w:id="33" w:name="_Toc135150399"/>
      <w:bookmarkStart w:id="34" w:name="_Toc51339695"/>
      <w:r>
        <w:rPr/>
        <w:t xml:space="preserve">Таблица 2. Перечень </w:t>
      </w:r>
      <w:bookmarkEnd w:id="34"/>
      <w:r>
        <w:rPr/>
        <w:t>и объем оказываемых услуг</w:t>
      </w:r>
      <w:bookmarkEnd w:id="32"/>
      <w:bookmarkEnd w:id="33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Предрейсовый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2190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Послерейсовый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2190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5" w:name="_Toc54643706"/>
      <w:bookmarkStart w:id="36" w:name="_Toc135150400"/>
      <w:bookmarkStart w:id="37" w:name="_Toc51339696"/>
      <w:r>
        <w:rPr/>
        <w:t xml:space="preserve">Требования </w:t>
      </w:r>
      <w:bookmarkEnd w:id="37"/>
      <w:r>
        <w:rPr/>
        <w:t>к срокам оказания услуг</w:t>
      </w:r>
      <w:bookmarkEnd w:id="35"/>
      <w:bookmarkEnd w:id="36"/>
    </w:p>
    <w:p>
      <w:pPr>
        <w:pStyle w:val="Heading1"/>
        <w:numPr>
          <w:ilvl w:val="0"/>
          <w:numId w:val="0"/>
        </w:numPr>
        <w:ind w:left="0" w:hanging="0"/>
        <w:rPr>
          <w:lang w:val="ru-RU"/>
        </w:rPr>
      </w:pPr>
      <w:bookmarkStart w:id="38" w:name="_Toc54643707"/>
      <w:bookmarkStart w:id="39" w:name="_Toc135150401"/>
      <w:bookmarkStart w:id="40" w:name="_Toc50125127"/>
      <w:bookmarkStart w:id="41" w:name="_Toc51339697"/>
      <w:bookmarkStart w:id="42" w:name="_Toc50125126_Копия_1"/>
      <w:bookmarkEnd w:id="42"/>
      <w:r>
        <w:rPr/>
        <w:t xml:space="preserve">Таблица </w:t>
      </w:r>
      <w:r>
        <w:rPr>
          <w:lang w:val="ru-RU"/>
        </w:rPr>
        <w:t>3</w:t>
      </w:r>
      <w:r>
        <w:rPr/>
        <w:t xml:space="preserve">. </w:t>
      </w:r>
      <w:bookmarkStart w:id="43" w:name="_Hlk50465284"/>
      <w:r>
        <w:rPr/>
        <w:t xml:space="preserve">Требования </w:t>
      </w:r>
      <w:r>
        <w:rPr>
          <w:lang w:val="ru-RU"/>
        </w:rPr>
        <w:t>к</w:t>
      </w:r>
      <w:r>
        <w:rPr/>
        <w:t xml:space="preserve"> срокам </w:t>
      </w:r>
      <w:bookmarkEnd w:id="40"/>
      <w:bookmarkEnd w:id="41"/>
      <w:bookmarkEnd w:id="43"/>
      <w:r>
        <w:rPr>
          <w:lang w:val="ru-RU"/>
        </w:rPr>
        <w:t>оказания услуг</w:t>
      </w:r>
      <w:bookmarkEnd w:id="38"/>
      <w:bookmarkEnd w:id="39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9"/>
        <w:gridCol w:w="2551"/>
        <w:gridCol w:w="2978"/>
        <w:gridCol w:w="3117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ОКПД 2 86.21.10 Оказание услуг по проведению предрейсовых и послерейсовых медицинских осмотров водителей в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>г. Поронайск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 для нужд Владивостокского представительства АО «ТК РусГидро»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01.01.2027 г</w:t>
            </w:r>
            <w:r>
              <w:rPr>
                <w:sz w:val="24"/>
                <w:szCs w:val="24"/>
                <w:shd w:fill="auto" w:val="clear"/>
                <w:lang w:val="ru-RU"/>
              </w:rPr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31.12.20</w:t>
            </w:r>
            <w:r>
              <w:rPr>
                <w:sz w:val="24"/>
                <w:szCs w:val="24"/>
                <w:shd w:fill="auto" w:val="clear"/>
                <w:lang w:val="ru-RU"/>
              </w:rPr>
              <w:t>30</w:t>
            </w:r>
            <w:r>
              <w:rPr>
                <w:sz w:val="24"/>
                <w:szCs w:val="24"/>
                <w:shd w:fill="auto" w:val="clear"/>
                <w:lang w:val="ru-RU"/>
              </w:rPr>
              <w:t xml:space="preserve"> г</w:t>
            </w:r>
            <w:r>
              <w:rPr>
                <w:sz w:val="24"/>
                <w:szCs w:val="24"/>
                <w:shd w:fill="auto" w:val="clear"/>
                <w:lang w:val="ru-RU"/>
              </w:rPr>
              <w:t>.</w:t>
            </w:r>
          </w:p>
        </w:tc>
      </w:tr>
    </w:tbl>
    <w:p>
      <w:pPr>
        <w:sectPr>
          <w:headerReference w:type="even" r:id="rId2"/>
          <w:headerReference w:type="defaul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44" w:name="_Toc54643709"/>
      <w:bookmarkStart w:id="45" w:name="_Toc51339698"/>
      <w:bookmarkStart w:id="46" w:name="_Toc54643708"/>
      <w:bookmarkStart w:id="47" w:name="_Toc135150402"/>
      <w:bookmarkStart w:id="48" w:name="_Toc46743511"/>
      <w:r>
        <w:rPr/>
        <w:t xml:space="preserve">Требования к </w:t>
      </w:r>
      <w:bookmarkEnd w:id="48"/>
      <w:r>
        <w:rPr>
          <w:lang w:val="ru-RU"/>
        </w:rPr>
        <w:t>качеству услуг</w:t>
      </w:r>
      <w:bookmarkEnd w:id="46"/>
      <w:bookmarkEnd w:id="47"/>
    </w:p>
    <w:p>
      <w:pPr>
        <w:pStyle w:val="Heading1"/>
        <w:numPr>
          <w:ilvl w:val="0"/>
          <w:numId w:val="0"/>
        </w:numPr>
        <w:ind w:left="0" w:hanging="0"/>
        <w:rPr/>
      </w:pPr>
      <w:bookmarkStart w:id="49" w:name="_Toc135150403"/>
      <w:r>
        <w:rPr/>
        <w:t>Таблица </w:t>
      </w:r>
      <w:r>
        <w:rPr>
          <w:lang w:val="ru-RU"/>
        </w:rPr>
        <w:t>4</w:t>
      </w:r>
      <w:r>
        <w:rPr/>
        <w:t>. Требования к</w:t>
      </w:r>
      <w:bookmarkEnd w:id="44"/>
      <w:bookmarkEnd w:id="45"/>
      <w:bookmarkEnd w:id="49"/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 ОКПД 2 86.21.10 Оказание услуг по проведению предрейсовых и послерейсовых медицинских осмотров водителей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в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>г. Поронайск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 для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 нужд Владивостокского представительства АО «ТК РусГидро»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i/>
          <w:iCs/>
          <w:shd w:fill="FFFF99" w:val="clear"/>
        </w:rPr>
      </w:r>
    </w:p>
    <w:tbl>
      <w:tblPr>
        <w:tblW w:w="1527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59"/>
        <w:gridCol w:w="5222"/>
        <w:gridCol w:w="1649"/>
        <w:gridCol w:w="2435"/>
        <w:gridCol w:w="2268"/>
        <w:gridCol w:w="2940"/>
      </w:tblGrid>
      <w:tr>
        <w:trPr>
          <w:trHeight w:val="276" w:hRule="atLeast"/>
        </w:trPr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76" w:hRule="atLeast"/>
        </w:trPr>
        <w:tc>
          <w:tcPr>
            <w:tcW w:w="7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6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bookmarkStart w:id="50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50"/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2604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оказанию услуг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22272F"/>
                <w:sz w:val="24"/>
                <w:szCs w:val="24"/>
                <w:shd w:fill="FFFFFF" w:val="clear"/>
                <w:lang w:val="ru-RU" w:eastAsia="x-none"/>
              </w:rPr>
      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      </w:r>
            <w:r>
              <w:rPr>
                <w:b w:val="false"/>
                <w:bCs w:val="false"/>
                <w:sz w:val="24"/>
                <w:szCs w:val="24"/>
                <w:lang w:val="ru-RU"/>
              </w:rPr>
              <w:t>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421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осмотров осуществляется </w:t>
            </w:r>
            <w:r>
              <w:rPr>
                <w:sz w:val="24"/>
                <w:szCs w:val="24"/>
                <w:shd w:fill="auto" w:val="clear"/>
              </w:rPr>
              <w:t xml:space="preserve">в </w:t>
            </w:r>
            <w:r>
              <w:rPr>
                <w:sz w:val="24"/>
                <w:szCs w:val="24"/>
                <w:shd w:fill="auto" w:val="clear"/>
              </w:rPr>
              <w:t>г. Поронайск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Ежедневное проводение предрейсовых и послерейсовых медицинских осмотров водителей транспортных средств.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решения вопроса о допуске водителя к работе при медицинском осмотре проводятся все необходимые исследования и мероприятия, в том числе: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сбор анамнеза;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артериального давления и пульса у водителей;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наличия алкоголя и других психотропных веществ в выдыхаемом воздухе или биологических субстратах одним из официально признанных методов;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 наличии показаний проведение любые других разрешенных медицинских исследований, необходимых для решения вопроса о допуске к работе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0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водителей, больных гипертонической болезнью, медицинским персоналом «Исполнителя» определяется индивидуальная норма артериального давления по результатам замеров не менее чем десяти предрейсовых медицинских осмотров.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Оборудование, применяемое для проведения медицинского осмотра должно</w:t>
            </w:r>
            <w:r>
              <w:rPr>
                <w:color w:val="333333"/>
                <w:sz w:val="24"/>
                <w:szCs w:val="24"/>
              </w:rPr>
              <w:t xml:space="preserve"> соответствовать нормам безопасности и технико-эксплуатационной надёжности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должно иметь обязательную соответствующую сертификацию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Аппаратура и приборы не должны представлять угрозы для пациентов, сотрудников медучреждений и окружающей среды (при строгом соблюдении инструкций, правил применения и эксплуатации и подержании стабильных внешних условий).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приборы, оборудование и материалы для оказания услуг, должны быть сертифицированы для применения на территории РФ, своевременно проходить все необходимые поверки, и применяться в соответствии с инструкцией по эксплуатации.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Медицинские работники, осуществляющие проведение медицинского осмотра </w:t>
            </w:r>
            <w:r>
              <w:rPr>
                <w:bCs/>
                <w:color w:val="202124"/>
                <w:sz w:val="24"/>
                <w:szCs w:val="24"/>
                <w:shd w:fill="FFFFFF" w:val="clear"/>
              </w:rPr>
              <w:t>должны иметь высшее и (или) среднее образование профессиональное образование, действующий сертификат специалиста и документ, подтверждающий прохождение специального обучения.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Предрейсовые и послерейсовые медицинские осмотры водителей должны проводятся медицинскими организациями любой формы собственности, имеющих лицензию на осуществление медицинской деятельности, с привлечением медицинского работника, прошедшего специальное обучение (врач, фельдшер, медицинская сестра)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скана (копии) действующей лицензии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результатов обследования вносятся в журнал предрейсовых/послерейсовых медицинских осмотров водителей автотранспортных средств. Обеспечение наличия, ведение (в бумажном или электронном виде) и архивное хранение указанного журнала осуществляются «Исполнителем» своими силами и за свой счет. После заполнения журнал хранится у «Исполнителя». В целях контроля результатов осмотров и соблюдения законодательства о персональных данных, «Исполнитель» обязуется ежемесячно, одновременно с предоставлением первичных учетных документов (актов оказанных услуг), направлять «Заказчику» надлежащим образом заверенные выписки из журнала в бумажном или электронном формате исключительно в отношении водителей «Заказчика». По результатам проводимых «Исполнителем» предрейсовых/послерейсовых медицинских осмотров водители «Заказчика» допускаются либо не допускаются к управлению автомобилем в случаях, указанных в приказе Минздрава РФ «Об утверждении Порядка и периодичности проведения предсменных, предрейсовых, послесменных‚ послерейсовых медицинских осмотров, медицинских осмотров в течение рабочего дня (смены) и перечня включаемых в них исследований» №266н от 30.05.2023г.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Результаты проведенных медицинских осмотров вносятся в Журналы, а также в предоставляемые «Заказчику» выписки из них, в которых указывается следующая информация об осматриваемом: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дата и время проведения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фамилия, имя, отчество (при наличии)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пол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дата рождения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результаты исследований;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заключение о результатах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подпись медицинского работника (при ведении Журнала в электронном виде —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усиленная квалифицированная электронная подпись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), с указанием фамилии, имени и отчества (при наличии) медицинского работника;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Подпись осматриваемого, проходящего медицинский осмотр (при ведении Журнала в электронном виде —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с использованием электронных носителей/терминалов в соответствии с законодательством РФ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).</w:t>
              <w:br/>
              <w:t>В случае ведения Журнала на бумажном носителе страницы должны быть прошнурованы, пронумерованы, скреплены печатью медицинской организации (при наличии), на оттиске которой идентифицируется название медицинской организации в соответствии с учредительными документами.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проведении медицинского осмотра, в случае обнаружения факторов, препятствующих допуску водителя к работе, составляются акты в двух экземплярах. Один экземпляр акта остается у медицинского работника «Исполнителя», второй экземпляр передается руководителю или уполномоченному лицу «Заказчика», который, в свою очередь, принимает решение в отношении данного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Исполнитель обязуются сохранять конфиденциальность информации, полученной в ходе исполнения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</w:t>
            </w:r>
            <w:r>
              <w:rPr>
                <w:color w:val="000000"/>
                <w:spacing w:val="7"/>
                <w:sz w:val="24"/>
                <w:szCs w:val="24"/>
              </w:rPr>
              <w:t>за исключением случаев, предусмотренных законодательством Российской Федерации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проведению предрейсовых и послерейсовых медицинских осмотров должны быть безопасны и должны исключать возможность причинения вреда здоровью работникам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По результатам прохождения предсменного, предрейсового медицинского осмотра при вынесении медицинского заключения в путевом листе медицинским работником, проводившим соответствующий медицинский осмотр, проставляются дата, время и результат проведения медицинского осмотра в виде отметки "прошел предсменный (предрейсовый) медицинский осмотр, к исполнению трудовых обязанностей допущен", "прошел послесменный (послерейсовый) медицинский осмотр" или "прошел послесменный (послерейсовый) медицинский осмотр, выявлены признаки" с указанием воздействия вредных и (или) опасных производственных факторов рабочей среды и трудового процесса на состояние здоровья работника, острого профессионального заболевания или отравления, признаков алкогольного, наркотического или иного токсического опьянения и заверяются его собственноручной подписью на бумажном носителе либо усиленной квалифицированной электронной подписью в случае формирования электронного путевого листа с указанием фамилии, имени и отчества (при наличии) медицинского работника, наименования медицинской организации (если медицинский работник состоит в штате медицинской организации).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Подводить итоги предрейсовых и послерейсовых медицинских осмотров с анализом причин отстранения от работы водителей транспортных средств и результаты доводить до сведения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ind w:left="25" w:hanging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обязан проводить предрейсовый и послерейсовый медицинский осмотр водителей транспортных средств Заказчика в соответствии с обязательными требованиями и правилами, установленными действующим законодательством в РФ.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несет ответственность предусмотренных законодательством РФ за качество проведенного предрейсового медицинского осмотра и выдачу заключения о допуске водителей к управлению транспортным средством.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предрейсовых осмотров в рабочие, выходные и праздничные дни (при необходимости) с 07.00ч. до 09.00ч.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послерейсовых осмотров в рабочие, выходные и праздничные дни (при необходимости) с 18.00ч. до 20.00ч.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1" w:name="_Toc54643710"/>
      <w:bookmarkStart w:id="52" w:name="_Toc135150404"/>
      <w:bookmarkStart w:id="53" w:name="_Toc53393312"/>
      <w:bookmarkStart w:id="54" w:name="_Toc53395937"/>
      <w:r>
        <w:rPr/>
        <w:t>Требования к документации по ценообразованию</w:t>
      </w:r>
      <w:bookmarkEnd w:id="53"/>
      <w:bookmarkEnd w:id="54"/>
      <w:r>
        <w:rPr/>
        <w:t xml:space="preserve"> на этапе закупки</w:t>
      </w:r>
      <w:bookmarkEnd w:id="51"/>
      <w:bookmarkEnd w:id="52"/>
    </w:p>
    <w:p>
      <w:pPr>
        <w:pStyle w:val="Normal"/>
        <w:widowControl w:val="false"/>
        <w:tabs>
          <w:tab w:val="clear" w:pos="708"/>
          <w:tab w:val="left" w:pos="0" w:leader="none"/>
        </w:tabs>
        <w:ind w:firstLine="680"/>
        <w:jc w:val="both"/>
        <w:rPr>
          <w:iCs/>
        </w:rPr>
      </w:pPr>
      <w:r>
        <w:rPr>
          <w:color w:val="000000"/>
        </w:rPr>
        <w:t>Цена на оказание услуг определяется на основании коммерческого предложения Исполнителя, действующего на момент заключения договора.</w:t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5" w:name="_Toc54281228"/>
      <w:bookmarkStart w:id="56" w:name="_Toc54643711"/>
      <w:bookmarkStart w:id="57" w:name="_Toc135150405"/>
      <w:r>
        <w:rPr/>
        <w:t>Требования к документации по ценообразованию на этапе заключения (исполнения) договора</w:t>
      </w:r>
      <w:bookmarkEnd w:id="55"/>
      <w:bookmarkEnd w:id="56"/>
      <w:bookmarkEnd w:id="57"/>
    </w:p>
    <w:p>
      <w:pPr>
        <w:pStyle w:val="Normal"/>
        <w:ind w:firstLine="709"/>
        <w:jc w:val="both"/>
        <w:rPr>
          <w:iCs/>
        </w:rPr>
      </w:pPr>
      <w:r>
        <w:rPr>
          <w:iCs/>
        </w:rPr>
        <w:t>После исполнения своих обязанностей по договору Исполнитель предоставляет Заказчику оригинал реестра, счета и акта приемки - передачи оказанных услуг.</w:t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snapToGrid w:val="false"/>
        <w:jc w:val="both"/>
        <w:rPr>
          <w:rFonts w:eastAsia="Times New Roman" w:cs="Times New Roman"/>
          <w:i/>
          <w:i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i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napToGrid w:val="false"/>
        <w:jc w:val="both"/>
        <w:rPr/>
      </w:pPr>
      <w:r>
        <w:rPr/>
      </w:r>
    </w:p>
    <w:p>
      <w:pPr>
        <w:pStyle w:val="Normal"/>
        <w:snapToGrid w:val="false"/>
        <w:jc w:val="both"/>
        <w:rPr/>
      </w:pPr>
      <w:r>
        <w:rPr/>
      </w:r>
      <w:bookmarkStart w:id="58" w:name="_Ref40301253"/>
      <w:bookmarkStart w:id="59" w:name="_Ref40301253"/>
      <w:bookmarkEnd w:id="59"/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  <w:bookmarkStart w:id="60" w:name="_Ref40301253_Копия_1"/>
      <w:bookmarkStart w:id="61" w:name="_Ref40301253_Копия_1"/>
      <w:bookmarkEnd w:id="61"/>
    </w:p>
    <w:p>
      <w:pPr>
        <w:pStyle w:val="Normal"/>
        <w:spacing w:before="0" w:after="120"/>
        <w:rPr>
          <w:i/>
          <w:i/>
          <w:iCs/>
          <w:sz w:val="24"/>
          <w:szCs w:val="24"/>
          <w:shd w:fill="FFFF99" w:val="clear"/>
        </w:rPr>
      </w:pPr>
      <w:r>
        <w:rPr/>
      </w:r>
    </w:p>
    <w:sectPr>
      <w:headerReference w:type="default" r:id="rId6"/>
      <w:headerReference w:type="first" r:id="rId7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5</w: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11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9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/>
    </w:lvl>
    <w:lvl w:ilvl="2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  <w:rPr/>
    </w:lvl>
    <w:lvl w:ilvl="3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  <w:rPr/>
    </w:lvl>
    <w:lvl w:ilvl="4">
      <w:start w:val="1"/>
      <w:numFmt w:val="decimal"/>
      <w:lvlText w:val="%5."/>
      <w:lvlJc w:val="left"/>
      <w:pPr>
        <w:tabs>
          <w:tab w:val="num" w:pos="2727"/>
        </w:tabs>
        <w:ind w:left="2727" w:hanging="360"/>
      </w:pPr>
      <w:rPr/>
    </w:lvl>
    <w:lvl w:ilvl="5">
      <w:start w:val="1"/>
      <w:numFmt w:val="decimal"/>
      <w:lvlText w:val="%6."/>
      <w:lvlJc w:val="left"/>
      <w:pPr>
        <w:tabs>
          <w:tab w:val="num" w:pos="3087"/>
        </w:tabs>
        <w:ind w:left="3087" w:hanging="360"/>
      </w:pPr>
      <w:rPr/>
    </w:lvl>
    <w:lvl w:ilvl="6">
      <w:start w:val="1"/>
      <w:numFmt w:val="decimal"/>
      <w:lvlText w:val="%7."/>
      <w:lvlJc w:val="left"/>
      <w:pPr>
        <w:tabs>
          <w:tab w:val="num" w:pos="3447"/>
        </w:tabs>
        <w:ind w:left="3447" w:hanging="360"/>
      </w:pPr>
      <w:rPr/>
    </w:lvl>
    <w:lvl w:ilvl="7">
      <w:start w:val="1"/>
      <w:numFmt w:val="decimal"/>
      <w:lvlText w:val="%8."/>
      <w:lvlJc w:val="left"/>
      <w:pPr>
        <w:tabs>
          <w:tab w:val="num" w:pos="3807"/>
        </w:tabs>
        <w:ind w:left="3807" w:hanging="360"/>
      </w:pPr>
      <w:rPr/>
    </w:lvl>
    <w:lvl w:ilvl="8">
      <w:start w:val="1"/>
      <w:numFmt w:val="decimal"/>
      <w:lvlText w:val="%9."/>
      <w:lvlJc w:val="left"/>
      <w:pPr>
        <w:tabs>
          <w:tab w:val="num" w:pos="4167"/>
        </w:tabs>
        <w:ind w:left="4167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b5269f"/>
    <w:pPr>
      <w:keepNext w:val="true"/>
      <w:numPr>
        <w:ilvl w:val="2"/>
        <w:numId w:val="3"/>
      </w:numPr>
      <w:spacing w:before="120" w:after="60"/>
      <w:ind w:left="426" w:hanging="426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b5269f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 w:customStyle="1">
    <w:name w:val="Caption"/>
    <w:basedOn w:val="Normal"/>
    <w:qFormat/>
    <w:rsid w:val="006a3667"/>
    <w:pPr>
      <w:spacing w:lineRule="auto" w:line="276" w:before="0" w:after="200"/>
      <w:jc w:val="center"/>
    </w:pPr>
    <w:rPr>
      <w:rFonts w:ascii="Calibri" w:hAnsi="Calibri"/>
      <w:b/>
      <w:sz w:val="24"/>
      <w:szCs w:val="20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b97371"/>
    <w:pPr>
      <w:tabs>
        <w:tab w:val="clear" w:pos="708"/>
        <w:tab w:val="left" w:pos="284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dd2f9f"/>
    <w:pPr>
      <w:tabs>
        <w:tab w:val="clear" w:pos="708"/>
        <w:tab w:val="right" w:pos="9911" w:leader="dot"/>
      </w:tabs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dd2f9f"/>
    <w:pPr>
      <w:tabs>
        <w:tab w:val="clear" w:pos="708"/>
        <w:tab w:val="left" w:pos="1120" w:leader="none"/>
        <w:tab w:val="right" w:pos="9911" w:leader="none"/>
      </w:tabs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>
    <w:name w:val="Содержимое врезки"/>
    <w:basedOn w:val="Normal"/>
    <w:qFormat/>
    <w:pPr/>
    <w:rPr/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Блочная цитата"/>
    <w:basedOn w:val="Normal"/>
    <w:qFormat/>
    <w:pPr>
      <w:spacing w:before="0" w:after="283"/>
      <w:ind w:left="567" w:righ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3478259251">
    <w:name w:val="347825925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B6433-85A2-423E-B903-A2FA64E26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Application>AlterOffice/3.4.0.9$Linux_X86_64 LibreOffice_project/b8daf9e823b1a5463a2f48435ddc2e8696e7d4fc</Application>
  <AppVersion>15.0000</AppVersion>
  <Pages>11</Pages>
  <Words>1787</Words>
  <Characters>12422</Characters>
  <CharactersWithSpaces>13931</CharactersWithSpaces>
  <Paragraphs>270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belovdal@corp.gidroogk.com</cp:lastModifiedBy>
  <cp:lastPrinted>2024-03-27T14:25:30Z</cp:lastPrinted>
  <dcterms:modified xsi:type="dcterms:W3CDTF">2026-06-01T16:37:28Z</dcterms:modified>
  <cp:revision>116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