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rPr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416967041"/>
      <w:bookmarkStart w:id="2" w:name="_Toc1398562871"/>
      <w:bookmarkStart w:id="3" w:name="_Toc1375545841"/>
      <w:bookmarkStart w:id="4" w:name="_Toc1416967041"/>
      <w:bookmarkStart w:id="5" w:name="_Toc1398562871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ОКПД2 68.20.12. Аренда нежилого помещения (теплой стоянки) для размещения транспортных средств строительного участка Нерюнгри Дальневосточного филиала АО "ТК РусГидро"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rFonts w:eastAsia="Calibri"/>
          <w:b/>
          <w:color w:val="auto"/>
          <w:sz w:val="26"/>
          <w:szCs w:val="26"/>
        </w:rPr>
      </w:pPr>
      <w:r>
        <w:rPr>
          <w:rFonts w:eastAsia="Calibri"/>
          <w:b/>
          <w:color w:val="auto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6960_644051928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972_644051928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974_644051928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976_644051928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978_644051928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980_644051928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982_644051928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984_644051928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986_644051928">
            <w:r>
              <w:rPr>
                <w:webHidden/>
                <w:rStyle w:val="Style14"/>
                <w:vanish w:val="false"/>
              </w:rPr>
              <w:t>2.2. Требования к качеству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988_644051928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>
              <w:vanish w:val="false"/>
            </w:rPr>
          </w:pPr>
          <w:r>
            <w:rPr>
              <w:vanish w:val="false"/>
            </w:rPr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992_644051928">
            <w:r>
              <w:rPr>
                <w:webHidden/>
                <w:rStyle w:val="Style14"/>
                <w:vanish w:val="false"/>
              </w:rPr>
              <w:t xml:space="preserve">3. </w:t>
            </w:r>
          </w:hyperlink>
          <w:hyperlink w:anchor="__RefHeading___Toc16996_644051928">
            <w:r>
              <w:rPr>
                <w:webHidden/>
                <w:rStyle w:val="Style14"/>
                <w:vanish w:val="false"/>
              </w:rPr>
              <w:t>Требования к документации по ценообразованию на этапе заключения (исполнения) договора</w:t>
              <w:tab/>
              <w:t>6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4"/>
        <w:tabs>
          <w:tab w:val="clear" w:pos="1120"/>
          <w:tab w:val="clear" w:pos="9911"/>
          <w:tab w:val="right" w:pos="9921" w:leader="dot"/>
        </w:tabs>
        <w:rPr>
          <w:vanish w:val="false"/>
        </w:rPr>
      </w:pPr>
      <w:r>
        <w:rPr>
          <w:vanish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_RefHeading___Toc16960_644051928"/>
      <w:bookmarkStart w:id="7" w:name="_Toc54643694"/>
      <w:bookmarkEnd w:id="6"/>
      <w:r>
        <w:rPr>
          <w:lang w:val="ru-RU"/>
        </w:rPr>
        <w:t>Общие сведения</w:t>
      </w:r>
      <w:bookmarkEnd w:id="7"/>
    </w:p>
    <w:p>
      <w:pPr>
        <w:pStyle w:val="Heading4"/>
        <w:tabs>
          <w:tab w:val="clear" w:pos="0"/>
        </w:tabs>
        <w:spacing w:before="0" w:after="0"/>
        <w:ind w:left="432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8" w:name="__RefHeading___Toc16964_644051928"/>
      <w:bookmarkStart w:id="9" w:name="_Toc46743506"/>
      <w:bookmarkStart w:id="10" w:name="_Toc54643696"/>
      <w:bookmarkEnd w:id="8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6"/>
          <w:szCs w:val="26"/>
        </w:rPr>
      </w:pPr>
      <w:bookmarkStart w:id="11" w:name="__RefHeading___Toc16966_644051928"/>
      <w:bookmarkEnd w:id="11"/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ОКПД2 68.20.12. Аренда нежилого помещения (теплой стоянки) для размещения транспортных средств строительного участка Нерюнгри Дальневосточного филиала АО "ТК РусГидро"</w:t>
      </w:r>
      <w:bookmarkStart w:id="12" w:name="_Toc54643697"/>
      <w:bookmarkStart w:id="13" w:name="_Toc46743507"/>
    </w:p>
    <w:p>
      <w:pPr>
        <w:pStyle w:val="Heading4"/>
        <w:numPr>
          <w:ilvl w:val="1"/>
          <w:numId w:val="3"/>
        </w:numPr>
        <w:spacing w:before="0" w:after="0"/>
        <w:rPr>
          <w:i/>
          <w:i/>
          <w:sz w:val="26"/>
          <w:szCs w:val="26"/>
          <w:shd w:fill="FFFF99" w:val="clear"/>
        </w:rPr>
      </w:pPr>
      <w:bookmarkStart w:id="14" w:name="__RefHeading___Toc16968_644051928"/>
      <w:bookmarkEnd w:id="14"/>
      <w:r>
        <w:rPr>
          <w:sz w:val="26"/>
          <w:szCs w:val="26"/>
        </w:rPr>
        <w:t xml:space="preserve">Цель </w:t>
      </w:r>
      <w:bookmarkEnd w:id="13"/>
      <w:r>
        <w:rPr>
          <w:sz w:val="26"/>
          <w:szCs w:val="26"/>
          <w:lang w:val="ru-RU"/>
        </w:rPr>
        <w:t>оказания услуг</w:t>
      </w:r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/>
      </w:pPr>
      <w:bookmarkEnd w:id="12"/>
      <w:r>
        <w:rPr>
          <w:b w:val="false"/>
          <w:bCs w:val="false"/>
          <w:sz w:val="24"/>
          <w:szCs w:val="24"/>
        </w:rPr>
        <w:t>Заключение договора аренды отапливаемого нежилого помещения (гаража/гаражного бокса) для нужд строительного участка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Нерюнгри Дальневосточного филиала АО "ТК РусГидро" д</w:t>
      </w:r>
      <w:r>
        <w:rPr>
          <w:b w:val="false"/>
          <w:bCs w:val="false"/>
          <w:sz w:val="24"/>
          <w:szCs w:val="24"/>
        </w:rPr>
        <w:t>ля стоянки (хранения) автотранспорта</w:t>
      </w:r>
      <w:r>
        <w:rPr>
          <w:b w:val="false"/>
          <w:bCs w:val="false"/>
          <w:sz w:val="24"/>
          <w:szCs w:val="24"/>
          <w:lang w:val="ru-RU"/>
        </w:rPr>
        <w:t xml:space="preserve">.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1.3.</w:t>
      </w:r>
      <w:r>
        <w:rPr>
          <w:b/>
          <w:bCs/>
          <w:sz w:val="26"/>
          <w:szCs w:val="26"/>
        </w:rPr>
        <w:t xml:space="preserve"> Существующее положение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Не применяется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5" w:name="__RefHeading___Toc16972_644051928"/>
      <w:bookmarkStart w:id="16" w:name="_Toc54643699"/>
      <w:bookmarkEnd w:id="1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6"/>
    </w:p>
    <w:tbl>
      <w:tblPr>
        <w:tblW w:w="1008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124"/>
        <w:gridCol w:w="1471"/>
        <w:gridCol w:w="1802"/>
        <w:gridCol w:w="2126"/>
        <w:gridCol w:w="3563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Нежилое помещение (теплая стоянка) для размещения ТС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Республика Саха (Якутия), пгт. Серебряный Бор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АО «Усть-СреднеканГЭСстрой»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iCs/>
          <w:caps/>
          <w:lang w:val="ru-RU"/>
        </w:rPr>
      </w:pPr>
      <w:bookmarkStart w:id="17" w:name="__RefHeading___Toc16974_644051928"/>
      <w:bookmarkStart w:id="18" w:name="_Toc54643702"/>
      <w:bookmarkStart w:id="19" w:name="_Toc51339693"/>
      <w:bookmarkEnd w:id="1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20" w:name="__RefHeading___Toc16976_644051928"/>
      <w:bookmarkStart w:id="21" w:name="_Toc54643703"/>
      <w:bookmarkEnd w:id="2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1"/>
    </w:p>
    <w:p>
      <w:pPr>
        <w:pStyle w:val="Heading3"/>
        <w:numPr>
          <w:ilvl w:val="2"/>
          <w:numId w:val="3"/>
        </w:numPr>
        <w:spacing w:before="0" w:after="0"/>
        <w:rPr/>
      </w:pPr>
      <w:bookmarkStart w:id="22" w:name="__RefHeading___Toc16978_644051928"/>
      <w:bookmarkStart w:id="23" w:name="_Toc54643704"/>
      <w:bookmarkEnd w:id="22"/>
      <w:r>
        <w:rPr>
          <w:lang w:val="ru-RU"/>
        </w:rPr>
        <w:t>Требования к перечню и объему услуг</w:t>
      </w:r>
      <w:bookmarkEnd w:id="23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4" w:name="__RefHeading___Toc16980_644051928"/>
      <w:bookmarkStart w:id="25" w:name="_Toc54643705"/>
      <w:bookmarkStart w:id="26" w:name="_Toc51339695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6"/>
      <w:r>
        <w:rPr>
          <w:sz w:val="24"/>
          <w:szCs w:val="24"/>
          <w:lang w:val="ru-RU"/>
        </w:rPr>
        <w:t>и объем оказываемых услуг</w:t>
      </w:r>
      <w:bookmarkEnd w:id="25"/>
    </w:p>
    <w:tbl>
      <w:tblPr>
        <w:tblW w:w="997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05"/>
        <w:gridCol w:w="4692"/>
        <w:gridCol w:w="1995"/>
        <w:gridCol w:w="2282"/>
      </w:tblGrid>
      <w:tr>
        <w:trPr/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bookmarkStart w:id="27" w:name="__RefHeading___Toc16966_644051928_Копия_"/>
            <w:bookmarkEnd w:id="27"/>
            <w:r>
              <w:rPr>
                <w:rStyle w:val="Hyperlink"/>
                <w:rFonts w:eastAsia="Calibri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Республика Саха (Якутия), пгт. Серебряный Бор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менее 250,00 м</w:t>
            </w:r>
            <w:r>
              <w:rPr>
                <w:i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rPr>
          <w:lang w:val="ru-RU"/>
        </w:rPr>
      </w:pPr>
      <w:bookmarkStart w:id="28" w:name="__RefHeading___Toc16982_644051928"/>
      <w:bookmarkStart w:id="29" w:name="_Toc54643706"/>
      <w:bookmarkStart w:id="30" w:name="_Toc51339696"/>
      <w:bookmarkEnd w:id="28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31" w:name="__RefHeading___Toc16984_644051928"/>
      <w:bookmarkStart w:id="32" w:name="_Toc54643707"/>
      <w:bookmarkStart w:id="33" w:name="_Toc51339697"/>
      <w:bookmarkStart w:id="34" w:name="_Toc50125127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3"/>
      <w:bookmarkEnd w:id="34"/>
      <w:bookmarkEnd w:id="35"/>
      <w:r>
        <w:rPr>
          <w:sz w:val="24"/>
          <w:szCs w:val="24"/>
          <w:lang w:val="ru-RU"/>
        </w:rPr>
        <w:t>оказания услуг</w:t>
      </w:r>
      <w:bookmarkEnd w:id="32"/>
    </w:p>
    <w:tbl>
      <w:tblPr>
        <w:tblW w:w="100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05"/>
        <w:gridCol w:w="4100"/>
        <w:gridCol w:w="2324"/>
        <w:gridCol w:w="2550"/>
      </w:tblGrid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36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ListParagraph"/>
              <w:widowControl w:val="false"/>
              <w:ind w:left="36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ListParagraph"/>
              <w:widowControl w:val="false"/>
              <w:ind w:left="360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ListParagraph"/>
              <w:widowControl w:val="false"/>
              <w:ind w:left="360" w:hanging="0"/>
              <w:rPr>
                <w:i/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bookmarkStart w:id="36" w:name="__RefHeading___Toc16966_6440519281"/>
            <w:bookmarkEnd w:id="36"/>
            <w:r>
              <w:rPr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>ОКПД2 68.20.12. Аренда нежилого помещения (теплой стоянки) для размещения транспортных средств строительного участка Нерюнгри Дальневосточного филиала АО "ТК РусГидро"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01.02.2027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7" w:name="__RefHeading___Toc16988_644051928"/>
      <w:bookmarkEnd w:id="3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</w:rPr>
      </w:pPr>
      <w:bookmarkStart w:id="38" w:name="__RefHeading___Toc16966_644051928_Копия_"/>
      <w:bookmarkEnd w:id="38"/>
      <w:r>
        <w:rPr>
          <w:rFonts w:eastAsia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ОКПД2 68.20.12. Аренда нежилого помещения (теплой стоянки) для размещения транспортных средств строительного участка Нерюнгри Дальневосточного филиала АО "ТК РусГидро"</w:t>
      </w:r>
    </w:p>
    <w:tbl>
      <w:tblPr>
        <w:tblStyle w:val="affff2"/>
        <w:tblW w:w="15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8"/>
        <w:gridCol w:w="7377"/>
        <w:gridCol w:w="53"/>
        <w:gridCol w:w="6803"/>
      </w:tblGrid>
      <w:tr>
        <w:trPr>
          <w:trHeight w:val="276" w:hRule="atLeast"/>
        </w:trPr>
        <w:tc>
          <w:tcPr>
            <w:tcW w:w="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3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8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9"/>
          </w:p>
        </w:tc>
        <w:tc>
          <w:tcPr>
            <w:tcW w:w="73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8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территория должна быть охраняемая (охранная сигнализация)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смотровая яма (для осмотра ТС и мелкого ремонта)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нежилое помещение должны соответствовать производственному назначению и быть пригодным для эксплуатации, в том числе отвечать требованиям в области промышленной и пожарной безопасности, охраны труда и окружающей среды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должно располагаться на удалении не более 1 км. от  Нерюнгринской ГЭС</w:t>
            </w:r>
          </w:p>
        </w:tc>
        <w:tc>
          <w:tcPr>
            <w:tcW w:w="68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сдаваемого в аренду помещения для осуществления деятельности должно соответствовать изложенным в настоящем техническом требовании арендатора характеристикам или превосходить их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 жилого помещения</w:t>
            </w:r>
          </w:p>
        </w:tc>
        <w:tc>
          <w:tcPr>
            <w:tcW w:w="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железобетон и /или кирпич 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 или эквивалент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отопление</w:t>
            </w:r>
          </w:p>
        </w:tc>
        <w:tc>
          <w:tcPr>
            <w:tcW w:w="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температурный режим в нежилом помещении не менее +5 в зимнее время года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канализации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помещения не менее 250,00 м2 для размещения транспортных средств строительного участка Нерюнгри Дальневосточного филиала АО «ТК РусГидро»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помещения не менее  250,0 кв. м. для размещения ТС и хранения материалов (запчастей)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ежеквартально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универсальный передаточный документ (УПД)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Cs/>
                <w:sz w:val="24"/>
                <w:szCs w:val="24"/>
              </w:rPr>
            </w:pPr>
            <w:bookmarkStart w:id="40" w:name="__RefHeading___Toc16990_644051928"/>
            <w:bookmarkEnd w:id="4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контрагент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арендодателя законных оснований для сдачи недвижимого имущества в аренду. На момент заключения договора нежилые помещения, передаваемые в субаренду, не заложены, не арестованы, не являются предметом исков третьих лиц.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1" w:name="__RefHeading___Toc16996_644051928"/>
      <w:bookmarkStart w:id="42" w:name="_Toc54643711"/>
      <w:bookmarkStart w:id="43" w:name="_Toc54281228"/>
      <w:bookmarkEnd w:id="4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2"/>
      <w:bookmarkEnd w:id="43"/>
    </w:p>
    <w:p>
      <w:pPr>
        <w:pStyle w:val="Heading4"/>
        <w:numPr>
          <w:ilvl w:val="0"/>
          <w:numId w:val="0"/>
        </w:numPr>
        <w:spacing w:lineRule="auto" w:line="240" w:before="0" w:after="0"/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нежилыми помещениями. Арендатор вправе ознакомиться с характеристиками помещений в месте их расположения. Оплата коммунальных услуг не включается в стоимость арендной платы.</w:t>
      </w:r>
    </w:p>
    <w:p>
      <w:pPr>
        <w:pStyle w:val="Heading4"/>
        <w:numPr>
          <w:ilvl w:val="0"/>
          <w:numId w:val="0"/>
        </w:numPr>
        <w:spacing w:lineRule="auto" w:line="240" w:before="0" w:after="0"/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3.2.  Дополнительные документы по ценообразованию не требуются.</w:t>
      </w:r>
    </w:p>
    <w:p>
      <w:pPr>
        <w:pStyle w:val="Heading4"/>
        <w:tabs>
          <w:tab w:val="clear" w:pos="0"/>
        </w:tabs>
        <w:spacing w:before="0" w:after="0"/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  <w:bookmarkStart w:id="44" w:name="__RefHeading___Toc17004_644051928"/>
      <w:bookmarkStart w:id="45" w:name="__RefHeading___Toc17004_644051928"/>
      <w:bookmarkEnd w:id="45"/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EBD5-7602-43B1-93AD-780AC0D4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Application>AlterOffice/3.4.0.9$Linux_X86_64 LibreOffice_project/b8daf9e823b1a5463a2f48435ddc2e8696e7d4fc</Application>
  <AppVersion>15.0000</AppVersion>
  <Pages>7</Pages>
  <Words>777</Words>
  <Characters>5092</Characters>
  <CharactersWithSpaces>5707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2023-12-28T05:58:00Z</dcterms:created>
  <dc:creator>Быстров Олег Геннадьевич</dc:creator>
  <dc:description/>
  <dc:language>ru-RU</dc:language>
  <cp:lastModifiedBy>yakovlevel@corp.gidroogk.com</cp:lastModifiedBy>
  <dcterms:modified xsi:type="dcterms:W3CDTF">2026-06-02T15:31:49Z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