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26.30.11.192 Поставка радиостанций для мобильных огневых групп Минобороны России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b w:val="false"/>
            </w:rPr>
          </w:pPr>
          <w:hyperlink w:anchor="_Toc75446582"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 3 Требования к продукции</w:t>
              <w:tab/>
            </w:r>
          </w:hyperlink>
          <w:r>
            <w:rPr>
              <w:b w:val="false"/>
              <w:vanish w:val="false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  <w:t>3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Cs w:val="false"/>
              </w:rPr>
              <w:t>Приложения</w:t>
            </w:r>
            <w:r>
              <w:rPr>
                <w:rStyle w:val="Style14"/>
              </w:rPr>
              <w:tab/>
            </w:r>
          </w:hyperlink>
          <w:r>
            <w:rPr/>
            <w:t>7</w:t>
          </w:r>
        </w:p>
        <w:p>
          <w:pPr>
            <w:pStyle w:val="Normal"/>
            <w:ind w:left="567" w:hanging="0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Normal"/>
            <w:ind w:left="567" w:hanging="0"/>
            <w:rPr>
              <w:rFonts w:eastAsia="" w:eastAsiaTheme="minorEastAsia"/>
            </w:rPr>
          </w:pPr>
          <w:r>
            <w:rPr>
              <w:rFonts w:eastAsia="Calibri" w:cs="Calibri Light (Заголовки)"/>
              <w:b/>
              <w:sz w:val="24"/>
              <w:szCs w:val="24"/>
            </w:rPr>
            <w:t>Приложение к ТТ.</w:t>
          </w:r>
          <w:r>
            <w:rPr>
              <w:rFonts w:eastAsia="" w:eastAsiaTheme="minorEastAsia"/>
            </w:rPr>
            <w:t xml:space="preserve"> </w:t>
          </w:r>
          <w:r>
            <w:rPr>
              <w:rFonts w:eastAsia="" w:eastAsiaTheme="minorEastAsia"/>
              <w:b/>
              <w:sz w:val="24"/>
              <w:szCs w:val="24"/>
            </w:rPr>
            <w:t>Форма спецификации………………………...…………………………8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rFonts w:eastAsia="Times New Roman" w:cs="Calibri Light" w:cstheme="majorHAnsi"/>
          <w:b w:val="false"/>
          <w:i/>
          <w:i/>
          <w:lang w:val="ru-RU" w:eastAsia="ru-RU"/>
        </w:rPr>
      </w:pPr>
      <w:r>
        <w:rPr>
          <w:rFonts w:eastAsia="Times New Roman" w:cs="Calibri Light" w:cstheme="majorHAnsi"/>
          <w:b w:val="false"/>
          <w:i/>
          <w:lang w:val="ru-RU" w:eastAsia="ru-RU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Мобильная огневая группа Минобороны России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БЛА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АТЗ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Антитеррористическая защищенность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Топливно –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 незаконного вмешательства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Саратовская ГЭС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jc w:val="left"/>
        <w:rPr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ОКПД2 26.30.11.192 Поставка радиостанций для мобильных огневых групп Минобороны России.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r>
        <w:rPr/>
        <w:t>Ц</w:t>
      </w:r>
      <w:bookmarkStart w:id="6" w:name="_Toc75446569"/>
      <w:bookmarkStart w:id="7" w:name="_Toc46743507"/>
      <w:r>
        <w:rPr/>
        <w:t xml:space="preserve">ель, задачи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данной поставки является </w:t>
      </w:r>
      <w:r>
        <w:rPr>
          <w:rFonts w:eastAsia="Calibri" w:cs="Times New Roman"/>
          <w:color w:val="000000"/>
          <w:sz w:val="24"/>
          <w:szCs w:val="24"/>
          <w:lang w:eastAsia="ru-RU"/>
        </w:rPr>
        <w:t>исполнение поручения Президента Российской Федерации от 10.04.2026 № Пр-867, указания вице-губернатора Саратовской области (от 21.05.2026 № 2-05-09/1879), решения регионального сегмента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в Саратовской области (протокол заседания                  № 2 от 19.05.2026). Реализация</w:t>
      </w:r>
      <w:r>
        <w:rPr>
          <w:sz w:val="24"/>
          <w:szCs w:val="24"/>
        </w:rPr>
        <w:t xml:space="preserve"> мер защиты Филиала от АНВ с использованием БЛА.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Задачей данной поставки является </w:t>
      </w:r>
      <w:r>
        <w:rPr>
          <w:rFonts w:eastAsia="Times New Roman"/>
          <w:b w:val="false"/>
          <w:sz w:val="24"/>
          <w:szCs w:val="24"/>
          <w:lang w:val="ru-RU" w:eastAsia="ru-RU"/>
        </w:rPr>
        <w:t>оснащение развертываемых в Филиале мобильных огневых групп необходимым оборудованием и снаряжением.</w:t>
      </w:r>
    </w:p>
    <w:p>
      <w:pPr>
        <w:pStyle w:val="Heading3"/>
        <w:numPr>
          <w:ilvl w:val="1"/>
          <w:numId w:val="9"/>
        </w:numPr>
        <w:ind w:left="426" w:right="0" w:hanging="360"/>
        <w:rPr/>
      </w:pPr>
      <w:bookmarkStart w:id="8" w:name="_Toc75446570"/>
      <w:bookmarkStart w:id="9" w:name="_Toc46743508"/>
      <w:r>
        <w:rPr/>
        <w:t>Существующее положение</w:t>
      </w:r>
      <w:bookmarkEnd w:id="8"/>
      <w:bookmarkEnd w:id="9"/>
    </w:p>
    <w:p>
      <w:pPr>
        <w:pStyle w:val="Heading3"/>
        <w:numPr>
          <w:ilvl w:val="0"/>
          <w:numId w:val="0"/>
        </w:numPr>
        <w:ind w:left="0" w:right="0" w:hanging="0"/>
        <w:jc w:val="both"/>
        <w:rPr>
          <w:b w:val="false"/>
        </w:rPr>
      </w:pPr>
      <w:r>
        <w:rPr>
          <w:rFonts w:eastAsia="Times New Roman"/>
          <w:b w:val="false"/>
          <w:lang w:val="ru-RU" w:eastAsia="ru-RU"/>
        </w:rPr>
        <w:t xml:space="preserve">     </w:t>
      </w:r>
      <w:r>
        <w:rPr>
          <w:rFonts w:eastAsia="Times New Roman"/>
          <w:b w:val="false"/>
          <w:lang w:val="ru-RU" w:eastAsia="ru-RU"/>
        </w:rPr>
        <w:t xml:space="preserve">Мобильные огневые группы в Филиале отсутствуют, ранее не разворачивались. </w:t>
      </w:r>
    </w:p>
    <w:p>
      <w:pPr>
        <w:pStyle w:val="Normal"/>
        <w:rPr>
          <w:sz w:val="12"/>
          <w:szCs w:val="12"/>
          <w:lang w:val="x-none" w:eastAsia="x-none"/>
        </w:rPr>
      </w:pPr>
      <w:r>
        <w:rPr>
          <w:sz w:val="12"/>
          <w:szCs w:val="12"/>
          <w:lang w:val="x-none" w:eastAsia="x-none"/>
        </w:rPr>
      </w:r>
      <w:bookmarkStart w:id="10" w:name="_Hlk48209761"/>
      <w:bookmarkStart w:id="11" w:name="_Hlk48209761"/>
      <w:bookmarkEnd w:id="11"/>
    </w:p>
    <w:p>
      <w:pPr>
        <w:pStyle w:val="Heading1"/>
        <w:keepLines/>
        <w:numPr>
          <w:ilvl w:val="0"/>
          <w:numId w:val="9"/>
        </w:numPr>
        <w:ind w:left="357" w:right="0" w:hanging="357"/>
        <w:jc w:val="center"/>
        <w:rPr>
          <w:iCs/>
          <w:caps/>
          <w:lang w:val="ru-RU"/>
        </w:rPr>
      </w:pPr>
      <w:bookmarkStart w:id="12" w:name="_Toc75446573"/>
      <w:bookmarkStart w:id="13" w:name="_Toc51339693"/>
      <w:bookmarkStart w:id="14" w:name="_Hlk48209761_Копия_1"/>
      <w:bookmarkStart w:id="15" w:name="_Toc50125126"/>
      <w:bookmarkEnd w:id="14"/>
      <w:bookmarkEnd w:id="15"/>
      <w:r>
        <w:rPr>
          <w:iCs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10"/>
        </w:numPr>
        <w:ind w:left="1418" w:right="0" w:hanging="720"/>
        <w:rPr/>
      </w:pPr>
      <w:bookmarkStart w:id="17" w:name="_Toc75446575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18" w:name="_Toc75446576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Радиостанция носимая TYT MD-UV390 10W или аналог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комплект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>
        <w:trPr>
          <w:trHeight w:val="343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Радиостанция автомобильная TYT MD-9600 или аналог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комплект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Программатор для настройки радиостанций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12"/>
          <w:szCs w:val="12"/>
          <w:shd w:fill="FFFF99" w:val="clear"/>
        </w:rPr>
      </w:pPr>
      <w:r>
        <w:rPr>
          <w:bCs/>
          <w:i/>
          <w:sz w:val="12"/>
          <w:szCs w:val="12"/>
          <w:shd w:fill="FFFF99" w:val="clear"/>
        </w:rPr>
      </w:r>
    </w:p>
    <w:p>
      <w:pPr>
        <w:pStyle w:val="Heading3"/>
        <w:numPr>
          <w:ilvl w:val="2"/>
          <w:numId w:val="10"/>
        </w:numPr>
        <w:ind w:left="1418" w:right="0" w:hanging="720"/>
        <w:rPr>
          <w:lang w:val="ru-RU"/>
        </w:rPr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Normal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Поставка товара осуществляется единовременно.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2" w:name="_Toc75446579"/>
      <w:bookmarkStart w:id="23" w:name="_Toc51339697"/>
      <w:bookmarkStart w:id="24" w:name="_Toc5012512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694"/>
        <w:gridCol w:w="283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7" w:name="_Toc46743510"/>
            <w:r>
              <w:rPr>
                <w:b/>
                <w:sz w:val="24"/>
                <w:szCs w:val="24"/>
              </w:rPr>
              <w:t>4</w:t>
            </w:r>
            <w:bookmarkEnd w:id="27"/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Радиостанция носимая TYT MD-UV390 10W или аналог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15.06.2026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Радиостанция автомобильная TYT MD-9600 или аналог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15.06.2026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Программатор для настройки радиостанций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15.06.2026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28" w:name="_Toc51339698"/>
      <w:bookmarkStart w:id="29" w:name="_Toc75446581"/>
      <w:bookmarkStart w:id="30" w:name="_Toc46743511"/>
      <w:r>
        <w:rPr/>
        <w:t xml:space="preserve">Требования к </w:t>
      </w:r>
      <w:bookmarkEnd w:id="30"/>
      <w:r>
        <w:rPr>
          <w:lang w:val="ru-RU"/>
        </w:rPr>
        <w:t>качеству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продукции: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р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адиостанция носимая, радиостанция автомобильныя, программатор </w:t>
      </w:r>
    </w:p>
    <w:tbl>
      <w:tblPr>
        <w:tblStyle w:val="affff5"/>
        <w:tblW w:w="14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4678"/>
        <w:gridCol w:w="9355"/>
      </w:tblGrid>
      <w:tr>
        <w:trPr>
          <w:trHeight w:val="276" w:hRule="atLeast"/>
        </w:trPr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3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u w:val="single"/>
              </w:rPr>
              <w:t>Радиостанция носимая TYT MD-UV390 10W или аналог: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Частотный диапазон: 136-174/400-470 МГц.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Мощность: не менее 10 Вт.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Волновое сопротивление антенны: 50 Ом.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Мощность выходного аудио-сигнала: до 1 Вт (при нагрузке 16 Ом).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Возможность работы как в аналоговом, так и цифровом режиме.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Возможность осуществлять частные вызовы, групповые вызовы и вызовы всем абонентам при работе в цифровом режиме.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Наличие шифрования (в цифровом режиме).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Возможность устанавливать CTCSS/DCS коды на приём / передачу (в аналоговом режиме).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Наличие режима VFO (прямого ввода частоты).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Рабочее напряжение питания: 7,4 В.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Тип используемого аккумулятора: Li-Ion.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Ёмкость используемого аккумулятора: не менее 3600 мАч.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u w:val="single"/>
              </w:rPr>
              <w:t>Радиостанция автомобильная TYT MD-9600 или аналог: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Частотный диапазон: 136-174/400-470 МГц.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Мощность: не менее 50 Вт.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Одновременный прием на разных частотах.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Мощность выходного аудио-сигнала: не менее 5 Вт.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Мощность динамика не мее 3 Вт.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Возможность работы как в аналоговом, так и цифровом режиме.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Наличие шифрования (в цифровом режиме).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Возможность устанавливать CTCSS/DCS коды на приём / передачу (в аналоговом режиме).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Наличие режима VFO (прямого ввода частоты).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Рабочее напряжение питания, постоянный ток: 13,8В (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u w:val="single"/>
                <w:lang w:val="ru-RU" w:eastAsia="ru-RU" w:bidi="ar-SA"/>
              </w:rPr>
              <w:t>+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ru-RU" w:bidi="ar-SA"/>
              </w:rPr>
              <w:t>15%).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Тип используемого аккумулятора: Li-Ion.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Ёмкость используемого аккумулятора: не менее 3600 мАч.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Программатор для настройки радиостанций должнен позволить произвести программирование радиостанций (настройка частоты, других функций предусмотренных радиостанцией) в полном объеме.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InterRegular" w:hAnsi="InterRegular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Корпус радиостанции носимой должен быть сделан из прочных материалов, которые обеспечивают надежность и долговечность устройства.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InterRegular" w:hAnsi="InterRegular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Пыле- и влагозащищённость: IP67.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Корпус радиостанции автомобильной должен быть сделан из прочных материалов, которые обеспечивают надежность и долговечность устройства.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Пыле- и влагозащищённость: IP54.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Климатическое исполнение поставляемого оборудования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Рабочая температура: от - 20С 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до  +60 С.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 должно быть доставлено Поставщиком по адресу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 xml:space="preserve">: </w:t>
            </w:r>
            <w:bookmarkStart w:id="32" w:name="_GoBack"/>
            <w:bookmarkEnd w:id="32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Саратовская область,        г. Балаково, Саратовская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 должно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 транспортировки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 xml:space="preserve">Транспортировка оборудования должна выполняться в соответствии с требованиями производителей оборудования.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оборудования (в том числе по территории Заказчика) осуществляется подрядчиком. Стоимость погрузки, доставки, разгрузки и перемещения оборудования должна быть включена в стоимость оборудования.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упаковке</w:t>
            </w:r>
          </w:p>
        </w:tc>
        <w:tc>
          <w:tcPr>
            <w:tcW w:w="935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оборудование.</w:t>
            </w:r>
          </w:p>
        </w:tc>
      </w:tr>
      <w:tr>
        <w:trPr>
          <w:trHeight w:val="42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закупаемой продукции не менее 365 (трехсот шестидесяти пяти) календарных дней с даты подписания ТОРГ-12.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течение гарантийного срока оборудование должно надежно и правильно функционировать без осуществления дополнительных затрат или работ со стороны Заказчика.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На протяжении всего гарантийного срока подрядчик обязан обеспечить за счет собственных средств и сил восстановление вышедшего из строя оборудования (в случае, если причина дефекта не связана с неправильной эксплуатацией).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4"/>
                <w:lang w:val="ru-RU" w:eastAsia="ru-RU" w:bidi="ar-SA"/>
              </w:rPr>
              <w:t>Гарантийный срок увеличивается на время простоя оборудования, необходимое на устранение гарантийного дефекта.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описание, сертификаты соответствия, (предоставляются Заказчику вместе с поставляемой продукцией в электронном виде и на бумажном носителе на русском языке).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оборудования:</w:t>
            </w:r>
          </w:p>
        </w:tc>
        <w:tc>
          <w:tcPr>
            <w:tcW w:w="93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оборудования должна сооветствовать техническому паспорту, (руководству по эксплуатации) на оборудование.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6.2.1.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Радиостанция носимая TYT MD-UV390 10W или аналог</w:t>
            </w:r>
          </w:p>
        </w:tc>
        <w:tc>
          <w:tcPr>
            <w:tcW w:w="93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Дополнительная комплектация оборудования:</w:t>
            </w:r>
            <w:r>
              <w:rPr>
                <w:color w:val="000000"/>
                <w:sz w:val="24"/>
                <w:szCs w:val="24"/>
              </w:rPr>
              <w:t xml:space="preserve"> 2 (два) аккумулятора (н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оминальное напряжение: 7.4 В; максимальная емкость: не менее 3600 mAh).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6.2.2.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Радиостанция автомобильная TYT MD-9600 или аналог</w:t>
            </w:r>
          </w:p>
        </w:tc>
        <w:tc>
          <w:tcPr>
            <w:tcW w:w="93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Дополнительная комплектация оборудования:</w:t>
            </w:r>
            <w:r>
              <w:rPr>
                <w:color w:val="000000"/>
                <w:sz w:val="24"/>
                <w:szCs w:val="24"/>
                <w:u w:val="none"/>
              </w:rPr>
              <w:t xml:space="preserve"> а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нтенна автомобильная на магните Аргут ANM-90VU (144/430 мГц; 2,5/3,5 dBi;490mm; PL) или аналог.</w:t>
            </w:r>
          </w:p>
        </w:tc>
      </w:tr>
    </w:tbl>
    <w:p>
      <w:pPr>
        <w:pStyle w:val="Heading1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numPr>
          <w:ilvl w:val="0"/>
          <w:numId w:val="10"/>
        </w:numPr>
        <w:ind w:left="357" w:right="0" w:hanging="0"/>
        <w:jc w:val="center"/>
        <w:rPr>
          <w:sz w:val="24"/>
          <w:szCs w:val="24"/>
          <w:lang w:val="ru-RU"/>
        </w:rPr>
      </w:pPr>
      <w:bookmarkStart w:id="33" w:name="__RefHeading___Toc172817189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eastAsia="Calibri"/>
          <w:bCs/>
          <w:i w:val="false"/>
          <w:iCs w:val="false"/>
          <w:sz w:val="24"/>
          <w:szCs w:val="24"/>
          <w:lang w:val="ru-RU" w:eastAsia="x-none"/>
        </w:rPr>
        <w:t>3.1. Вместе с Коммерческим предложением Участник должен предоставить в составе заявки</w:t>
      </w:r>
      <w:r>
        <w:rPr>
          <w:rFonts w:eastAsia="Calibri"/>
          <w:bCs/>
          <w:i w:val="false"/>
          <w:iCs w:val="false"/>
          <w:sz w:val="24"/>
          <w:szCs w:val="24"/>
          <w:lang w:val="ru-RU"/>
        </w:rPr>
        <w:t xml:space="preserve"> спецификацию поставляемого оборудования по форме, приведенной в Приложении № 1 к настоящим ТТ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Heading1"/>
        <w:numPr>
          <w:ilvl w:val="0"/>
          <w:numId w:val="10"/>
        </w:numPr>
        <w:ind w:left="357" w:right="0" w:hanging="357"/>
        <w:jc w:val="center"/>
        <w:rPr/>
      </w:pPr>
      <w:r>
        <w:rPr>
          <w:sz w:val="24"/>
          <w:szCs w:val="24"/>
          <w:lang w:val="ru-RU"/>
        </w:rPr>
        <w:t>Приложения</w:t>
      </w:r>
    </w:p>
    <w:p>
      <w:pPr>
        <w:pStyle w:val="Normal"/>
        <w:rPr>
          <w:lang w:eastAsia="x-none"/>
        </w:rPr>
      </w:pPr>
      <w:r>
        <w:rPr>
          <w:bCs/>
          <w:iCs/>
          <w:sz w:val="24"/>
          <w:szCs w:val="24"/>
        </w:rPr>
        <w:t xml:space="preserve">Приложение: </w:t>
      </w:r>
      <w:bookmarkStart w:id="34" w:name="_Hlk87532473"/>
      <w:r>
        <w:rPr>
          <w:bCs/>
          <w:iCs/>
          <w:sz w:val="24"/>
          <w:szCs w:val="24"/>
        </w:rPr>
        <w:t>Форма спецификации к поставляемому оборудованию</w:t>
      </w:r>
      <w:bookmarkEnd w:id="34"/>
      <w:r>
        <w:rPr>
          <w:bCs/>
          <w:iCs/>
          <w:sz w:val="24"/>
          <w:szCs w:val="24"/>
        </w:rPr>
        <w:t>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к Техническим требованиям</w:t>
      </w:r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keepNext w:val="true"/>
        <w:keepLines/>
        <w:spacing w:before="0" w:after="120"/>
        <w:jc w:val="center"/>
        <w:rPr>
          <w:sz w:val="24"/>
          <w:szCs w:val="24"/>
        </w:rPr>
      </w:pPr>
      <w:bookmarkStart w:id="35" w:name="_Hlk48224758"/>
      <w:bookmarkStart w:id="36" w:name="_Ref40301253"/>
      <w:r>
        <w:rPr>
          <w:b/>
          <w:bCs/>
          <w:caps/>
          <w:sz w:val="24"/>
          <w:szCs w:val="24"/>
        </w:rPr>
        <w:t>Форма спецификации к поставляемому оборудованию</w:t>
      </w:r>
      <w:bookmarkEnd w:id="35"/>
      <w:bookmarkEnd w:id="36"/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6"/>
        <w:gridCol w:w="1022"/>
        <w:gridCol w:w="1016"/>
        <w:gridCol w:w="1007"/>
        <w:gridCol w:w="1293"/>
        <w:gridCol w:w="1210"/>
        <w:gridCol w:w="1016"/>
        <w:gridCol w:w="1236"/>
        <w:gridCol w:w="1149"/>
        <w:gridCol w:w="854"/>
        <w:gridCol w:w="1053"/>
        <w:gridCol w:w="915"/>
        <w:gridCol w:w="874"/>
        <w:gridCol w:w="1192"/>
        <w:gridCol w:w="816"/>
      </w:tblGrid>
      <w:tr>
        <w:trPr>
          <w:trHeight w:val="52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highlight w:val="lightGray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InterRegula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="Calibr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="Calibr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709736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5230017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false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0" w:right="0" w:firstLine="45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5E2D-E098-49A7-A20F-D2A76EA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Application>AlterOffice/3.4.0.9$Linux_X86_64 LibreOffice_project/b8daf9e823b1a5463a2f48435ddc2e8696e7d4fc</Application>
  <AppVersion>15.0000</AppVersion>
  <Pages>8</Pages>
  <Words>1221</Words>
  <Characters>8597</Characters>
  <CharactersWithSpaces>9639</CharactersWithSpaces>
  <Paragraphs>207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2025-10-09T14:26:00Z</dcterms:created>
  <dc:creator>Быстров Олег Геннадьевич</dc:creator>
  <dc:description/>
  <dc:language>ru-RU</dc:language>
  <cp:lastModifiedBy>gatilinig@corp.gidroogk.com</cp:lastModifiedBy>
  <cp:lastPrinted>2006-07-26T14:04:00Z</cp:lastPrinted>
  <dcterms:modified xsi:type="dcterms:W3CDTF">2026-05-28T08:46:34Z</dcterms:modified>
  <cp:revision>77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