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_______________К.А. Михайлов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b/>
          <w:bCs/>
        </w:rPr>
      </w:pPr>
      <w:r>
        <w:rPr>
          <w:rFonts w:eastAsia="Calibri"/>
          <w:b/>
          <w:bCs/>
          <w:color w:val="auto"/>
          <w:sz w:val="28"/>
          <w:szCs w:val="28"/>
        </w:rPr>
        <w:t xml:space="preserve">«ОКПД2: 49.41.19.900 Перевозка </w:t>
      </w:r>
      <w:r>
        <w:rPr>
          <w:rFonts w:eastAsia="Calibri"/>
          <w:b/>
          <w:bCs/>
          <w:color w:val="auto"/>
          <w:sz w:val="28"/>
          <w:szCs w:val="28"/>
        </w:rPr>
        <w:t xml:space="preserve">спецтехники </w:t>
      </w:r>
      <w:r>
        <w:rPr>
          <w:rFonts w:eastAsia="Calibri"/>
          <w:b/>
          <w:bCs/>
          <w:color w:val="auto"/>
          <w:sz w:val="28"/>
          <w:szCs w:val="28"/>
        </w:rPr>
        <w:t xml:space="preserve"> автомобильным транспортом  </w:t>
      </w:r>
      <w:r>
        <w:rPr>
          <w:rFonts w:eastAsia="Calibri"/>
          <w:b/>
          <w:bCs/>
          <w:i w:val="false"/>
          <w:iCs w:val="false"/>
          <w:color w:val="auto"/>
          <w:sz w:val="28"/>
          <w:szCs w:val="28"/>
        </w:rPr>
        <w:t>для нужд Центрального филиала АО «ТК РусГидро»»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eastAsia="Calibri"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eastAsia="Calibri"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Calibri"/>
          <w:b w:val="false"/>
          <w:bCs w:val="false"/>
          <w:i w:val="false"/>
          <w:iCs w:val="false"/>
          <w:color w:val="auto"/>
          <w:sz w:val="28"/>
          <w:szCs w:val="28"/>
        </w:rPr>
        <w:t>Лот_____________________________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 w:eastAsia="Calibri"/>
          <w:b w:val="false"/>
          <w:bCs w:val="false"/>
          <w:i/>
          <w:i/>
          <w:color w:val="auto"/>
          <w:sz w:val="28"/>
          <w:szCs w:val="28"/>
        </w:rPr>
      </w:pPr>
      <w:r>
        <w:rPr>
          <w:rFonts w:eastAsia="Calibri"/>
          <w:b w:val="false"/>
          <w:bCs w:val="false"/>
          <w:i/>
          <w:color w:val="auto"/>
          <w:sz w:val="28"/>
          <w:szCs w:val="28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" w:name="_Toc46743505"/>
      <w:bookmarkStart w:id="2" w:name="_Toc125378692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43"/>
        <w:gridCol w:w="7637"/>
      </w:tblGrid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накладная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Согласованный сторонами груз, подлежащий перевозке в рамках настоящего договора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Грузоотправитель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предъявившее Перевозчику груз к перевозке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Грузополучатель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уполномоченное принять груз у Перевозчика по окончании перевозки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Программный комплекс, который собирает и обрабатывает данные с навигационного оборудования Перевозчика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Навигационное оборудование Перевозчика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датчики, установленные на всех транспортных средствах Перевозчика, приемо-передающие устройства, работающие с помощью систем глобальной спутниковой навигации ГЛОНАС/GPS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«ОКПД2: 49.41.19.900 Перевозка спецтехники  автомобильным транспортом  для нужд Центрального филиала АО «ТК РусГидро»»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eastAsia="Times New Roman"/>
          <w:b w:val="false"/>
          <w:sz w:val="24"/>
          <w:szCs w:val="24"/>
          <w:lang w:val="ru-RU" w:eastAsia="ru-RU"/>
        </w:rPr>
      </w:pPr>
      <w:bookmarkStart w:id="6" w:name="_Toc125378695"/>
      <w:r>
        <w:rPr>
          <w:rFonts w:eastAsia="Times New Roman"/>
          <w:b w:val="false"/>
          <w:sz w:val="24"/>
          <w:szCs w:val="24"/>
          <w:lang w:val="ru-RU" w:eastAsia="ru-RU"/>
        </w:rPr>
        <w:t>Транспортировка строительной техники в связи с производственной необходимостью.</w:t>
      </w:r>
      <w:bookmarkEnd w:id="6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7" w:name="_Toc12537869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7"/>
      <w:r>
        <w:rPr>
          <w:sz w:val="24"/>
          <w:szCs w:val="24"/>
          <w:lang w:val="ru-RU"/>
        </w:rPr>
        <w:t>транспортных средств</w:t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7"/>
        <w:gridCol w:w="1418"/>
        <w:gridCol w:w="3290"/>
        <w:gridCol w:w="3000"/>
        <w:gridCol w:w="207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76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Место нахождения (погрузки) 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Республика Хакасия, г. Саяногорск, пгт. Черемушки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Бульдозер </w:t>
            </w:r>
            <w:r>
              <w:rPr>
                <w:sz w:val="24"/>
                <w:szCs w:val="24"/>
              </w:rPr>
              <w:t>ZOOMLION ZD220-3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исправном состоянии, на ходу.</w:t>
            </w:r>
          </w:p>
        </w:tc>
      </w:tr>
      <w:tr>
        <w:trPr>
          <w:trHeight w:val="1276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 </w:t>
            </w:r>
            <w:r>
              <w:rPr>
                <w:sz w:val="24"/>
                <w:szCs w:val="24"/>
              </w:rPr>
              <w:t>Карачаево-Черкесская Республика, Прикубанский район, сельское поселение Мичуринское, пос. Водораздельный.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Экскаватор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JCB JS370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исправном состоянии, на ходу.</w:t>
            </w:r>
          </w:p>
        </w:tc>
      </w:tr>
    </w:tbl>
    <w:p>
      <w:pPr>
        <w:pStyle w:val="Heading4"/>
        <w:numPr>
          <w:ilvl w:val="1"/>
          <w:numId w:val="3"/>
        </w:numPr>
        <w:ind w:left="0" w:right="0" w:hanging="0"/>
        <w:jc w:val="both"/>
        <w:rPr/>
      </w:pPr>
      <w:bookmarkStart w:id="8" w:name="_Toc125378697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1.4.1. Грузоотправитель и адрес места нахождения груза: Республика Хакасия, г. Саяногорск, пгт. Черемушки. Погрузка груза в месте отправки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1.4.2. Грузополучатель и адрес места доставки груза: Загорский строительный участок Центрального филиала АО «ТК РусГидро», Московская обл., Сергиево-Посадский р-н, рп.Богородское д.100.  Разгрузка груза в месте доставки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1.4.3. Способ транспортировки груза: транспортировка любым видом транспорта, исключающим самостоятельное движение ТС.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left"/>
        <w:rPr>
          <w:sz w:val="24"/>
          <w:szCs w:val="24"/>
        </w:rPr>
      </w:pPr>
      <w:bookmarkStart w:id="10" w:name="_Toc125378698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1" w:name="_Toc12537869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2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907" w:right="0" w:hanging="850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12" w:name="_Toc125378700"/>
      <w:r>
        <w:rPr/>
        <w:t>Требования к перечню и объему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0" w:after="60"/>
        <w:ind w:left="0" w:right="0" w:hanging="0"/>
        <w:rPr>
          <w:sz w:val="24"/>
          <w:szCs w:val="24"/>
          <w:lang w:val="ru-RU"/>
        </w:rPr>
      </w:pPr>
      <w:bookmarkStart w:id="13" w:name="_Toc125378701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5376"/>
        <w:gridCol w:w="1983"/>
        <w:gridCol w:w="160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 w:before="120" w:after="12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«ОКПД2: 49.41.19.900 Перевозка спецтехники  автомобильным транспортом  для нужд Центрального филиала АО «ТК РусГидро»»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ind w:left="1224" w:right="0" w:hanging="504"/>
        <w:rPr>
          <w:lang w:val="ru-RU"/>
        </w:rPr>
      </w:pPr>
      <w:bookmarkStart w:id="15" w:name="_Toc125378702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5"/>
    </w:p>
    <w:p>
      <w:pPr>
        <w:pStyle w:val="Heading1"/>
        <w:numPr>
          <w:ilvl w:val="0"/>
          <w:numId w:val="0"/>
        </w:numPr>
        <w:ind w:left="4678" w:right="0" w:hanging="4678"/>
        <w:rPr>
          <w:sz w:val="24"/>
          <w:szCs w:val="24"/>
        </w:rPr>
      </w:pPr>
      <w:bookmarkStart w:id="17" w:name="_Toc125378703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100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5504"/>
        <w:gridCol w:w="1980"/>
        <w:gridCol w:w="1695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5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«ОКПД2: 49.41.19.900 Перевозка спецтехники  автомобильным транспортом  для нужд Центрального филиала АО «ТК РусГидро»»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 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>
          <w:lang w:val="ru-RU"/>
        </w:rPr>
      </w:pPr>
      <w:bookmarkStart w:id="18" w:name="_Toc125378704"/>
      <w:bookmarkStart w:id="19" w:name="_Toc46743511"/>
      <w:bookmarkStart w:id="20" w:name="_Toc50125131"/>
      <w:bookmarkStart w:id="21" w:name="_Toc51339698"/>
      <w:bookmarkEnd w:id="20"/>
      <w:bookmarkEnd w:id="2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: </w:t>
      </w:r>
      <w:r>
        <w:rPr>
          <w:rFonts w:eastAsia="Calibri" w:cs="Times New Roman"/>
          <w:b w:val="false"/>
          <w:bCs w:val="false"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спецтехники  автомобильным транспортом  для нужд Центрального филиала АО «ТК РусГидро»»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 </w:t>
      </w: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"/>
        <w:tblW w:w="149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4"/>
        <w:gridCol w:w="4176"/>
        <w:gridCol w:w="4865"/>
        <w:gridCol w:w="2840"/>
        <w:gridCol w:w="2246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8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4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840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4"/>
                <w:lang w:val="ru-RU" w:eastAsia="ru-RU" w:bidi="ar-SA"/>
              </w:rPr>
              <w:t>техническим требованиям</w:t>
            </w:r>
          </w:p>
        </w:tc>
        <w:tc>
          <w:tcPr>
            <w:tcW w:w="2246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Бульдозер ZOOMLION ZD220-3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транспортная длина 5460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транспортная ширина3725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транспортная высота3395 мм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Республика Хакасия, г. Саяногорск, пгт. Черемушки - Московская обл., Сергиево-Посадский городской округ, пгт.Богородское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Экскаватор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JCB JS370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Габариты:</w:t>
            </w:r>
          </w:p>
          <w:p>
            <w:pPr>
              <w:pStyle w:val="BodyText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ранспортная длина: 11 253 мм</w:t>
              <w:br/>
              <w:t xml:space="preserve">-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ранспортная ширина: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 2 990 мм</w:t>
              <w:br/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ранспортная высота: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 3 280 мм.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z w:val="24"/>
                <w:szCs w:val="24"/>
                <w:lang w:eastAsia="x-none"/>
              </w:rPr>
              <w:t>Маршрут: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Карачаево-Черкесская Республика, Прикубанский район, сельское поселение Мичуринское, пос. Водораздельный. - Московская обл., Сергиево-Посадский городской округ, пгт.Богородское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Соблюдение при выполнении услуг норм и правил нормативно-правовых актов, регулирующих перевозку грузов соответствующим видом транспорта</w:t>
            </w:r>
          </w:p>
        </w:tc>
        <w:tc>
          <w:tcPr>
            <w:tcW w:w="48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- Федеральным законом от 08.11.2007 № 257-ФЗ «Об автомобильных дорогах и дорожной деятельности в РФ» (в редакции от 29 декабря 2025 года)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- Федеральным законом от 08.11.2007 № 259-ФЗ «Устав автомобильного транспорта и городского наземного электрического транспорта» последующими изменениями и дополнениями.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- Правилами перевозок грузов автомобильным транспортом, утвержденные Постановлением Правительства РФ от 21.12.2020 N 2200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 xml:space="preserve">- 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Перевозчик обязуется принять и доставить вверенный ему Заказчиком груз в пункт назначения и выдать его управомоченному на получение груза лицу (Грузополучателю) на условиях, указанных в настоящих технических требованиях.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доставки.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Страхование груза на период перевозки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самостоятельно застраховать перевозимый груз от всех рисков на весь период перевозки с момента передачи груза Исполнителю до момента передачи груза грузополучателю в страховой компании с рейтингом не ниже уровня А (рейтинг агентства «Эксперт РА»), при этом выгодоприобретателем по страховым событиям должно являться – АО «Транспортная компания РусГидро». Выплаты должны осуществляться по заявленной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рвночной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стоимости в части поврежденного, утраченного груза. Перед началом исполнения Услуги, Исполнитель должен направить оригинал или нотариально заверенную копию страхового полиса в адрес Центрального филиала АО «ТК РусГидро» (141342, Московскя обл., Сергиево-Посадский р-н, пгт. Богородское, д.101).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Погрузо-разгрузочные работы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заборе и доставке груза по адресу Заказчика, погрузка и выгрузка груза производятся силами Исполнителя, при необходимости осуществления межтерминальной перевозки, погрузка и выгрузка груза производятся силами и за счет Исполнителя;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Перед началом осуществления грузоперевозки Перевозчик по согласованию с Заказчиком заполняет ТН. ТН составляется минимум в трех экземплярах, один экземпляр для Перевозчика, один для Грузоотправителя, один для Грузополучателя;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приеме Груза для перевозки водитель автотранспорта предъявляет Грузоотправителю документ, удостоверяющий личность, и путевой лист;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Если при приеме Груза Грузополучатель обнаружит недостачу Груза, то об этом с участием представителей Перевозчика и Грузополучателя составляется акт в свободной форме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Сопроводительная документация</w:t>
            </w:r>
          </w:p>
        </w:tc>
        <w:tc>
          <w:tcPr>
            <w:tcW w:w="4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оформление разрешительной документации, транспортно-сопроводительных документов на перевозку ТС по маршруту, указанному в таблице №2 ТТ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всех необходимых разрешений для осуществления перевозки крупногабаритных, тяжеловесных и Опасных грузов осуществляется за счет Перевозчика и включены в стоимость перевозки груза.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  <w:tab w:val="left" w:pos="851" w:leader="none"/>
              </w:tabs>
              <w:spacing w:lineRule="auto" w:line="240"/>
              <w:ind w:left="0" w:hanging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всех необходимых для осуществления доставки груза перевозочные документы (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разрешение на перевозку негабаритного, опасного груза и иных) осуществляется за счет Перевозчика и включены в стоимость перевозки груза.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Складское хранение</w:t>
            </w:r>
          </w:p>
        </w:tc>
        <w:tc>
          <w:tcPr>
            <w:tcW w:w="4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1.2.6.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местонахождения груза</w:t>
            </w:r>
          </w:p>
        </w:tc>
        <w:tc>
          <w:tcPr>
            <w:tcW w:w="4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90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>
              <w:top w:val="nil"/>
            </w:tcBorders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417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8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Водительский состав Перевозчика обязан пройти вводный инструктаж по безопасности труда и ежесменный предрейсовый и послерейсовый медицинский осмотр.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>
              <w:top w:val="nil"/>
            </w:tcBorders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417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 на ТС</w:t>
            </w:r>
          </w:p>
        </w:tc>
        <w:tc>
          <w:tcPr>
            <w:tcW w:w="48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Осуществляющие перевозку ТС должны быть оснащены навигационным оборудованием.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 Заказчика Перевозчик должен предоставить данные из системы спутникового мониторинга об их местонахождении.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>
              <w:top w:val="nil"/>
            </w:tcBorders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 обязуется прибыть в конечный пункт назначения в дату и ко времени, указанному в настоящих технических требованиях. При этом Исполнитель обязуется обеспечить доставку груза строго по адресу, указанному в транспортной накладной. О задержке доставки груза обязуется проинформировать Заказчика и Грузополучателя.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-Товарная накладная в двух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Акт сдачи –приемки оказанных услуг/УПД в двух экземплярах</w:t>
            </w:r>
          </w:p>
        </w:tc>
        <w:tc>
          <w:tcPr>
            <w:tcW w:w="28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357" w:right="0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3"/>
        </w:numPr>
        <w:ind w:left="357" w:right="0" w:hanging="357"/>
        <w:jc w:val="center"/>
        <w:rPr>
          <w:sz w:val="24"/>
          <w:szCs w:val="24"/>
          <w:lang w:val="ru-RU"/>
        </w:rPr>
      </w:pPr>
      <w:bookmarkStart w:id="23" w:name="_Toc125378714"/>
      <w:bookmarkStart w:id="24" w:name="_Toc53395937"/>
      <w:bookmarkStart w:id="25" w:name="_Toc53393312"/>
      <w:bookmarkStart w:id="26" w:name="_Toc513396981"/>
      <w:bookmarkStart w:id="27" w:name="_Toc501251311"/>
      <w:bookmarkEnd w:id="26"/>
      <w:bookmarkEnd w:id="2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bookmarkEnd w:id="25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  <w:tab/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  <w:tab/>
        <w:t>3.3. Стоимость услуг включает забор груза в местах отправки (передачи) груза, погрузку, крепление груза,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3.4. Цена остается фиксированной и не подлежит изменению и на все время действия договора</w:t>
      </w:r>
    </w:p>
    <w:p>
      <w:pPr>
        <w:pStyle w:val="Heading1"/>
        <w:keepLines/>
        <w:numPr>
          <w:ilvl w:val="0"/>
          <w:numId w:val="0"/>
        </w:numPr>
        <w:ind w:left="357" w:right="0" w:hanging="0"/>
        <w:jc w:val="both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24"/>
        <w:tabs>
          <w:tab w:val="clear" w:pos="1134"/>
        </w:tabs>
        <w:snapToGrid w:val="true"/>
        <w:ind w:left="1418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4"/>
        <w:pageBreakBefore w:val="false"/>
        <w:tabs>
          <w:tab w:val="clear" w:pos="1134"/>
        </w:tabs>
        <w:snapToGrid w:val="true"/>
        <w:spacing w:before="240" w:after="120"/>
        <w:ind w:left="1418" w:hanging="0"/>
        <w:jc w:val="right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1247" w:right="0" w:hanging="1247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E5E9-3109-4BE9-BA82-14F6E97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6012</TotalTime>
  <Application>AlterOffice/3.4.0.9$Linux_X86_64 LibreOffice_project/b8daf9e823b1a5463a2f48435ddc2e8696e7d4fc</Application>
  <AppVersion>15.0000</AppVersion>
  <Pages>10</Pages>
  <Words>1498</Words>
  <Characters>10510</Characters>
  <CharactersWithSpaces>11825</CharactersWithSpaces>
  <Paragraphs>204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2023-01-19T23:35:00Z</dcterms:created>
  <dc:creator>Быстров Олег Геннадьевич</dc:creator>
  <dc:description/>
  <dc:language>ru-RU</dc:language>
  <cp:lastModifiedBy>tolpyginanv@corp.gidroogk.com</cp:lastModifiedBy>
  <cp:lastPrinted>2023-01-27T02:24:00Z</cp:lastPrinted>
  <dcterms:modified xsi:type="dcterms:W3CDTF">2026-06-02T12:46:53Z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