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suppressAutoHyphens w:val="true"/>
        <w:jc w:val="right"/>
        <w:rPr>
          <w:b/>
          <w:lang w:val="ru-RU"/>
        </w:rPr>
      </w:pPr>
      <w:r>
        <w:rPr>
          <w:b/>
          <w:lang w:val="ru-RU"/>
        </w:rPr>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lang w:eastAsia="en-US"/>
        </w:rPr>
        <w:t>«</w:t>
      </w:r>
      <w:r>
        <w:rPr>
          <w:b/>
          <w:lang w:eastAsia="en-US"/>
        </w:rPr>
        <w:t>Независимая гарантия</w:t>
      </w:r>
      <w:r>
        <w:rPr>
          <w:lang w:eastAsia="en-US"/>
        </w:rPr>
        <w:t xml:space="preserve">»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3"/>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jc w:val="both"/>
        <w:rPr>
          <w:highlight w:val="lightGray"/>
          <w:lang w:val="ru-RU"/>
        </w:rPr>
      </w:pPr>
      <w:r>
        <w:rPr>
          <w:highlight w:val="lightGray"/>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9"/>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Cs/>
          <w:lang w:val="ru-RU"/>
        </w:rPr>
      </w:pPr>
      <w:r>
        <w:rPr>
          <w:u w:val="single"/>
          <w:lang w:val="ru-RU"/>
        </w:rPr>
        <w:t xml:space="preserve"> </w:t>
      </w:r>
      <w:r>
        <w:rPr>
          <w:u w:val="single"/>
          <w:lang w:val="ru-RU"/>
        </w:rPr>
        <w:t>контакты</w:t>
      </w:r>
      <w:r>
        <w:rPr>
          <w:bCs/>
          <w:u w:val="single"/>
          <w:lang w:val="ru-RU"/>
        </w:rPr>
        <w:t xml:space="preserve"> и должность представителей Исполнителя, уполномоченных на оперативное</w:t>
      </w:r>
      <w:r>
        <w:rPr>
          <w:bCs/>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 xml:space="preserve">в том числе имеющих разрешения, членства и аттестаты, необходимые для оказания Услуг. </w:t>
      </w:r>
    </w:p>
    <w:p>
      <w:pPr>
        <w:pStyle w:val="ListParagraph"/>
        <w:numPr>
          <w:ilvl w:val="2"/>
          <w:numId w:val="13"/>
        </w:numPr>
        <w:shd w:val="clear" w:color="auto" w:fill="FFFFFF"/>
        <w:tabs>
          <w:tab w:val="clear" w:pos="709"/>
          <w:tab w:val="left" w:pos="710" w:leader="none"/>
        </w:tabs>
        <w:ind w:left="0" w:firstLine="710"/>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3"/>
        </w:numPr>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3"/>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9"/>
          <w:tab w:val="left" w:pos="1701" w:leader="none"/>
        </w:tabs>
        <w:ind w:left="0" w:firstLine="709"/>
        <w:jc w:val="both"/>
        <w:rPr/>
      </w:pPr>
      <w:r>
        <w:rPr/>
        <w:t xml:space="preserve">отклонения от требований действующих норм и правил, </w:t>
      </w:r>
      <w:r>
        <w:rPr>
          <w:highlight w:val="lightGray"/>
        </w:rPr>
        <w:t>технической и иной документации</w:t>
      </w:r>
      <w:r>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1418" w:leader="none"/>
        </w:tabs>
        <w:ind w:left="0" w:firstLine="709"/>
        <w:jc w:val="both"/>
        <w:rPr/>
      </w:pPr>
      <w:r>
        <w:rPr/>
        <w:t>Предоставить Заказчику Независимые гарантии в соответствии с разделом 5 Договора.</w:t>
      </w:r>
    </w:p>
    <w:p>
      <w:pPr>
        <w:pStyle w:val="ListParagraph"/>
        <w:numPr>
          <w:ilvl w:val="2"/>
          <w:numId w:val="13"/>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3"/>
        </w:numPr>
        <w:shd w:val="clear" w:color="auto" w:fill="FFFFFF"/>
        <w:tabs>
          <w:tab w:val="clear" w:pos="709"/>
          <w:tab w:val="left" w:pos="1418" w:leader="none"/>
        </w:tabs>
        <w:ind w:left="0" w:firstLine="709"/>
        <w:jc w:val="both"/>
        <w:rPr>
          <w:bCs/>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3"/>
        </w:numPr>
        <w:shd w:val="clear" w:color="auto" w:fill="FFFFFF"/>
        <w:tabs>
          <w:tab w:val="clear" w:pos="709"/>
          <w:tab w:val="left" w:pos="1418" w:leader="none"/>
        </w:tabs>
        <w:ind w:left="0" w:firstLine="709"/>
        <w:jc w:val="both"/>
        <w:rPr>
          <w:bCs/>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9"/>
          <w:tab w:val="left" w:pos="1418" w:leader="none"/>
        </w:tabs>
        <w:ind w:left="0" w:firstLine="709"/>
        <w:jc w:val="both"/>
        <w:rPr>
          <w:bCs/>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3"/>
        </w:numPr>
        <w:shd w:val="clear" w:color="auto" w:fill="FFFFFF"/>
        <w:tabs>
          <w:tab w:val="clear" w:pos="709"/>
          <w:tab w:val="left" w:pos="1418" w:leader="none"/>
        </w:tabs>
        <w:ind w:left="0" w:firstLine="709"/>
        <w:jc w:val="both"/>
        <w:rPr>
          <w:bCs/>
        </w:rPr>
      </w:pPr>
      <w:r>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lang w:val="ru-RU"/>
        </w:rPr>
      </w:pPr>
      <w:r>
        <w:rPr>
          <w:lang w:val="ru-RU"/>
        </w:rPr>
      </w:r>
    </w:p>
    <w:p>
      <w:pPr>
        <w:pStyle w:val="ListParagraph"/>
        <w:numPr>
          <w:ilvl w:val="1"/>
          <w:numId w:val="13"/>
        </w:numPr>
        <w:shd w:val="clear" w:color="auto" w:fill="FFFFFF"/>
        <w:tabs>
          <w:tab w:val="left" w:pos="709" w:leader="none"/>
          <w:tab w:val="left" w:pos="1134" w:leader="none"/>
        </w:tabs>
        <w:ind w:left="0" w:firstLine="709"/>
        <w:jc w:val="both"/>
        <w:rPr>
          <w:bCs/>
        </w:rPr>
      </w:pPr>
      <w:r>
        <w:rPr>
          <w:bCs/>
          <w:u w:val="single"/>
        </w:rPr>
        <w:t>Исполнитель имеет право</w:t>
      </w:r>
      <w:r>
        <w:rPr>
          <w:bCs/>
        </w:rPr>
        <w:t>:</w:t>
      </w:r>
    </w:p>
    <w:p>
      <w:pPr>
        <w:pStyle w:val="ListParagraph"/>
        <w:numPr>
          <w:ilvl w:val="2"/>
          <w:numId w:val="25"/>
        </w:numPr>
        <w:shd w:val="clear" w:color="auto" w:fill="FFFFFF"/>
        <w:tabs>
          <w:tab w:val="left" w:pos="709" w:leader="none"/>
          <w:tab w:val="left" w:pos="1134" w:leader="none"/>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5"/>
        </w:numPr>
        <w:shd w:val="clear" w:color="auto" w:fill="FFFFFF"/>
        <w:tabs>
          <w:tab w:val="left" w:pos="709" w:leader="none"/>
          <w:tab w:val="left" w:pos="1134" w:leader="none"/>
        </w:tabs>
        <w:ind w:left="0" w:firstLine="710"/>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25"/>
        </w:numPr>
        <w:shd w:val="clear" w:color="auto" w:fill="FFFFFF"/>
        <w:tabs>
          <w:tab w:val="left" w:pos="709" w:leader="none"/>
          <w:tab w:val="left" w:pos="1134" w:leader="none"/>
        </w:tabs>
        <w:ind w:left="0" w:firstLine="710"/>
        <w:jc w:val="both"/>
        <w:rPr>
          <w:bCs/>
          <w:highlight w:val="lightGray"/>
        </w:rPr>
      </w:pPr>
      <w:r>
        <w:rPr>
          <w:bCs/>
          <w:highlight w:val="lightGray"/>
        </w:rPr>
        <w:t>При необходимости по предварительному письменному согласованию</w:t>
      </w:r>
      <w:r>
        <w:rPr>
          <w:bCs/>
        </w:rPr>
        <w:t xml:space="preserve"> </w:t>
        <w:br/>
      </w:r>
      <w:r>
        <w:rPr>
          <w:bCs/>
          <w:highlight w:val="lightGray"/>
        </w:rPr>
        <w:t xml:space="preserve">с Заказчиком заключать договоры с Субисполнителями в совокупности не более чем на __ (_______)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4"/>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17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20"/>
        </w:numPr>
        <w:ind w:left="0" w:firstLine="709"/>
        <w:jc w:val="both"/>
        <w:rPr/>
      </w:pPr>
      <w:r>
        <w:rPr/>
        <w:t>подтверждает Исполнителю согласие с Расчетом стоимости;</w:t>
      </w:r>
    </w:p>
    <w:p>
      <w:pPr>
        <w:pStyle w:val="ListParagraph"/>
        <w:numPr>
          <w:ilvl w:val="0"/>
          <w:numId w:val="20"/>
        </w:numPr>
        <w:ind w:left="0" w:firstLine="709"/>
        <w:jc w:val="both"/>
        <w:rPr/>
      </w:pPr>
      <w:r>
        <w:rPr/>
        <w:t>направляет Исполнителю свои возражения (замечания) к Расчету стоимости;</w:t>
      </w:r>
    </w:p>
    <w:p>
      <w:pPr>
        <w:pStyle w:val="ListParagraph"/>
        <w:numPr>
          <w:ilvl w:val="0"/>
          <w:numId w:val="20"/>
        </w:numPr>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17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1"/>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1"/>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1"/>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1"/>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1"/>
        </w:numPr>
        <w:shd w:val="clear" w:color="auto" w:fill="FFFFFF"/>
        <w:tabs>
          <w:tab w:val="clear" w:pos="709"/>
          <w:tab w:val="left" w:pos="1134" w:leader="none"/>
        </w:tabs>
        <w:ind w:left="0" w:firstLine="709"/>
        <w:jc w:val="both"/>
        <w:rPr/>
      </w:pPr>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pPr>
      <w:r>
        <w:rPr/>
      </w:r>
    </w:p>
    <w:p>
      <w:pPr>
        <w:pStyle w:val="ListParagraph"/>
        <w:numPr>
          <w:ilvl w:val="0"/>
          <w:numId w:val="21"/>
        </w:numPr>
        <w:shd w:val="clear" w:color="auto" w:fill="FFFFFF"/>
        <w:tabs>
          <w:tab w:val="clear" w:pos="709"/>
          <w:tab w:val="left" w:pos="284" w:leader="none"/>
          <w:tab w:val="left" w:pos="1134" w:leader="none"/>
        </w:tabs>
        <w:ind w:left="0" w:hanging="0"/>
        <w:jc w:val="center"/>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 xml:space="preserve">Стоимость Услуг по Договору (Цена Договора) </w:t>
      </w:r>
      <w:r>
        <w:rPr>
          <w:highlight w:val="lightGray"/>
        </w:rPr>
        <w:t>в соответствии с Расчетом стоимости Услуг (Приложение № 3 к Договору)</w:t>
      </w:r>
      <w:r>
        <w:rPr>
          <w:rStyle w:val="Style6"/>
          <w:highlight w:val="lightGray"/>
        </w:rPr>
        <w:t xml:space="preserve"> </w:t>
      </w:r>
      <w:r>
        <w:rPr>
          <w:rStyle w:val="FootnoteReference"/>
          <w:highlight w:val="lightGray"/>
        </w:rPr>
        <w:footnoteReference w:id="2"/>
      </w:r>
      <w:r>
        <w:rPr/>
        <w:t xml:space="preserve"> </w:t>
      </w:r>
      <w:r>
        <w:rPr>
          <w:bCs/>
        </w:rPr>
        <w:t>является предельной</w:t>
      </w:r>
      <w:r>
        <w:rPr/>
        <w:t xml:space="preserve">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22"/>
        </w:numPr>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2"/>
        </w:numPr>
        <w:shd w:val="clear" w:color="auto" w:fill="FFFFFF"/>
        <w:tabs>
          <w:tab w:val="clear" w:pos="709"/>
          <w:tab w:val="left" w:pos="710"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2"/>
        </w:numPr>
        <w:shd w:val="clear" w:color="auto" w:fill="FFFFFF"/>
        <w:tabs>
          <w:tab w:val="clear" w:pos="709"/>
          <w:tab w:val="left" w:pos="1134"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2"/>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2"/>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pPr>
      <w:r>
        <w:rPr/>
        <w:t>4.5.1. Исполнитель не позднее, чем за 3 (три) рабочих дня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w:t>
      </w:r>
    </w:p>
    <w:p>
      <w:pPr>
        <w:pStyle w:val="ListParagraph"/>
        <w:shd w:val="clear" w:color="auto" w:fill="FFFFFF"/>
        <w:tabs>
          <w:tab w:val="clear" w:pos="709"/>
          <w:tab w:val="left" w:pos="1418" w:leader="none"/>
        </w:tabs>
        <w:ind w:left="0" w:firstLine="709"/>
        <w:jc w:val="both"/>
        <w:rPr/>
      </w:pPr>
      <w:r>
        <w:rPr/>
        <w:t xml:space="preserve">4.5.2. </w:t>
      </w:r>
      <w:r>
        <w:rPr>
          <w:bCs/>
        </w:rPr>
        <w:t xml:space="preserve">Авансовые платежи </w:t>
      </w:r>
      <w:r>
        <w:rPr/>
        <w:t xml:space="preserve">в размере </w:t>
      </w:r>
      <w:r>
        <w:rPr>
          <w:highlight w:val="lightGray"/>
        </w:rPr>
        <w:t>10 (Десяти) процентов</w:t>
      </w:r>
      <w:r>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pPr>
      <w:r>
        <w:rPr/>
        <w:t>4.5.3. Последующий платеж по Заявке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3.2 Договора,</w:t>
      </w:r>
      <w:r>
        <w:rPr/>
        <w:t xml:space="preserve"> </w:t>
      </w:r>
      <w:r>
        <w:rPr>
          <w:rFonts w:eastAsia="Calibri"/>
          <w:color w:val="000000"/>
          <w:lang w:eastAsia="en-US"/>
        </w:rPr>
        <w:t xml:space="preserve">и ранее выплаченной суммой авансового платежа, </w:t>
      </w:r>
      <w:r>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pPr>
      <w:r>
        <w:rPr/>
        <w:t xml:space="preserve">4.5.4.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lang w:val="ru-RU"/>
        </w:rPr>
      </w:pPr>
      <w:r>
        <w:rPr>
          <w:lang w:val="ru-RU"/>
        </w:rPr>
        <w:t xml:space="preserve">4.5.5. </w:t>
      </w:r>
      <w:r>
        <w:rPr>
          <w:bCs/>
          <w:lang w:val="ru-RU"/>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lang w:val="ru-RU"/>
        </w:rPr>
        <w:t>предоставил</w:t>
      </w:r>
      <w:r>
        <w:rPr>
          <w:bCs/>
          <w:lang w:val="ru-RU"/>
        </w:rPr>
        <w:t xml:space="preserve">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7"/>
        </w:numPr>
        <w:shd w:val="clear" w:color="auto" w:fill="FFFFFF"/>
        <w:tabs>
          <w:tab w:val="left" w:pos="709" w:leader="none"/>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left" w:pos="709" w:leader="none"/>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left" w:pos="709" w:leader="none"/>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left" w:pos="709" w:leader="none"/>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7"/>
        </w:numPr>
        <w:shd w:val="clear" w:color="auto" w:fill="FFFFFF"/>
        <w:tabs>
          <w:tab w:val="left" w:pos="709" w:leader="none"/>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left" w:pos="709"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5"/>
        </w:numPr>
        <w:shd w:val="clear" w:color="auto" w:fill="FFFFFF"/>
        <w:tabs>
          <w:tab w:val="clear" w:pos="709"/>
          <w:tab w:val="left" w:pos="284" w:leader="none"/>
        </w:tabs>
        <w:ind w:left="0" w:hanging="0"/>
        <w:jc w:val="center"/>
        <w:rPr>
          <w:b/>
        </w:rPr>
      </w:pPr>
      <w:r>
        <w:rPr>
          <w:b/>
        </w:rPr>
        <w:t>Независимая гарантия</w:t>
      </w:r>
    </w:p>
    <w:p>
      <w:pPr>
        <w:pStyle w:val="ListParagraph"/>
        <w:numPr>
          <w:ilvl w:val="1"/>
          <w:numId w:val="29"/>
        </w:numPr>
        <w:ind w:left="0" w:firstLine="709"/>
        <w:jc w:val="both"/>
        <w:rPr>
          <w:bCs/>
        </w:rPr>
      </w:pPr>
      <w:r>
        <w:rPr>
          <w:bCs/>
        </w:rPr>
        <w:t>Независимая гарантия должна соответствовать следующим требованиям:</w:t>
      </w:r>
    </w:p>
    <w:p>
      <w:pPr>
        <w:pStyle w:val="Normal"/>
        <w:numPr>
          <w:ilvl w:val="0"/>
          <w:numId w:val="26"/>
        </w:numPr>
        <w:tabs>
          <w:tab w:val="clear" w:pos="709"/>
          <w:tab w:val="left" w:pos="1134" w:leader="none"/>
        </w:tabs>
        <w:ind w:left="0" w:firstLine="709"/>
        <w:jc w:val="both"/>
        <w:rPr>
          <w:bCs/>
          <w:lang w:val="ru-RU"/>
        </w:rPr>
      </w:pPr>
      <w:r>
        <w:rPr>
          <w:bCs/>
          <w:lang w:val="ru-RU"/>
        </w:rPr>
        <w:t>Независимая гарантия не может быть отозвана выдавшим ее гарантом;</w:t>
      </w:r>
    </w:p>
    <w:p>
      <w:pPr>
        <w:pStyle w:val="Normal"/>
        <w:numPr>
          <w:ilvl w:val="0"/>
          <w:numId w:val="26"/>
        </w:numPr>
        <w:tabs>
          <w:tab w:val="clear" w:pos="709"/>
          <w:tab w:val="left" w:pos="1134" w:leader="none"/>
        </w:tabs>
        <w:ind w:left="0" w:firstLine="709"/>
        <w:jc w:val="both"/>
        <w:rPr>
          <w:bCs/>
          <w:lang w:val="ru-RU"/>
        </w:rPr>
      </w:pPr>
      <w:r>
        <w:rPr>
          <w:bCs/>
          <w:lang w:val="ru-RU"/>
        </w:rPr>
        <w:t>Бенефициар по Независимой гарантии – Заказчик, принципал – Исполнитель;</w:t>
      </w:r>
    </w:p>
    <w:p>
      <w:pPr>
        <w:pStyle w:val="Normal"/>
        <w:numPr>
          <w:ilvl w:val="0"/>
          <w:numId w:val="26"/>
        </w:numPr>
        <w:tabs>
          <w:tab w:val="clear" w:pos="709"/>
          <w:tab w:val="left" w:pos="1134" w:leader="none"/>
        </w:tabs>
        <w:ind w:left="0" w:firstLine="709"/>
        <w:jc w:val="both"/>
        <w:rPr>
          <w:bCs/>
          <w:lang w:val="ru-RU"/>
        </w:rPr>
      </w:pPr>
      <w:r>
        <w:rPr>
          <w:bCs/>
          <w:lang w:val="ru-RU"/>
        </w:rPr>
        <w:t>сумма Независимой гарантии должна быть выражена в валюте расчетов по Договору;</w:t>
      </w:r>
    </w:p>
    <w:p>
      <w:pPr>
        <w:pStyle w:val="Normal"/>
        <w:numPr>
          <w:ilvl w:val="0"/>
          <w:numId w:val="26"/>
        </w:numPr>
        <w:tabs>
          <w:tab w:val="clear" w:pos="709"/>
          <w:tab w:val="left" w:pos="1134" w:leader="none"/>
        </w:tabs>
        <w:ind w:left="0" w:firstLine="709"/>
        <w:jc w:val="both"/>
        <w:rPr>
          <w:bCs/>
          <w:lang w:val="ru-RU"/>
        </w:rPr>
      </w:pPr>
      <w:r>
        <w:rPr>
          <w:bCs/>
          <w:lang w:val="ru-RU"/>
        </w:rPr>
        <w:t xml:space="preserve">сумма Независимой гарантии </w:t>
      </w:r>
      <w:r>
        <w:rPr>
          <w:lang w:val="ru-RU"/>
        </w:rPr>
        <w:t>- 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ListParagraph"/>
        <w:numPr>
          <w:ilvl w:val="0"/>
          <w:numId w:val="26"/>
        </w:numPr>
        <w:shd w:val="clear" w:color="auto" w:fill="FFFFFF"/>
        <w:tabs>
          <w:tab w:val="clear" w:pos="709"/>
          <w:tab w:val="left" w:pos="1134" w:leader="none"/>
        </w:tabs>
        <w:ind w:left="0" w:firstLine="709"/>
        <w:jc w:val="both"/>
        <w:rPr>
          <w:bCs/>
        </w:rPr>
      </w:pPr>
      <w:r>
        <w:rPr>
          <w:bCs/>
        </w:rPr>
        <w:t>срок окончания Независимой гарантии– не ранее 70 (семидесяти) календарных дней после наступления даты завершения Этапа Услуг, установленной Договором.</w:t>
      </w:r>
    </w:p>
    <w:p>
      <w:pPr>
        <w:pStyle w:val="Normal"/>
        <w:jc w:val="both"/>
        <w:rPr>
          <w:bCs/>
          <w:lang w:val="ru-RU"/>
        </w:rPr>
      </w:pPr>
      <w:r>
        <w:rPr>
          <w:bCs/>
          <w:lang w:val="ru-RU"/>
        </w:rPr>
        <w:t xml:space="preserve">             </w:t>
      </w:r>
      <w:r>
        <w:rPr>
          <w:bCs/>
          <w:lang w:val="ru-RU"/>
        </w:rPr>
        <w:t>Сумма Независимой гарантии</w:t>
      </w:r>
      <w:r>
        <w:rPr>
          <w:lang w:val="ru-RU"/>
        </w:rPr>
        <w:t xml:space="preserve"> </w:t>
      </w:r>
      <w:r>
        <w:rPr>
          <w:bCs/>
          <w:lang w:val="ru-RU"/>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pPr>
        <w:pStyle w:val="Normal"/>
        <w:jc w:val="both"/>
        <w:rPr>
          <w:bCs/>
          <w:lang w:val="ru-RU"/>
        </w:rPr>
      </w:pPr>
      <w:r>
        <w:rPr>
          <w:bCs/>
          <w:lang w:val="ru-RU"/>
        </w:rPr>
        <w:t xml:space="preserve">              </w:t>
      </w:r>
      <w:r>
        <w:rPr>
          <w:bCs/>
          <w:lang w:val="ru-RU"/>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9"/>
        </w:numPr>
        <w:tabs>
          <w:tab w:val="clear" w:pos="709"/>
          <w:tab w:val="left" w:pos="1134" w:leader="none"/>
        </w:tabs>
        <w:ind w:left="0" w:firstLine="709"/>
        <w:jc w:val="both"/>
        <w:rPr>
          <w:bCs/>
        </w:rPr>
      </w:pPr>
      <w:r>
        <w:rPr>
          <w:bCs/>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Normal"/>
        <w:ind w:firstLine="709"/>
        <w:jc w:val="both"/>
        <w:rPr>
          <w:bCs/>
          <w:lang w:val="ru-RU"/>
        </w:rPr>
      </w:pPr>
      <w:r>
        <w:rPr>
          <w:bCs/>
          <w:lang w:val="ru-RU"/>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hd w:val="clear" w:color="auto" w:fill="FFFFFF"/>
        <w:tabs>
          <w:tab w:val="clear" w:pos="709"/>
          <w:tab w:val="left" w:pos="1134" w:leader="none"/>
        </w:tabs>
        <w:ind w:firstLine="709"/>
        <w:jc w:val="both"/>
        <w:rPr>
          <w:bCs/>
          <w:lang w:val="ru-RU"/>
        </w:rPr>
      </w:pPr>
      <w:r>
        <w:rPr>
          <w:bCs/>
          <w:lang w:val="ru-RU"/>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29"/>
        </w:numPr>
        <w:shd w:val="clear" w:color="auto" w:fill="FFFFFF"/>
        <w:tabs>
          <w:tab w:val="clear" w:pos="709"/>
          <w:tab w:val="left" w:pos="1134" w:leader="none"/>
        </w:tabs>
        <w:ind w:left="0" w:firstLine="709"/>
        <w:jc w:val="both"/>
        <w:rPr/>
      </w:pPr>
      <w:r>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29"/>
        </w:numPr>
        <w:tabs>
          <w:tab w:val="clear" w:pos="709"/>
          <w:tab w:val="left" w:pos="1134" w:leader="none"/>
        </w:tabs>
        <w:ind w:left="0" w:firstLine="709"/>
        <w:jc w:val="both"/>
        <w:rPr>
          <w:bCs/>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26"/>
        </w:numPr>
        <w:tabs>
          <w:tab w:val="clear" w:pos="709"/>
          <w:tab w:val="left" w:pos="1134" w:leader="none"/>
        </w:tabs>
        <w:ind w:left="0" w:firstLine="709"/>
        <w:jc w:val="both"/>
        <w:rPr>
          <w:bCs/>
          <w:lang w:val="ru-RU"/>
        </w:rPr>
      </w:pPr>
      <w:r>
        <w:rPr>
          <w:bCs/>
          <w:lang w:val="ru-RU"/>
        </w:rPr>
        <w:t>расчет суммы, включаемой в требование об уплате денежной суммы по Независимой гарантии;</w:t>
      </w:r>
    </w:p>
    <w:p>
      <w:pPr>
        <w:pStyle w:val="Normal"/>
        <w:numPr>
          <w:ilvl w:val="0"/>
          <w:numId w:val="26"/>
        </w:numPr>
        <w:tabs>
          <w:tab w:val="clear" w:pos="709"/>
          <w:tab w:val="left" w:pos="1134" w:leader="none"/>
        </w:tabs>
        <w:ind w:left="0" w:firstLine="709"/>
        <w:jc w:val="both"/>
        <w:rPr>
          <w:bCs/>
          <w:lang w:val="ru-RU"/>
        </w:rPr>
      </w:pPr>
      <w:r>
        <w:rPr>
          <w:bCs/>
          <w:lang w:val="ru-RU"/>
        </w:rPr>
        <w:t>документ, содержащий указание на нарушения Принципалом обязательств, предусмотренных Договором;</w:t>
      </w:r>
    </w:p>
    <w:p>
      <w:pPr>
        <w:pStyle w:val="ListParagraph"/>
        <w:numPr>
          <w:ilvl w:val="0"/>
          <w:numId w:val="26"/>
        </w:numPr>
        <w:shd w:val="clear" w:color="auto" w:fill="FFFFFF"/>
        <w:tabs>
          <w:tab w:val="clear" w:pos="709"/>
          <w:tab w:val="left" w:pos="1134" w:leader="none"/>
        </w:tabs>
        <w:ind w:left="0" w:firstLine="709"/>
        <w:jc w:val="both"/>
        <w:rPr>
          <w:bCs/>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numPr>
          <w:ilvl w:val="1"/>
          <w:numId w:val="29"/>
        </w:numPr>
        <w:shd w:val="clear" w:color="auto" w:fill="FFFFFF"/>
        <w:tabs>
          <w:tab w:val="clear" w:pos="709"/>
          <w:tab w:val="left" w:pos="1134" w:leader="none"/>
        </w:tabs>
        <w:ind w:left="0" w:firstLine="709"/>
        <w:jc w:val="both"/>
        <w:rPr>
          <w:b/>
          <w:bCs/>
        </w:rPr>
      </w:pPr>
      <w: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29"/>
        </w:numPr>
        <w:shd w:val="clear" w:color="auto" w:fill="FFFFFF"/>
        <w:tabs>
          <w:tab w:val="clear" w:pos="709"/>
          <w:tab w:val="left" w:pos="1134" w:leader="none"/>
        </w:tabs>
        <w:ind w:left="0" w:firstLine="709"/>
        <w:jc w:val="both"/>
        <w:rPr/>
      </w:pPr>
      <w: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29"/>
        </w:numPr>
        <w:tabs>
          <w:tab w:val="clear" w:pos="709"/>
          <w:tab w:val="left" w:pos="1134" w:leader="none"/>
        </w:tabs>
        <w:ind w:left="0" w:firstLine="709"/>
        <w:jc w:val="both"/>
        <w:rPr>
          <w:bCs/>
        </w:rPr>
      </w:pPr>
      <w:r>
        <w:rPr>
          <w:bCs/>
        </w:rPr>
        <w:t>Требование об уплате денежной суммы по Независимой гарантии может содержать указание на существо допущенных Исполнителем нарушений, в том числе в следующих случаях:</w:t>
      </w:r>
    </w:p>
    <w:p>
      <w:pPr>
        <w:pStyle w:val="ListParagraph"/>
        <w:numPr>
          <w:ilvl w:val="0"/>
          <w:numId w:val="27"/>
        </w:numPr>
        <w:tabs>
          <w:tab w:val="clear" w:pos="709"/>
          <w:tab w:val="left" w:pos="1134" w:leader="none"/>
        </w:tabs>
        <w:ind w:left="0" w:firstLine="709"/>
        <w:jc w:val="both"/>
        <w:rPr>
          <w:bCs/>
        </w:rPr>
      </w:pPr>
      <w:r>
        <w:rPr>
          <w:bCs/>
        </w:rPr>
        <w:t>отказа Исполнителем от исполнения обязательств по Договору, в том числе одностороннего отказа от Договора;</w:t>
      </w:r>
    </w:p>
    <w:p>
      <w:pPr>
        <w:pStyle w:val="ListParagraph"/>
        <w:numPr>
          <w:ilvl w:val="0"/>
          <w:numId w:val="27"/>
        </w:numPr>
        <w:tabs>
          <w:tab w:val="clear" w:pos="709"/>
          <w:tab w:val="left" w:pos="1134" w:leader="none"/>
        </w:tabs>
        <w:ind w:left="0" w:firstLine="709"/>
        <w:jc w:val="both"/>
        <w:rPr>
          <w:bCs/>
        </w:rPr>
      </w:pPr>
      <w:r>
        <w:rPr>
          <w:bCs/>
        </w:rPr>
        <w:t>отказа Исполнителя от возврата неотработанного аванса при досрочном прекращении Договора / признании Договора недействительным;</w:t>
      </w:r>
    </w:p>
    <w:p>
      <w:pPr>
        <w:pStyle w:val="ListParagraph"/>
        <w:numPr>
          <w:ilvl w:val="0"/>
          <w:numId w:val="27"/>
        </w:numPr>
        <w:tabs>
          <w:tab w:val="clear" w:pos="709"/>
          <w:tab w:val="left" w:pos="1134" w:leader="none"/>
        </w:tabs>
        <w:ind w:left="0" w:firstLine="709"/>
        <w:jc w:val="both"/>
        <w:rPr>
          <w:bCs/>
        </w:rPr>
      </w:pPr>
      <w:r>
        <w:rPr>
          <w:bCs/>
        </w:rPr>
        <w:t>нарушения Исполнителем сроков оказания Услуг, установленных Графиком оказания Услуг, более чем на 60 (шестьдесят) календарных дней;</w:t>
      </w:r>
    </w:p>
    <w:p>
      <w:pPr>
        <w:pStyle w:val="ListParagraph"/>
        <w:numPr>
          <w:ilvl w:val="0"/>
          <w:numId w:val="27"/>
        </w:numPr>
        <w:tabs>
          <w:tab w:val="clear" w:pos="709"/>
          <w:tab w:val="left" w:pos="1134" w:leader="none"/>
        </w:tabs>
        <w:ind w:left="0" w:firstLine="709"/>
        <w:jc w:val="both"/>
        <w:rPr>
          <w:bCs/>
        </w:rPr>
      </w:pPr>
      <w:r>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pPr>
        <w:pStyle w:val="ListParagraph"/>
        <w:numPr>
          <w:ilvl w:val="0"/>
          <w:numId w:val="27"/>
        </w:numPr>
        <w:tabs>
          <w:tab w:val="clear" w:pos="709"/>
          <w:tab w:val="left" w:pos="1134" w:leader="none"/>
        </w:tabs>
        <w:ind w:left="0" w:firstLine="709"/>
        <w:jc w:val="both"/>
        <w:rPr>
          <w:bCs/>
          <w:highlight w:val="lightGray"/>
        </w:rPr>
      </w:pPr>
      <w:r>
        <w:rPr>
          <w:bCs/>
          <w:highlight w:val="lightGray"/>
        </w:rPr>
        <w:t xml:space="preserve">прекращения членства Исполнителя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ListParagraph"/>
        <w:numPr>
          <w:ilvl w:val="0"/>
          <w:numId w:val="27"/>
        </w:numPr>
        <w:tabs>
          <w:tab w:val="clear" w:pos="709"/>
          <w:tab w:val="left" w:pos="1134" w:leader="none"/>
        </w:tabs>
        <w:ind w:left="0" w:firstLine="709"/>
        <w:jc w:val="both"/>
        <w:rPr>
          <w:bCs/>
        </w:rPr>
      </w:pPr>
      <w:r>
        <w:rPr>
          <w:bCs/>
        </w:rPr>
        <w:t>введения арбитражным судом процедуры несостоятельности (банкротства) в отношении Исполнителя;</w:t>
      </w:r>
    </w:p>
    <w:p>
      <w:pPr>
        <w:pStyle w:val="ListParagraph"/>
        <w:numPr>
          <w:ilvl w:val="0"/>
          <w:numId w:val="27"/>
        </w:numPr>
        <w:tabs>
          <w:tab w:val="clear" w:pos="709"/>
          <w:tab w:val="left" w:pos="1134" w:leader="none"/>
        </w:tabs>
        <w:ind w:left="0" w:firstLine="709"/>
        <w:jc w:val="both"/>
        <w:rPr>
          <w:bCs/>
        </w:rPr>
      </w:pPr>
      <w:r>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pPr>
        <w:pStyle w:val="ListParagraph"/>
        <w:numPr>
          <w:ilvl w:val="0"/>
          <w:numId w:val="27"/>
        </w:numPr>
        <w:tabs>
          <w:tab w:val="clear" w:pos="709"/>
          <w:tab w:val="left" w:pos="1134" w:leader="none"/>
        </w:tabs>
        <w:ind w:left="0" w:firstLine="709"/>
        <w:jc w:val="both"/>
        <w:rPr>
          <w:bCs/>
        </w:rPr>
      </w:pPr>
      <w:r>
        <w:rPr>
          <w:bCs/>
        </w:rPr>
        <w:t>признания Договора недействительным по причинам отсутствия необходимых корпоративных одобрений у Исполнителя;</w:t>
      </w:r>
    </w:p>
    <w:p>
      <w:pPr>
        <w:pStyle w:val="ListParagraph"/>
        <w:numPr>
          <w:ilvl w:val="0"/>
          <w:numId w:val="27"/>
        </w:numPr>
        <w:shd w:val="clear" w:color="auto" w:fill="FFFFFF"/>
        <w:tabs>
          <w:tab w:val="clear" w:pos="709"/>
          <w:tab w:val="left" w:pos="1134" w:leader="none"/>
        </w:tabs>
        <w:ind w:left="0" w:firstLine="709"/>
        <w:jc w:val="both"/>
        <w:rPr/>
      </w:pPr>
      <w:r>
        <w:rPr>
          <w:bCs/>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pPr>
        <w:pStyle w:val="ListParagraph"/>
        <w:numPr>
          <w:ilvl w:val="1"/>
          <w:numId w:val="29"/>
        </w:numPr>
        <w:shd w:val="clear" w:color="auto" w:fill="FFFFFF"/>
        <w:tabs>
          <w:tab w:val="clear" w:pos="709"/>
          <w:tab w:val="left" w:pos="1134" w:leader="none"/>
        </w:tabs>
        <w:ind w:left="0" w:firstLine="709"/>
        <w:jc w:val="both"/>
        <w:rPr>
          <w:bCs/>
        </w:rPr>
      </w:pPr>
      <w:r>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29"/>
        </w:numPr>
        <w:shd w:val="clear" w:color="auto" w:fill="FFFFFF"/>
        <w:tabs>
          <w:tab w:val="clear" w:pos="709"/>
          <w:tab w:val="left" w:pos="1134" w:leader="none"/>
        </w:tabs>
        <w:ind w:left="0" w:firstLine="709"/>
        <w:jc w:val="both"/>
        <w:rPr/>
      </w:pPr>
      <w:r>
        <w:rPr/>
        <w:t>Текст Независимой гарантии должен содержать перечень Документов к требованию.</w:t>
      </w:r>
    </w:p>
    <w:p>
      <w:pPr>
        <w:pStyle w:val="ListParagraph"/>
        <w:numPr>
          <w:ilvl w:val="1"/>
          <w:numId w:val="29"/>
        </w:numPr>
        <w:ind w:left="0" w:firstLine="709"/>
        <w:jc w:val="both"/>
        <w:rPr/>
      </w:pPr>
      <w:r>
        <w:rPr/>
        <w:t>Текст Независимой гарантии должен содержать следующие дополнительные условия:</w:t>
      </w:r>
    </w:p>
    <w:p>
      <w:pPr>
        <w:pStyle w:val="ListParagraph"/>
        <w:numPr>
          <w:ilvl w:val="2"/>
          <w:numId w:val="29"/>
        </w:numPr>
        <w:shd w:val="clear" w:color="auto" w:fill="FFFFFF"/>
        <w:tabs>
          <w:tab w:val="clear" w:pos="709"/>
          <w:tab w:val="left" w:pos="1134" w:leader="none"/>
        </w:tabs>
        <w:ind w:left="0" w:firstLine="709"/>
        <w:jc w:val="both"/>
        <w:rPr/>
      </w:pPr>
      <w:r>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29"/>
        </w:numPr>
        <w:shd w:val="clear" w:color="auto" w:fill="FFFFFF"/>
        <w:tabs>
          <w:tab w:val="clear" w:pos="709"/>
          <w:tab w:val="left" w:pos="1134" w:leader="none"/>
        </w:tabs>
        <w:ind w:left="0" w:firstLine="709"/>
        <w:jc w:val="both"/>
        <w:rPr/>
      </w:pPr>
      <w:r>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29"/>
        </w:numPr>
        <w:shd w:val="clear" w:color="auto" w:fill="FFFFFF"/>
        <w:tabs>
          <w:tab w:val="clear" w:pos="709"/>
          <w:tab w:val="left" w:pos="1134" w:leader="none"/>
        </w:tabs>
        <w:ind w:left="0" w:firstLine="709"/>
        <w:jc w:val="both"/>
        <w:rPr/>
      </w:pPr>
      <w: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29"/>
        </w:numPr>
        <w:shd w:val="clear" w:color="auto" w:fill="FFFFFF"/>
        <w:tabs>
          <w:tab w:val="clear" w:pos="709"/>
          <w:tab w:val="left" w:pos="1134" w:leader="none"/>
        </w:tabs>
        <w:ind w:left="0" w:firstLine="709"/>
        <w:jc w:val="both"/>
        <w:rPr/>
      </w:pPr>
      <w: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29"/>
        </w:numPr>
        <w:shd w:val="clear" w:color="auto" w:fill="FFFFFF"/>
        <w:tabs>
          <w:tab w:val="clear" w:pos="709"/>
          <w:tab w:val="left" w:pos="1134" w:leader="none"/>
        </w:tabs>
        <w:ind w:left="0" w:firstLine="709"/>
        <w:jc w:val="both"/>
        <w:rPr/>
      </w:pPr>
      <w:r>
        <w:rPr/>
        <w:t>Споры, возникающие в связи с исполнением обязательств по Независимой гарантии, рассматриваются в Арбитражном суде г. Москвы.</w:t>
      </w:r>
    </w:p>
    <w:p>
      <w:pPr>
        <w:pStyle w:val="ListParagraph"/>
        <w:numPr>
          <w:ilvl w:val="2"/>
          <w:numId w:val="29"/>
        </w:numPr>
        <w:shd w:val="clear" w:color="auto" w:fill="FFFFFF"/>
        <w:tabs>
          <w:tab w:val="clear" w:pos="709"/>
          <w:tab w:val="left" w:pos="1134" w:leader="none"/>
        </w:tabs>
        <w:ind w:left="0" w:firstLine="709"/>
        <w:jc w:val="both"/>
        <w:rPr/>
      </w:pPr>
      <w: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29"/>
        </w:numPr>
        <w:ind w:left="0" w:firstLine="709"/>
        <w:jc w:val="both"/>
        <w:rPr/>
      </w:pPr>
      <w:r>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29"/>
        </w:numPr>
        <w:tabs>
          <w:tab w:val="clear" w:pos="709"/>
          <w:tab w:val="left" w:pos="1134" w:leader="none"/>
        </w:tabs>
        <w:ind w:left="0" w:firstLine="709"/>
        <w:jc w:val="both"/>
        <w:rPr>
          <w:bCs/>
        </w:rPr>
      </w:pPr>
      <w:r>
        <w:rPr>
          <w:bCs/>
        </w:rPr>
        <w:t>Независимая гарантия не должна содержать условия:</w:t>
      </w:r>
    </w:p>
    <w:p>
      <w:pPr>
        <w:pStyle w:val="ListParagraph"/>
        <w:numPr>
          <w:ilvl w:val="0"/>
          <w:numId w:val="28"/>
        </w:numPr>
        <w:tabs>
          <w:tab w:val="clear" w:pos="709"/>
          <w:tab w:val="left" w:pos="1134" w:leader="none"/>
        </w:tabs>
        <w:ind w:left="0" w:firstLine="709"/>
        <w:jc w:val="both"/>
        <w:rPr>
          <w:bCs/>
        </w:rPr>
      </w:pPr>
      <w:r>
        <w:rPr>
          <w:bCs/>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8"/>
        </w:numPr>
        <w:tabs>
          <w:tab w:val="clear" w:pos="709"/>
          <w:tab w:val="left" w:pos="1134" w:leader="none"/>
        </w:tabs>
        <w:ind w:left="0" w:firstLine="709"/>
        <w:jc w:val="both"/>
        <w:rPr>
          <w:bCs/>
        </w:rPr>
      </w:pPr>
      <w:r>
        <w:rPr>
          <w:bCs/>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pPr>
        <w:pStyle w:val="ListParagraph"/>
        <w:numPr>
          <w:ilvl w:val="0"/>
          <w:numId w:val="28"/>
        </w:numPr>
        <w:tabs>
          <w:tab w:val="clear" w:pos="709"/>
          <w:tab w:val="left" w:pos="1134" w:leader="none"/>
        </w:tabs>
        <w:ind w:left="0" w:firstLine="709"/>
        <w:jc w:val="both"/>
        <w:rPr>
          <w:bCs/>
        </w:rPr>
      </w:pPr>
      <w:r>
        <w:rPr>
          <w:bCs/>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8"/>
        </w:numPr>
        <w:shd w:val="clear" w:color="auto" w:fill="FFFFFF"/>
        <w:tabs>
          <w:tab w:val="clear" w:pos="709"/>
          <w:tab w:val="left" w:pos="1134" w:leader="none"/>
        </w:tabs>
        <w:ind w:left="0" w:firstLine="709"/>
        <w:jc w:val="both"/>
        <w:rPr>
          <w:bCs/>
        </w:rPr>
      </w:pPr>
      <w:r>
        <w:rPr>
          <w:bCs/>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pPr>
        <w:pStyle w:val="ListParagraph"/>
        <w:numPr>
          <w:ilvl w:val="1"/>
          <w:numId w:val="29"/>
        </w:numPr>
        <w:shd w:val="clear" w:color="auto" w:fill="FFFFFF"/>
        <w:tabs>
          <w:tab w:val="clear" w:pos="709"/>
          <w:tab w:val="left" w:pos="1134" w:leader="none"/>
        </w:tabs>
        <w:ind w:left="0" w:firstLine="709"/>
        <w:jc w:val="both"/>
        <w:rPr/>
      </w:pPr>
      <w: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29"/>
        </w:numPr>
        <w:shd w:val="clear" w:color="auto" w:fill="FFFFFF"/>
        <w:tabs>
          <w:tab w:val="clear" w:pos="709"/>
          <w:tab w:val="left" w:pos="1134" w:leader="none"/>
        </w:tabs>
        <w:ind w:left="0" w:firstLine="709"/>
        <w:jc w:val="both"/>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pPr>
        <w:pStyle w:val="ListParagraph"/>
        <w:numPr>
          <w:ilvl w:val="1"/>
          <w:numId w:val="29"/>
        </w:numPr>
        <w:shd w:val="clear" w:color="auto" w:fill="FFFFFF"/>
        <w:tabs>
          <w:tab w:val="clear" w:pos="709"/>
          <w:tab w:val="left" w:pos="1134" w:leader="none"/>
        </w:tabs>
        <w:ind w:left="0" w:firstLine="709"/>
        <w:jc w:val="both"/>
        <w:rPr/>
      </w:pPr>
      <w:r>
        <w:rP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pPr>
        <w:pStyle w:val="ListParagraph"/>
        <w:numPr>
          <w:ilvl w:val="1"/>
          <w:numId w:val="29"/>
        </w:numPr>
        <w:shd w:val="clear" w:color="auto" w:fill="FFFFFF"/>
        <w:tabs>
          <w:tab w:val="clear" w:pos="709"/>
          <w:tab w:val="left" w:pos="1134" w:leader="none"/>
        </w:tabs>
        <w:ind w:left="0" w:firstLine="709"/>
        <w:jc w:val="both"/>
        <w:rPr/>
      </w:pPr>
      <w: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29"/>
        </w:numPr>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2"/>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1"/>
          <w:numId w:val="12"/>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Независимую гарантию,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Normal"/>
        <w:shd w:val="clear" w:color="auto" w:fill="FFFFFF"/>
        <w:tabs>
          <w:tab w:val="clear" w:pos="709"/>
          <w:tab w:val="left" w:pos="1134" w:leader="none"/>
        </w:tabs>
        <w:ind w:firstLine="709"/>
        <w:jc w:val="both"/>
        <w:rPr>
          <w:lang w:val="ru-RU"/>
        </w:rPr>
      </w:pPr>
      <w:r>
        <w:rPr>
          <w:bCs/>
          <w:lang w:val="ru-RU"/>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lang w:val="ru-RU"/>
        </w:rPr>
        <w:t>.</w:t>
      </w:r>
    </w:p>
    <w:p>
      <w:pPr>
        <w:pStyle w:val="ListParagraph"/>
        <w:numPr>
          <w:ilvl w:val="1"/>
          <w:numId w:val="29"/>
        </w:numPr>
        <w:shd w:val="clear" w:color="auto" w:fill="FFFFFF"/>
        <w:tabs>
          <w:tab w:val="clear" w:pos="709"/>
          <w:tab w:val="left" w:pos="1134" w:leader="none"/>
        </w:tabs>
        <w:ind w:left="0" w:firstLine="709"/>
        <w:jc w:val="both"/>
        <w:rPr/>
      </w:pPr>
      <w:r>
        <w:rP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numPr>
          <w:ilvl w:val="1"/>
          <w:numId w:val="29"/>
        </w:numPr>
        <w:shd w:val="clear" w:color="auto" w:fill="FFFFFF"/>
        <w:tabs>
          <w:tab w:val="clear" w:pos="709"/>
          <w:tab w:val="left" w:pos="1134" w:leader="none"/>
        </w:tabs>
        <w:ind w:left="0" w:firstLine="709"/>
        <w:jc w:val="both"/>
        <w:rPr/>
      </w:pPr>
      <w:r>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w:t>
      </w:r>
    </w:p>
    <w:p>
      <w:pPr>
        <w:pStyle w:val="Normal"/>
        <w:shd w:val="clear" w:color="auto" w:fill="FFFFFF"/>
        <w:tabs>
          <w:tab w:val="clear" w:pos="709"/>
          <w:tab w:val="left" w:pos="1134" w:leader="none"/>
        </w:tabs>
        <w:ind w:firstLine="708"/>
        <w:jc w:val="both"/>
        <w:rPr>
          <w:bCs/>
          <w:lang w:val="ru-RU"/>
        </w:rPr>
      </w:pPr>
      <w:r>
        <w:rPr>
          <w:bCs/>
          <w:lang w:val="ru-RU"/>
        </w:rPr>
      </w:r>
    </w:p>
    <w:p>
      <w:pPr>
        <w:pStyle w:val="ListParagraph"/>
        <w:numPr>
          <w:ilvl w:val="0"/>
          <w:numId w:val="23"/>
        </w:numPr>
        <w:shd w:val="clear" w:color="auto" w:fill="FFFFFF"/>
        <w:tabs>
          <w:tab w:val="clear" w:pos="709"/>
          <w:tab w:val="left" w:pos="284" w:leader="none"/>
        </w:tabs>
        <w:ind w:left="0" w:hanging="0"/>
        <w:jc w:val="center"/>
        <w:rPr>
          <w:bCs/>
        </w:rPr>
      </w:pPr>
      <w:r>
        <w:rPr>
          <w:b/>
        </w:rPr>
        <w:t>Ответственность Сторон</w:t>
      </w:r>
    </w:p>
    <w:p>
      <w:pPr>
        <w:pStyle w:val="ListParagraph"/>
        <w:numPr>
          <w:ilvl w:val="1"/>
          <w:numId w:val="24"/>
        </w:numPr>
        <w:tabs>
          <w:tab w:val="clear" w:pos="709"/>
          <w:tab w:val="left" w:pos="496" w:leader="none"/>
          <w:tab w:val="left" w:pos="1134" w:leader="none"/>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24"/>
        </w:numPr>
        <w:tabs>
          <w:tab w:val="clear" w:pos="709"/>
          <w:tab w:val="left" w:pos="496" w:leader="none"/>
          <w:tab w:val="left" w:pos="1134" w:leader="none"/>
        </w:tabs>
        <w:ind w:left="0" w:firstLine="709"/>
        <w:jc w:val="both"/>
        <w:rPr>
          <w:bCs/>
        </w:rPr>
      </w:pPr>
      <w:r>
        <w:rPr>
          <w:bCs/>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4"/>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24"/>
        </w:numPr>
        <w:shd w:val="clear" w:color="auto" w:fill="FFFFFF" w:themeFill="background1"/>
        <w:tabs>
          <w:tab w:val="left" w:pos="0" w:leader="none"/>
          <w:tab w:val="left" w:pos="709" w:leader="none"/>
          <w:tab w:val="left" w:pos="1134"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24"/>
        </w:numPr>
        <w:tabs>
          <w:tab w:val="clear" w:pos="709"/>
          <w:tab w:val="left" w:pos="1134" w:leader="none"/>
          <w:tab w:val="left" w:pos="1276"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4"/>
        </w:numPr>
        <w:shd w:val="clear" w:color="auto" w:fill="FFFFFF"/>
        <w:tabs>
          <w:tab w:val="clear" w:pos="709"/>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4"/>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Независимых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4"/>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4"/>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4"/>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4"/>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4"/>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Cs/>
          <w:lang w:val="ru-RU"/>
        </w:rPr>
      </w:pPr>
      <w:r>
        <w:rPr>
          <w:bCs/>
          <w:lang w:val="ru-RU"/>
        </w:rPr>
      </w:r>
    </w:p>
    <w:p>
      <w:pPr>
        <w:pStyle w:val="ListParagraph"/>
        <w:numPr>
          <w:ilvl w:val="0"/>
          <w:numId w:val="24"/>
        </w:numPr>
        <w:shd w:val="clear" w:color="auto" w:fill="FFFFFF"/>
        <w:tabs>
          <w:tab w:val="clear" w:pos="709"/>
          <w:tab w:val="left" w:pos="-284" w:leader="none"/>
        </w:tabs>
        <w:ind w:left="-357" w:hanging="0"/>
        <w:jc w:val="center"/>
        <w:rPr>
          <w:b/>
        </w:rPr>
      </w:pPr>
      <w:r>
        <w:rPr>
          <w:b/>
        </w:rPr>
        <w:t>Исключительные права и патенты</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16"/>
        </w:numPr>
        <w:shd w:val="clear" w:color="auto" w:fill="FFFFFF"/>
        <w:tabs>
          <w:tab w:val="clear" w:pos="709"/>
          <w:tab w:val="left" w:pos="426"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6"/>
        </w:numPr>
        <w:shd w:val="clear" w:color="auto" w:fill="FFFFFF"/>
        <w:tabs>
          <w:tab w:val="left" w:pos="709" w:leader="none"/>
          <w:tab w:val="left" w:pos="1134" w:leader="none"/>
        </w:tabs>
        <w:ind w:left="0" w:firstLine="709"/>
        <w:jc w:val="both"/>
        <w:rPr>
          <w:bCs/>
        </w:rPr>
      </w:pPr>
      <w:bookmarkStart w:id="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7"/>
      <w:r>
        <w:rPr>
          <w:bCs/>
        </w:rPr>
        <w:t xml:space="preserve">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6"/>
        </w:numPr>
        <w:shd w:val="clear" w:color="auto" w:fill="FFFFFF"/>
        <w:tabs>
          <w:tab w:val="left" w:pos="709" w:leader="none"/>
          <w:tab w:val="left" w:pos="1134" w:leader="none"/>
        </w:tabs>
        <w:ind w:left="0" w:firstLine="709"/>
        <w:jc w:val="both"/>
        <w:rPr>
          <w:bCs/>
        </w:rPr>
      </w:pPr>
      <w:bookmarkStart w:id="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bookmarkStart w:id="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9"/>
    </w:p>
    <w:p>
      <w:pPr>
        <w:pStyle w:val="ListParagraph"/>
        <w:numPr>
          <w:ilvl w:val="1"/>
          <w:numId w:val="16"/>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6"/>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Независимой гарантии, подсудность которых предусмотрена пунктом 5.1.9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numPr>
          <w:ilvl w:val="1"/>
          <w:numId w:val="16"/>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6"/>
        </w:numPr>
        <w:shd w:val="clear" w:color="auto" w:fill="FFFFFF"/>
        <w:tabs>
          <w:tab w:val="clear" w:pos="709"/>
          <w:tab w:val="left" w:pos="426"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6"/>
        </w:numPr>
        <w:shd w:val="clear" w:color="auto" w:fill="FFFFFF"/>
        <w:tabs>
          <w:tab w:val="clear" w:pos="709"/>
          <w:tab w:val="left" w:pos="426"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6"/>
        </w:numPr>
        <w:shd w:val="clear" w:color="auto" w:fill="FFFFFF"/>
        <w:tabs>
          <w:tab w:val="clear" w:pos="709"/>
          <w:tab w:val="left" w:pos="426"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6"/>
        </w:numPr>
        <w:shd w:val="clear" w:color="auto" w:fill="FFFFFF"/>
        <w:tabs>
          <w:tab w:val="clear" w:pos="709"/>
          <w:tab w:val="left" w:pos="1134" w:leader="none"/>
        </w:tabs>
        <w:ind w:left="0" w:firstLine="709"/>
        <w:jc w:val="both"/>
        <w:rPr>
          <w:bCs/>
        </w:rPr>
      </w:pPr>
      <w:bookmarkStart w:id="1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0"/>
    </w:p>
    <w:p>
      <w:pPr>
        <w:pStyle w:val="ListParagraph"/>
        <w:numPr>
          <w:ilvl w:val="1"/>
          <w:numId w:val="16"/>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6"/>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13.1.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13.2.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13.4.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pPr>
      <w:r>
        <w:rP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6"/>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6"/>
        </w:numPr>
        <w:shd w:val="clear" w:color="auto" w:fill="FFFFFF"/>
        <w:tabs>
          <w:tab w:val="clear" w:pos="709"/>
          <w:tab w:val="left" w:pos="426" w:leader="none"/>
        </w:tabs>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6"/>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6"/>
        </w:numPr>
        <w:shd w:val="clear" w:color="auto" w:fill="FFFFFF"/>
        <w:tabs>
          <w:tab w:val="left" w:pos="709"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6"/>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6"/>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6"/>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6"/>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16"/>
        </w:numPr>
        <w:snapToGrid w:val="false"/>
        <w:ind w:left="0" w:firstLine="709"/>
        <w:jc w:val="both"/>
        <w:rPr>
          <w:highlight w:val="lightGray"/>
          <w:lang w:val="ru-RU"/>
        </w:rPr>
      </w:pPr>
      <w:r>
        <w:rPr>
          <w:highlight w:val="lightGray"/>
          <w:lang w:val="ru-RU"/>
        </w:rPr>
        <w:t xml:space="preserve">Договор заключается в электронной форме с использованием программно-аппаратных средств </w:t>
      </w:r>
      <w:bookmarkStart w:id="11" w:name="_GoBack"/>
      <w:r>
        <w:rPr>
          <w:highlight w:val="lightGray"/>
          <w:lang w:val="ru-RU"/>
        </w:rPr>
        <w:t>электронной площадки путем</w:t>
      </w:r>
      <w:bookmarkEnd w:id="11"/>
      <w:r>
        <w:rPr>
          <w:highlight w:val="lightGray"/>
          <w:lang w:val="ru-RU"/>
        </w:rPr>
        <w:t xml:space="preserve"> его подписания усиленными квалифицированными электронными подписями (далее – УКЭП) уполномоченных представителей Сторон. </w:t>
      </w:r>
    </w:p>
    <w:p>
      <w:pPr>
        <w:pStyle w:val="ListParagraph"/>
        <w:ind w:left="0" w:firstLine="709"/>
        <w:jc w:val="both"/>
        <w:rPr>
          <w:lang w:eastAsia="en-US"/>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highlight w:val="lightGray"/>
          <w:lang w:eastAsia="en-US"/>
        </w:rPr>
        <w:t>.</w:t>
      </w:r>
      <w:r>
        <w:rPr>
          <w:lang w:eastAsia="en-US"/>
        </w:rPr>
        <w:t xml:space="preserve"> </w:t>
      </w:r>
    </w:p>
    <w:p>
      <w:pPr>
        <w:pStyle w:val="ListParagraph"/>
        <w:numPr>
          <w:ilvl w:val="1"/>
          <w:numId w:val="16"/>
        </w:numPr>
        <w:shd w:val="clear" w:color="auto" w:fill="FFFFFF"/>
        <w:tabs>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15.6 Договора. </w:t>
      </w:r>
    </w:p>
    <w:p>
      <w:pPr>
        <w:pStyle w:val="ListParagraph"/>
        <w:numPr>
          <w:ilvl w:val="1"/>
          <w:numId w:val="16"/>
        </w:numPr>
        <w:shd w:val="clear" w:color="auto" w:fill="FFFFFF"/>
        <w:tabs>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6"/>
        </w:numPr>
        <w:shd w:val="clear" w:color="auto" w:fill="FFFFFF"/>
        <w:tabs>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6"/>
        </w:numPr>
        <w:shd w:val="clear" w:color="auto" w:fill="FFFFFF"/>
        <w:tabs>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15.7 Договора. </w:t>
      </w:r>
    </w:p>
    <w:p>
      <w:pPr>
        <w:pStyle w:val="ListParagraph"/>
        <w:numPr>
          <w:ilvl w:val="1"/>
          <w:numId w:val="16"/>
        </w:numPr>
        <w:shd w:val="clear" w:color="auto" w:fill="FFFFFF"/>
        <w:tabs>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15.7.1.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17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15.7.2.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17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2" w:name="_Ref361338032"/>
      <w:r>
        <w:rPr>
          <w:bCs/>
        </w:rPr>
        <w:t xml:space="preserve">15.7.3. </w:t>
      </w:r>
      <w:bookmarkEnd w:id="12"/>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15.7.1, 15.7.2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6"/>
        </w:numPr>
        <w:shd w:val="clear" w:color="auto" w:fill="FFFFFF"/>
        <w:tabs>
          <w:tab w:val="clear" w:pos="709"/>
          <w:tab w:val="left" w:pos="1134" w:leader="none"/>
        </w:tabs>
        <w:ind w:left="0" w:firstLine="709"/>
        <w:jc w:val="both"/>
        <w:rPr>
          <w:bCs/>
        </w:rPr>
      </w:pPr>
      <w:r>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Normal"/>
        <w:ind w:firstLine="709"/>
        <w:jc w:val="both"/>
        <w:rPr>
          <w:lang w:val="ru-RU"/>
        </w:rPr>
      </w:pPr>
      <w:r>
        <w:rPr>
          <w:bCs/>
          <w:lang w:val="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lang w:val="ru-RU"/>
        </w:rPr>
        <w:t>.</w:t>
      </w:r>
      <w:r>
        <w:rPr/>
        <w:t> </w:t>
      </w:r>
      <w:r>
        <w:rPr>
          <w:lang w:val="ru-RU"/>
        </w:rPr>
        <w:t xml:space="preserve"> </w:t>
      </w:r>
    </w:p>
    <w:p>
      <w:pPr>
        <w:pStyle w:val="ListParagraph"/>
        <w:numPr>
          <w:ilvl w:val="1"/>
          <w:numId w:val="16"/>
        </w:numPr>
        <w:ind w:left="0" w:firstLine="709"/>
        <w:jc w:val="both"/>
        <w:rPr>
          <w:lang w:eastAsia="en-U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ind w:left="709" w:hanging="0"/>
        <w:jc w:val="both"/>
        <w:rPr>
          <w:lang w:val="ru-RU" w:eastAsia="en-US"/>
        </w:rPr>
      </w:pPr>
      <w:r>
        <w:rPr>
          <w:lang w:val="ru-RU" w:eastAsia="en-US"/>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jc w:val="both"/>
        <w:rPr>
          <w:lang w:val="ru-RU"/>
        </w:rPr>
      </w:pPr>
      <w:r>
        <w:rPr>
          <w:lang w:val="ru-RU"/>
        </w:rPr>
        <w:t>Приложение № 2.1 – Форма заявки на оказание Услуг;</w:t>
      </w:r>
    </w:p>
    <w:p>
      <w:pPr>
        <w:pStyle w:val="Normal"/>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 xml:space="preserve">Приложение № 3 – </w:t>
      </w:r>
      <w:r>
        <w:rPr>
          <w:highlight w:val="lightGray"/>
          <w:lang w:val="ru-RU" w:eastAsia="en-US"/>
        </w:rPr>
        <w:t>Расчет стоимости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2"/>
        <w:gridCol w:w="4643"/>
      </w:tblGrid>
      <w:tr>
        <w:trPr/>
        <w:tc>
          <w:tcPr>
            <w:tcW w:w="4962"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962" w:type="dxa"/>
            <w:tcBorders/>
            <w:shd w:color="auto" w:fill="auto" w:val="clear"/>
          </w:tcPr>
          <w:p>
            <w:pPr>
              <w:pStyle w:val="Normal"/>
              <w:widowControl w:val="false"/>
              <w:rPr>
                <w:b w:val="false"/>
                <w:bCs w:val="false"/>
              </w:rPr>
            </w:pPr>
            <w:r>
              <w:rPr>
                <w:b w:val="false"/>
                <w:bCs w:val="false"/>
                <w:lang w:val="ru-RU"/>
              </w:rPr>
              <w:t>АО «ТК РусГидро»</w:t>
            </w:r>
          </w:p>
          <w:p>
            <w:pPr>
              <w:pStyle w:val="Normal"/>
              <w:widowControl w:val="false"/>
              <w:rPr>
                <w:b w:val="false"/>
                <w:bCs w:val="false"/>
              </w:rPr>
            </w:pPr>
            <w:r>
              <w:rPr>
                <w:b w:val="false"/>
                <w:bCs w:val="false"/>
                <w:lang w:val="ru-RU"/>
              </w:rPr>
              <w:t>Место нахождения: 655619, Российская Федерация, Республика Хакасия, г. Саяногорск, рп. Черемушки, стр. № 101</w:t>
            </w:r>
          </w:p>
          <w:p>
            <w:pPr>
              <w:pStyle w:val="Normal"/>
              <w:widowControl w:val="false"/>
              <w:rPr>
                <w:b w:val="false"/>
                <w:bCs w:val="false"/>
              </w:rPr>
            </w:pPr>
            <w:r>
              <w:rPr>
                <w:b w:val="false"/>
                <w:bCs w:val="false"/>
                <w:lang w:val="ru-RU"/>
              </w:rPr>
              <w:t>Центральный филиал АО «ТК РусГидро»</w:t>
            </w:r>
          </w:p>
          <w:p>
            <w:pPr>
              <w:pStyle w:val="Normal"/>
              <w:widowControl w:val="false"/>
              <w:rPr>
                <w:b w:val="false"/>
                <w:bCs w:val="false"/>
              </w:rPr>
            </w:pPr>
            <w:r>
              <w:rPr>
                <w:b w:val="false"/>
                <w:bCs w:val="false"/>
                <w:lang w:val="ru-RU"/>
              </w:rPr>
              <w:t>Место нахождения и почтовый адрес: 141342, Московская область, Сергиево-Посадский городской округ, пгт. Богородское, д. 100,</w:t>
            </w:r>
          </w:p>
          <w:p>
            <w:pPr>
              <w:pStyle w:val="Normal"/>
              <w:widowControl w:val="false"/>
              <w:rPr>
                <w:b w:val="false"/>
                <w:bCs w:val="false"/>
              </w:rPr>
            </w:pPr>
            <w:r>
              <w:rPr>
                <w:b w:val="false"/>
                <w:bCs w:val="false"/>
                <w:lang w:val="ru-RU"/>
              </w:rPr>
              <w:t>Р\с 40702810940020015572</w:t>
            </w:r>
          </w:p>
          <w:p>
            <w:pPr>
              <w:pStyle w:val="Normal"/>
              <w:widowControl w:val="false"/>
              <w:rPr>
                <w:b w:val="false"/>
                <w:bCs w:val="false"/>
              </w:rPr>
            </w:pPr>
            <w:r>
              <w:rPr>
                <w:b w:val="false"/>
                <w:bCs w:val="false"/>
                <w:lang w:val="ru-RU"/>
              </w:rPr>
              <w:t>в ПАО «Сбербанк России», г. Москва</w:t>
            </w:r>
          </w:p>
          <w:p>
            <w:pPr>
              <w:pStyle w:val="Normal"/>
              <w:widowControl w:val="false"/>
              <w:rPr>
                <w:b w:val="false"/>
                <w:bCs w:val="false"/>
              </w:rPr>
            </w:pPr>
            <w:r>
              <w:rPr>
                <w:b w:val="false"/>
                <w:bCs w:val="false"/>
                <w:lang w:val="ru-RU"/>
              </w:rPr>
              <w:t>к/с 30101810400000000225</w:t>
            </w:r>
          </w:p>
          <w:p>
            <w:pPr>
              <w:pStyle w:val="Normal"/>
              <w:widowControl w:val="false"/>
              <w:rPr>
                <w:b w:val="false"/>
                <w:bCs w:val="false"/>
              </w:rPr>
            </w:pPr>
            <w:r>
              <w:rPr>
                <w:b w:val="false"/>
                <w:bCs w:val="false"/>
                <w:lang w:val="ru-RU"/>
              </w:rPr>
              <w:t>БИК 044525225</w:t>
            </w:r>
          </w:p>
          <w:p>
            <w:pPr>
              <w:pStyle w:val="Normal"/>
              <w:widowControl w:val="false"/>
              <w:rPr>
                <w:b w:val="false"/>
                <w:bCs w:val="false"/>
              </w:rPr>
            </w:pPr>
            <w:r>
              <w:rPr>
                <w:b w:val="false"/>
                <w:bCs w:val="false"/>
                <w:lang w:val="ru-RU"/>
              </w:rPr>
              <w:t>ИНН: 1902018248</w:t>
            </w:r>
          </w:p>
          <w:p>
            <w:pPr>
              <w:pStyle w:val="Normal"/>
              <w:widowControl w:val="false"/>
              <w:rPr>
                <w:b w:val="false"/>
                <w:bCs w:val="false"/>
              </w:rPr>
            </w:pPr>
            <w:r>
              <w:rPr>
                <w:b w:val="false"/>
                <w:bCs w:val="false"/>
                <w:lang w:val="ru-RU"/>
              </w:rPr>
              <w:t>КПП: 504 243 001</w:t>
            </w:r>
          </w:p>
          <w:p>
            <w:pPr>
              <w:pStyle w:val="Normal"/>
              <w:widowControl w:val="false"/>
              <w:rPr>
                <w:b w:val="false"/>
                <w:bCs w:val="false"/>
              </w:rPr>
            </w:pPr>
            <w:r>
              <w:rPr>
                <w:b w:val="false"/>
                <w:bCs w:val="false"/>
                <w:lang w:val="ru-RU"/>
              </w:rPr>
              <w:t>ОГРН:1031900676356</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t>Почтовый адрес:</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962" w:type="dxa"/>
            <w:tcBorders/>
            <w:shd w:color="auto" w:fill="auto" w:val="clear"/>
          </w:tcPr>
          <w:p>
            <w:pPr>
              <w:pStyle w:val="Normal"/>
              <w:widowControl w:val="false"/>
              <w:rPr>
                <w:b w:val="false"/>
                <w:bCs w:val="false"/>
              </w:rPr>
            </w:pPr>
            <w:r>
              <w:rPr>
                <w:b w:val="false"/>
                <w:bCs w:val="false"/>
                <w:lang w:val="ru-RU"/>
              </w:rPr>
              <w:t>Заказчик:</w:t>
            </w:r>
          </w:p>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К.А. Михайлов/</w:t>
            </w:r>
          </w:p>
          <w:p>
            <w:pPr>
              <w:pStyle w:val="Normal"/>
              <w:widowControl w:val="false"/>
              <w:rPr>
                <w:b w:val="false"/>
                <w:bCs w:val="false"/>
              </w:rPr>
            </w:pPr>
            <w:r>
              <w:rPr>
                <w:b w:val="false"/>
                <w:bCs w:val="false"/>
              </w:rPr>
              <w:t>МП</w:t>
            </w:r>
          </w:p>
        </w:tc>
        <w:tc>
          <w:tcPr>
            <w:tcW w:w="4643" w:type="dxa"/>
            <w:tcBorders/>
            <w:shd w:color="auto" w:fill="auto" w:val="clear"/>
          </w:tcPr>
          <w:p>
            <w:pPr>
              <w:pStyle w:val="Normal"/>
              <w:widowControl w:val="false"/>
              <w:rPr/>
            </w:pPr>
            <w:r>
              <w:rPr/>
              <w:t xml:space="preserve">_______________ / _______________ </w:t>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ListParagraph"/>
        <w:ind w:left="0" w:hanging="0"/>
        <w:rPr/>
      </w:pPr>
      <w:r>
        <w:rPr/>
        <w:tab/>
        <w:tab/>
      </w:r>
    </w:p>
    <w:p>
      <w:pPr>
        <w:pStyle w:val="ListParagraph"/>
        <w:numPr>
          <w:ilvl w:val="0"/>
          <w:numId w:val="18"/>
        </w:numPr>
        <w:tabs>
          <w:tab w:val="clear" w:pos="709"/>
          <w:tab w:val="left" w:pos="1134" w:leader="none"/>
        </w:tabs>
        <w:ind w:left="0" w:firstLine="709"/>
        <w:rPr/>
      </w:pPr>
      <w:r>
        <w:rPr/>
        <w:t>Виды услуг:</w:t>
      </w:r>
    </w:p>
    <w:p>
      <w:pPr>
        <w:pStyle w:val="ListParagraph"/>
        <w:numPr>
          <w:ilvl w:val="0"/>
          <w:numId w:val="18"/>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8"/>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8"/>
        </w:numPr>
        <w:tabs>
          <w:tab w:val="clear" w:pos="709"/>
          <w:tab w:val="left" w:pos="1134" w:leader="none"/>
        </w:tabs>
        <w:ind w:left="0" w:firstLine="709"/>
        <w:rPr>
          <w:highlight w:val="lightGray"/>
        </w:rPr>
      </w:pPr>
      <w:r>
        <w:rPr>
          <w:highlight w:val="lightGray"/>
        </w:rPr>
        <w:t>Качество:</w:t>
      </w:r>
    </w:p>
    <w:p>
      <w:pPr>
        <w:pStyle w:val="ListParagraph"/>
        <w:numPr>
          <w:ilvl w:val="0"/>
          <w:numId w:val="18"/>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8"/>
        </w:numPr>
        <w:tabs>
          <w:tab w:val="clear" w:pos="709"/>
          <w:tab w:val="left" w:pos="1134" w:leader="none"/>
        </w:tabs>
        <w:ind w:left="0" w:firstLine="709"/>
        <w:rPr/>
      </w:pPr>
      <w:r>
        <w:rPr/>
        <w:t>Срок выполнения:</w:t>
      </w:r>
    </w:p>
    <w:p>
      <w:pPr>
        <w:pStyle w:val="ListParagraph"/>
        <w:tabs>
          <w:tab w:val="clear" w:pos="709"/>
          <w:tab w:val="left" w:pos="1134" w:leader="none"/>
        </w:tabs>
        <w:ind w:left="0" w:firstLine="709"/>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К.А. Михайлов/</w:t>
            </w:r>
          </w:p>
          <w:p>
            <w:pPr>
              <w:pStyle w:val="Normal"/>
              <w:widowControl w:val="false"/>
              <w:rPr>
                <w:b w:val="false"/>
                <w:bCs w:val="false"/>
              </w:rPr>
            </w:pPr>
            <w:r>
              <w:rPr>
                <w:b w:val="false"/>
                <w:bCs w:val="false"/>
              </w:rPr>
              <w:t>МП</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ind w:firstLine="709"/>
        <w:jc w:val="right"/>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jc w:val="center"/>
        <w:rPr>
          <w:b/>
          <w:lang w:val="ru-RU"/>
        </w:rPr>
      </w:pPr>
      <w:r>
        <w:rPr>
          <w:b/>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1"/>
        <w:gridCol w:w="1385"/>
        <w:gridCol w:w="1559"/>
        <w:gridCol w:w="1461"/>
        <w:gridCol w:w="2649"/>
        <w:gridCol w:w="51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7" w:type="dxa"/>
            <w:gridSpan w:val="2"/>
            <w:tcBorders>
              <w:top w:val="single" w:sz="4" w:space="0" w:color="000000"/>
            </w:tcBorders>
          </w:tcPr>
          <w:p>
            <w:pPr>
              <w:pStyle w:val="Normal"/>
              <w:widowControl w:val="false"/>
              <w:rPr>
                <w:b/>
                <w:lang w:val="ru-RU"/>
              </w:rPr>
            </w:pPr>
            <w:r>
              <w:rPr>
                <w:b/>
                <w:lang w:val="ru-RU"/>
              </w:rPr>
            </w:r>
          </w:p>
        </w:tc>
        <w:tc>
          <w:tcPr>
            <w:tcW w:w="757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К.А. Михайлов/</w:t>
            </w:r>
          </w:p>
          <w:p>
            <w:pPr>
              <w:pStyle w:val="Normal"/>
              <w:widowControl w:val="false"/>
              <w:rPr>
                <w:b w:val="false"/>
                <w:bCs w:val="false"/>
              </w:rPr>
            </w:pPr>
            <w:r>
              <w:rPr>
                <w:b w:val="false"/>
                <w:bCs w:val="false"/>
              </w:rPr>
              <w:t>МП</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rPr>
        <w:t>Расчет</w:t>
      </w:r>
      <w:r>
        <w:rPr>
          <w:b/>
          <w:highlight w:val="lightGray"/>
          <w:lang w:val="ru-RU" w:eastAsia="en-US"/>
        </w:rPr>
        <w:t xml:space="preserve">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К.А. Михайлов/</w:t>
            </w:r>
          </w:p>
          <w:p>
            <w:pPr>
              <w:pStyle w:val="Normal"/>
              <w:widowControl w:val="false"/>
              <w:rPr>
                <w:b w:val="false"/>
                <w:bCs w:val="false"/>
              </w:rPr>
            </w:pPr>
            <w:r>
              <w:rPr>
                <w:b w:val="false"/>
                <w:bCs w:val="false"/>
              </w:rPr>
              <w:t>МП</w:t>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jc w:val="right"/>
        <w:rPr>
          <w:sz w:val="22"/>
          <w:szCs w:val="22"/>
          <w:lang w:val="ru-RU"/>
        </w:rPr>
      </w:pPr>
      <w:r>
        <w:br w:type="page"/>
      </w:r>
      <w:r>
        <w:rPr>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Title"/>
        <w:rPr>
          <w:iCs/>
        </w:rPr>
      </w:pPr>
      <w:r>
        <w:rPr>
          <w:iCs/>
        </w:rPr>
      </w:r>
    </w:p>
    <w:p>
      <w:pPr>
        <w:pStyle w:val="Title"/>
        <w:rPr>
          <w:iCs/>
        </w:rPr>
      </w:pPr>
      <w:r>
        <w:rPr>
          <w:iCs/>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w:t>
      </w:r>
      <w:r>
        <w:rPr>
          <w:iCs/>
          <w:lang w:val="ru-RU"/>
        </w:rPr>
        <w:t>у</w:t>
      </w:r>
      <w:r>
        <w:rPr>
          <w:iCs/>
        </w:rPr>
        <w:t>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К.А. Михайлов/</w:t>
            </w:r>
          </w:p>
          <w:p>
            <w:pPr>
              <w:pStyle w:val="Normal"/>
              <w:widowControl w:val="false"/>
              <w:rPr>
                <w:b w:val="false"/>
                <w:bCs w:val="false"/>
              </w:rPr>
            </w:pPr>
            <w:r>
              <w:rPr>
                <w:b w:val="false"/>
                <w:bCs w:val="false"/>
              </w:rPr>
              <w:t>МП</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i/>
          <w:i/>
          <w:color w:val="FF0000"/>
          <w:lang w:val="ru-RU"/>
        </w:rPr>
      </w:pPr>
      <w:r>
        <w:rPr>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8">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1">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5"/>
      <w:numFmt w:val="decimal"/>
      <w:lvlText w:val="%1."/>
      <w:lvlJc w:val="left"/>
      <w:pPr>
        <w:tabs>
          <w:tab w:val="num" w:pos="0"/>
        </w:tabs>
        <w:ind w:left="360" w:hanging="360"/>
      </w:pPr>
      <w:rPr/>
    </w:lvl>
    <w:lvl w:ilvl="1">
      <w:start w:val="1"/>
      <w:numFmt w:val="decimal"/>
      <w:lvlText w:val="%1.%2."/>
      <w:lvlJc w:val="left"/>
      <w:pPr>
        <w:tabs>
          <w:tab w:val="num" w:pos="0"/>
        </w:tabs>
        <w:ind w:left="1848" w:hanging="360"/>
      </w:pPr>
      <w:rPr>
        <w:b w:val="false"/>
      </w:rPr>
    </w:lvl>
    <w:lvl w:ilvl="2">
      <w:start w:val="1"/>
      <w:numFmt w:val="decimal"/>
      <w:lvlText w:val="%1.%2.%3."/>
      <w:lvlJc w:val="left"/>
      <w:pPr>
        <w:tabs>
          <w:tab w:val="num" w:pos="0"/>
        </w:tabs>
        <w:ind w:left="3696" w:hanging="720"/>
      </w:pPr>
      <w:rPr/>
    </w:lvl>
    <w:lvl w:ilvl="3">
      <w:start w:val="1"/>
      <w:numFmt w:val="decimal"/>
      <w:lvlText w:val="%1.%2.%3.%4."/>
      <w:lvlJc w:val="left"/>
      <w:pPr>
        <w:tabs>
          <w:tab w:val="num" w:pos="0"/>
        </w:tabs>
        <w:ind w:left="5184" w:hanging="720"/>
      </w:pPr>
      <w:rPr/>
    </w:lvl>
    <w:lvl w:ilvl="4">
      <w:start w:val="1"/>
      <w:numFmt w:val="decimal"/>
      <w:lvlText w:val="%1.%2.%3.%4.%5."/>
      <w:lvlJc w:val="left"/>
      <w:pPr>
        <w:tabs>
          <w:tab w:val="num" w:pos="0"/>
        </w:tabs>
        <w:ind w:left="7032" w:hanging="1080"/>
      </w:pPr>
      <w:rPr/>
    </w:lvl>
    <w:lvl w:ilvl="5">
      <w:start w:val="1"/>
      <w:numFmt w:val="decimal"/>
      <w:lvlText w:val="%1.%2.%3.%4.%5.%6."/>
      <w:lvlJc w:val="left"/>
      <w:pPr>
        <w:tabs>
          <w:tab w:val="num" w:pos="0"/>
        </w:tabs>
        <w:ind w:left="8520" w:hanging="1080"/>
      </w:pPr>
      <w:rPr/>
    </w:lvl>
    <w:lvl w:ilvl="6">
      <w:start w:val="1"/>
      <w:numFmt w:val="decimal"/>
      <w:lvlText w:val="%1.%2.%3.%4.%5.%6.%7."/>
      <w:lvlJc w:val="left"/>
      <w:pPr>
        <w:tabs>
          <w:tab w:val="num" w:pos="0"/>
        </w:tabs>
        <w:ind w:left="10368" w:hanging="1440"/>
      </w:pPr>
      <w:rPr/>
    </w:lvl>
    <w:lvl w:ilvl="7">
      <w:start w:val="1"/>
      <w:numFmt w:val="decimal"/>
      <w:lvlText w:val="%1.%2.%3.%4.%5.%6.%7.%8."/>
      <w:lvlJc w:val="left"/>
      <w:pPr>
        <w:tabs>
          <w:tab w:val="num" w:pos="0"/>
        </w:tabs>
        <w:ind w:left="11856" w:hanging="1440"/>
      </w:pPr>
      <w:rPr/>
    </w:lvl>
    <w:lvl w:ilvl="8">
      <w:start w:val="1"/>
      <w:numFmt w:val="decimal"/>
      <w:lvlText w:val="%1.%2.%3.%4.%5.%6.%7.%8.%9."/>
      <w:lvlJc w:val="left"/>
      <w:pPr>
        <w:tabs>
          <w:tab w:val="num" w:pos="0"/>
        </w:tabs>
        <w:ind w:left="13704"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4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F0AD9-6049-4D5F-972E-B3E7CAB665E7}">
  <ds:schemaRefs>
    <ds:schemaRef ds:uri="http://schemas.openxmlformats.org/officeDocument/2006/bibliography"/>
  </ds:schemaRefs>
</ds:datastoreItem>
</file>

<file path=customXml/itemProps2.xml><?xml version="1.0" encoding="utf-8"?>
<ds:datastoreItem xmlns:ds="http://schemas.openxmlformats.org/officeDocument/2006/customXml" ds:itemID="{1AF88AFB-89DA-4F99-9D73-8068844BFEE3}">
  <ds:schemaRefs>
    <ds:schemaRef ds:uri="http://schemas.openxmlformats.org/officeDocument/2006/bibliography"/>
  </ds:schemaRefs>
</ds:datastoreItem>
</file>

<file path=customXml/itemProps3.xml><?xml version="1.0" encoding="utf-8"?>
<ds:datastoreItem xmlns:ds="http://schemas.openxmlformats.org/officeDocument/2006/customXml" ds:itemID="{C14A18C9-CF2E-4ADF-8AF2-88FC727296EE}">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7BE7DDC-4AA1-46F4-BC99-D3A7A2B980D8}">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6.xml><?xml version="1.0" encoding="utf-8"?>
<ds:datastoreItem xmlns:ds="http://schemas.openxmlformats.org/officeDocument/2006/customXml" ds:itemID="{CBEBF3B1-9A59-496C-9053-3C80D78D8594}">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4441</TotalTime>
  <Application>AlterOffice/3.4.0.9$Linux_X86_64 LibreOffice_project/b8daf9e823b1a5463a2f48435ddc2e8696e7d4fc</Application>
  <AppVersion>15.0000</AppVersion>
  <DocSecurity>4</DocSecurity>
  <Pages>28</Pages>
  <Words>9655</Words>
  <Characters>68501</Characters>
  <CharactersWithSpaces>77945</CharactersWithSpaces>
  <Paragraphs>449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2026-02-04T06:53:00Z</dcterms:created>
  <dc:creator>Быстрова Дарья Андреевна</dc:creator>
  <dc:description/>
  <dc:language>ru-RU</dc:language>
  <cp:lastModifiedBy>tolpyginanv@corp.gidroogk.com</cp:lastModifiedBy>
  <cp:lastPrinted>2016-12-15T13:00:00Z</cp:lastPrinted>
  <dcterms:modified xsi:type="dcterms:W3CDTF">2026-06-01T16:45:31Z</dcterms:modified>
  <cp:revision>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