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240" w:after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Технические требования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6"/>
          <w:szCs w:val="26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sz w:val="26"/>
          <w:szCs w:val="26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  <w:lang w:eastAsia="ru-RU"/>
        </w:rPr>
        <w:t xml:space="preserve">ОКПД2 56.29.19 Услуги по обеспечению горячим питанием </w:t>
      </w:r>
    </w:p>
    <w:tbl>
      <w:tblPr>
        <w:tblStyle w:val="ac"/>
        <w:tblW w:w="4536" w:type="dxa"/>
        <w:jc w:val="left"/>
        <w:tblInd w:w="25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3401"/>
      </w:tblGrid>
      <w:tr>
        <w:trPr/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0"/>
          <w:szCs w:val="24"/>
        </w:rPr>
      </w:pPr>
      <w:r>
        <w:rPr>
          <w:rFonts w:cs="Times New Roman" w:ascii="Times New Roman" w:hAnsi="Times New Roman"/>
          <w:b/>
          <w:sz w:val="10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Наименование закупаемой продукции. </w:t>
      </w:r>
    </w:p>
    <w:p>
      <w:pPr>
        <w:pStyle w:val="Normal"/>
        <w:spacing w:lineRule="auto" w:line="276" w:before="120" w:after="120"/>
        <w:ind w:hanging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Оказание услуг по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обеспечению горячим питанием.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Цели и задачи.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.1.</w:t>
        <w:tab/>
        <w:t>Цели: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851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Обеспечение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13 человек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ежедневным трехразовым горячим питанием.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.2.</w:t>
        <w:tab/>
        <w:t>Задачи: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851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организация ежедневного трехразового горячего питания, в соответствии с настоящими требованиями;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851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Сроки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76" w:before="120" w:after="120"/>
        <w:ind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Срок оказания услуг по договору: с момента заключения договора по 31.12.2026 г.</w:t>
      </w:r>
    </w:p>
    <w:p>
      <w:pPr>
        <w:pStyle w:val="Normal"/>
        <w:numPr>
          <w:ilvl w:val="0"/>
          <w:numId w:val="2"/>
        </w:numPr>
        <w:spacing w:lineRule="auto" w:line="276" w:before="120" w:after="120"/>
        <w:ind w:left="567" w:hanging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>Объем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</w:rPr>
        <w:t>Объём оказываемых услуг: Трехразовое горячее питание. Количество - 13 челове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>к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auto" w:val="clear"/>
        </w:rPr>
        <w:t xml:space="preserve">. </w:t>
      </w:r>
      <w:r>
        <w:rPr>
          <w:rFonts w:eastAsia="Calibri" w:cs="Times New Roman" w:ascii="Times New Roman" w:hAnsi="Times New Roman"/>
          <w:sz w:val="24"/>
          <w:szCs w:val="24"/>
        </w:rPr>
        <w:t xml:space="preserve">Объем услуги может быть увеличен или уменьшен Заказчиком с пропорциональным увеличением или уменьшением цены Договора, исходя из неизменности стоимости единицы услуги и фактической потребности Заказчика.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Услуги оказываются семь дней в неделю независимо от выходных и праздничных дней.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5.</w:t>
        <w:tab/>
        <w:t>Требования к качеству продукции.</w:t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RU" w:eastAsia="ru-RU" w:bidi="ar-SA"/>
        </w:rPr>
        <w:t>5.1.  Общие требования к оказанию услуг.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5.1.1. Исполнитель должен соблюдать требования следующих нормативных документов: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Сан-ПиН 42-123-5777 </w:t>
      </w:r>
      <w:hyperlink r:id="rId2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http://dokipedia.ru/document/5149140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СанПиН 42-123-4117 </w:t>
      </w:r>
      <w:hyperlink r:id="rId3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http://dokipedia.ru/document/5149137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сборники рецептур блюд и кулинарных изделий для предприятий общественного питания,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50762-2007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Классификация предприятий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50763-2007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Продукция общественного питания, реализуемая населению. Общие технические условия»,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50935-2007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Требования к персоналу»,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53523-2009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Общие требования к заготовочным предприятиям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Р 53995-2010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«Услуги общественного питания. Общие требования к методам и формам обслуживания на предприятиях общественного питания»,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СанПиН 42-123-5777 </w:t>
      </w:r>
      <w:hyperlink r:id="rId4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http://dokipedia.ru/document/5149140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(экологическая безопасность),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СНиП 2.08.02 </w:t>
      </w:r>
      <w:hyperlink r:id="rId5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http://ohranatruda.ru/ot_biblio/normativ/data_normativ/1/1910/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(экологическая безопасность),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ГОСТ 12.1.004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  <w:hyperlink r:id="rId6">
        <w:r>
          <w:rPr>
            <w:rStyle w:val="Hyperlink"/>
            <w:rFonts w:eastAsia="Calibri" w:cs="Times New Roman" w:ascii="Times New Roman" w:hAnsi="Times New Roman"/>
            <w:sz w:val="24"/>
            <w:szCs w:val="24"/>
            <w:lang w:eastAsia="ru-RU"/>
          </w:rPr>
          <w:t>http://files.stroyinf.ru/Data1/4/4653/</w:t>
        </w:r>
      </w:hyperlink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(противопожарная безопасность)</w:t>
      </w:r>
    </w:p>
    <w:p>
      <w:pPr>
        <w:pStyle w:val="Heading1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  <w:lang w:eastAsia="ru-RU"/>
        </w:rPr>
        <w:t>Методические рекомендации MP 2.3.1.0253-21 "Нормы физиологических потребностей в энергии и пищевых веществах для различных групп населения Российской Федерации" (утв. Федеральной службой по надзору в сфере защиты прав потребителей и благополучия человека 22 июля 2021 г.)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u w:val="single"/>
          <w:lang w:eastAsia="ru-RU"/>
        </w:rPr>
        <w:t>ПУЭ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</w:t>
      </w:r>
      <w:hyperlink r:id="rId7">
        <w:r>
          <w:rPr>
            <w:rStyle w:val="Hyperlink"/>
            <w:rFonts w:eastAsia="Calibri" w:cs="Times New Roman" w:ascii="Times New Roman" w:hAnsi="Times New Roman"/>
            <w:b w:val="false"/>
            <w:bCs w:val="false"/>
            <w:sz w:val="24"/>
            <w:szCs w:val="24"/>
            <w:lang w:eastAsia="ru-RU"/>
          </w:rPr>
          <w:t>http://base.garant.ru/3923095/</w:t>
        </w:r>
      </w:hyperlink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 (электробезопасность)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563" w:leader="none"/>
        </w:tabs>
        <w:suppressAutoHyphens w:val="true"/>
        <w:bidi w:val="0"/>
        <w:spacing w:lineRule="auto" w:line="240" w:before="0" w:after="0"/>
        <w:ind w:left="0" w:right="0" w:firstLine="397"/>
        <w:contextualSpacing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ru-RU"/>
        </w:rPr>
        <w:t>Экологическая безопасность услуги должна обеспечиваться соблюдением установленных требований охраны окружающей среды к территории, техническому состоянию и содержанию помещений, вентиляции, водоснабжению, канализации и другим факторам, согласно СанПиН № 42-123-5777-91, СНиП 2.08.02-89 и положений государственных стандартов системы безопасности труда (ССБТ).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jc w:val="both"/>
        <w:rPr>
          <w:b/>
          <w:bCs/>
        </w:rPr>
      </w:pPr>
      <w:r>
        <w:rPr/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spacing w:lineRule="auto" w:line="240" w:before="0" w:after="0"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5.2. Организация питания.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5.2.1. Исполнитель обеспечивает Заказчика ежедневным трехразовым полноценным питанием,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состоящим из: завтрака, обеда, ужина. Питание для сотрудников предоставляется в пищевых контейнерах/тара. Упаковка должна соответствовать действующим стандартам, техническим условиям оказания услуг, должна быть изготовлена из материалов, допущенных в установленном порядке для контакта с пищевыми продуктами, обеспечивать сохранность качества и безопасность пищевых продуктов при хранении, транспортировке и реализации, быть удобной для пользования. Tapa должна соответствовать стандартным форм-факторам для данного вида пищи. Упаковка должна обеспечивать защиту от факторов внешней среды. Выбор тары должен быть обусловлен условиями хранения питания, температурными и влажностными режимами. Каждая тара (контейнер) должна быть промаркирована с указанием времени и даты изготовления.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5.2.3. Исполнитель самостоятельно оформляет все разрешительные документы, необходимые</w:t>
      </w:r>
      <w:r>
        <w:rPr>
          <w:rFonts w:cs="Times New Roman" w:ascii="Times New Roman" w:hAnsi="Times New Roman"/>
          <w:spacing w:val="24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для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оказания услуг по организации</w:t>
      </w:r>
      <w:r>
        <w:rPr>
          <w:rFonts w:cs="Times New Roman" w:ascii="Times New Roman" w:hAnsi="Times New Roman"/>
          <w:spacing w:val="24"/>
          <w:sz w:val="24"/>
          <w:szCs w:val="24"/>
          <w:shd w:fill="auto" w:val="clear"/>
        </w:rPr>
        <w:t xml:space="preserve"> п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итания.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5.2.4. Исполнитель обязан осуществлять производственный контроль качества, безопасности и пищевой ценности продуктов питания (в том числе лабораторный анализ продуктов),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соблюдать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сроки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условия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хранения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продукции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на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складе,</w:t>
      </w:r>
      <w:r>
        <w:rPr>
          <w:rFonts w:cs="Times New Roman" w:ascii="Times New Roman" w:hAnsi="Times New Roman"/>
          <w:spacing w:val="-12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сроки</w:t>
      </w:r>
      <w:r>
        <w:rPr>
          <w:rFonts w:cs="Times New Roman" w:ascii="Times New Roman" w:hAnsi="Times New Roman"/>
          <w:spacing w:val="-8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условия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поставки в соответствии с требованиями</w:t>
      </w:r>
      <w:r>
        <w:rPr>
          <w:rFonts w:cs="Times New Roman" w:ascii="Times New Roman" w:hAnsi="Times New Roman"/>
          <w:spacing w:val="39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СанПиН.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5.2.5.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Исполнитель самостоятельно взаимодействует с контролирующими организациями, центром гигиены и эпидемиологии, налоговой инспекцией и др. За размещение отходов в не предназначенных местах и другие нарушения требований контролирующих органов, происходящее по вине Исполнителя, он обязан возмещать Заказчику суммы по штрафным санкциям, выставленным в адрес Заказчика инспектирующими органами и организациями.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5.2.6. Должен принимать претензии по качеству и своевременно производить обмен недоброкачественного товара, продукции.</w:t>
      </w:r>
    </w:p>
    <w:p>
      <w:pPr>
        <w:pStyle w:val="Normal"/>
        <w:spacing w:lineRule="auto" w:line="24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5.3. </w:t>
      </w:r>
      <w:r>
        <w:rPr>
          <w:rFonts w:eastAsia="Calibri" w:cs="Times New Roman" w:ascii="Times New Roman" w:hAnsi="Times New Roman" w:eastAsiaTheme="minorHAnsi"/>
          <w:b/>
          <w:spacing w:val="-2"/>
          <w:sz w:val="24"/>
          <w:szCs w:val="24"/>
          <w:shd w:fill="auto" w:val="clear"/>
          <w:lang w:eastAsia="ru-RU"/>
        </w:rPr>
        <w:t>Требования к качеству продуктов питания.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5.3.1. </w:t>
        <w:tab/>
        <w:t>Продукты питания должны приобретаться у Поставщиков, имеющих санитарно-эпидемиологическое заключение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 соответствии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санитарным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правилам.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5.3.2.  Продукты питания, используемые Исполнителем для оказания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услуг,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должны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быть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разрешены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к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использованию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на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территории</w:t>
      </w:r>
      <w:r>
        <w:rPr>
          <w:rFonts w:cs="Times New Roman" w:ascii="Times New Roman" w:hAnsi="Times New Roman"/>
          <w:spacing w:val="-15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Российской</w:t>
      </w:r>
      <w:r>
        <w:rPr>
          <w:rFonts w:cs="Times New Roman" w:ascii="Times New Roman" w:hAnsi="Times New Roman"/>
          <w:spacing w:val="-4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Федерации. Продукты питания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 xml:space="preserve">должны быть сертифицированы. </w:t>
      </w: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к приему не допускаются.</w:t>
      </w:r>
    </w:p>
    <w:p>
      <w:pPr>
        <w:pStyle w:val="Normal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5.3.3. П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 xml:space="preserve">родукты питания, используемые для производства готовой  продукции, а также условия ее производства, хранения, реализации и организации потребления должны отвечать требованиям соответствующей нормативно-технической документации (Сборникам рецептур блюд и кулинарных изделий, стандартам СанПиН № 42-123-5777-91 и № 42-123-4117-86), а также санитарно-гигиеническим, микробиологическим и медико-биологическим показателям, утвержденным Минздравом России. </w:t>
      </w:r>
    </w:p>
    <w:p>
      <w:pPr>
        <w:pStyle w:val="Normal"/>
        <w:jc w:val="both"/>
        <w:rPr>
          <w:b/>
          <w:bCs/>
        </w:rPr>
      </w:pPr>
      <w:r>
        <w:rPr>
          <w:rFonts w:eastAsia="Calibri" w:cs="Times New Roman" w:ascii="Times New Roman" w:hAnsi="Times New Roman" w:eastAsiaTheme="minorHAnsi"/>
          <w:b/>
          <w:bCs/>
          <w:spacing w:val="-2"/>
          <w:sz w:val="24"/>
          <w:szCs w:val="24"/>
          <w:shd w:fill="auto" w:val="clear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4"/>
          <w:szCs w:val="24"/>
          <w:shd w:fill="auto" w:val="clear"/>
        </w:rPr>
        <w:t>5.4. Требования к производству готовых блюд.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>5.4.1. Производство готовых блюд должно осуществляться в соответствии с технологическими картами, в которых отражается рецептура и технология приготавливаемых блюд обеспечивающие безопасность приготавливаемых блюд и их пищевую ценность.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pacing w:val="-2"/>
          <w:sz w:val="24"/>
          <w:szCs w:val="24"/>
          <w:shd w:fill="auto" w:val="clear"/>
        </w:rPr>
        <w:t xml:space="preserve">5.4.2. </w:t>
      </w: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Состав меню.</w:t>
      </w:r>
    </w:p>
    <w:tbl>
      <w:tblPr>
        <w:tblStyle w:val="ac"/>
        <w:tblW w:w="85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2552"/>
        <w:gridCol w:w="5246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№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Прием пищи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Наименование/состав</w:t>
            </w:r>
          </w:p>
        </w:tc>
      </w:tr>
      <w:tr>
        <w:trPr>
          <w:trHeight w:val="1139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Завтрак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Каша с маслом                                                      * Запеканка/сырники/блины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Выпечное изделие, Хлеб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Чай/кофе растворимый с сахаром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Обед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Салат из овощей                                                      * Суп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Второе блюдо из мяса/птицы/рыбы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Гарнир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Напиток из ягод/фруктов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Хлеб</w:t>
            </w:r>
          </w:p>
        </w:tc>
      </w:tr>
      <w:tr>
        <w:trPr>
          <w:trHeight w:val="1335" w:hRule="atLeast"/>
        </w:trPr>
        <w:tc>
          <w:tcPr>
            <w:tcW w:w="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Ужин</w:t>
            </w:r>
          </w:p>
        </w:tc>
        <w:tc>
          <w:tcPr>
            <w:tcW w:w="5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Салат из овощей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* Второе блюдо из мяса/птицы/рыбы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Гарнир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Напиток из ягод/фруктов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* Хлеб</w:t>
            </w:r>
          </w:p>
        </w:tc>
      </w:tr>
    </w:tbl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Times New Roman" w:ascii="Times New Roman" w:hAnsi="Times New Roman" w:eastAsiaTheme="minorHAnsi"/>
          <w:spacing w:val="-2"/>
          <w:sz w:val="24"/>
          <w:szCs w:val="24"/>
          <w:shd w:fill="auto" w:val="clear"/>
          <w:lang w:eastAsia="ru-RU"/>
        </w:rPr>
        <w:t>5.4.3. В меню не допускается повторение одноименных блюд, гарниров или кулинарных изделий в течение одного дня. Фактический рацион питания и составление ежедневного меню обеспечивается в соответствии с утвержденным меню. Допускается замена одних продуктов, блюд и кулинарных изделий на другие с учетом их пищевой ценности.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5.4.4. Исполнитель не должен допускать реализацию оставшихся блюд из меню предыдущего дня/дней. </w:t>
      </w:r>
    </w:p>
    <w:p>
      <w:pPr>
        <w:pStyle w:val="Normal"/>
        <w:widowControl w:val="false"/>
        <w:tabs>
          <w:tab w:val="clear" w:pos="708"/>
          <w:tab w:val="left" w:pos="2092" w:leader="none"/>
        </w:tabs>
        <w:suppressAutoHyphens w:val="true"/>
        <w:bidi w:val="0"/>
        <w:spacing w:lineRule="auto" w:line="240" w:before="12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5.4.5. Приготовление блюд осуществляется в соответствии с утвержденным суточным рационом. </w:t>
      </w:r>
      <w:r>
        <w:rPr>
          <w:rFonts w:cs="Times New Roman" w:ascii="Times New Roman" w:hAnsi="Times New Roman"/>
          <w:b/>
          <w:bCs/>
          <w:sz w:val="24"/>
          <w:szCs w:val="24"/>
        </w:rPr>
        <w:t>Калорийность рациона в сутки не менее 2 650 ккал на человека.</w:t>
      </w:r>
    </w:p>
    <w:p>
      <w:pPr>
        <w:pStyle w:val="Normal"/>
        <w:widowControl w:val="false"/>
        <w:tabs>
          <w:tab w:val="clear" w:pos="708"/>
          <w:tab w:val="left" w:pos="2092" w:leader="none"/>
        </w:tabs>
        <w:suppressAutoHyphens w:val="true"/>
        <w:bidi w:val="0"/>
        <w:spacing w:lineRule="auto" w:line="240" w:before="12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5.4.6. Исполнитель должен гарантировать доброкачественность поставляемых блюд.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5.5.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к персоналу Исполнителя: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trike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5.5.1. Наличие в штате 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auto" w:val="clear"/>
        </w:rPr>
        <w:t xml:space="preserve"> исполнителя </w:t>
      </w:r>
      <w:r>
        <w:rPr>
          <w:rFonts w:eastAsia="Calibri" w:cs="Times New Roman" w:ascii="Times New Roman" w:hAnsi="Times New Roman"/>
          <w:sz w:val="24"/>
          <w:szCs w:val="24"/>
          <w:shd w:fill="auto" w:val="clear"/>
        </w:rPr>
        <w:t>(</w:t>
      </w:r>
      <w:r>
        <w:rPr>
          <w:rFonts w:eastAsia="Calibri" w:cs="Times New Roman" w:ascii="Times New Roman" w:hAnsi="Times New Roman"/>
          <w:sz w:val="24"/>
          <w:szCs w:val="24"/>
        </w:rPr>
        <w:t>или по трудовым/гражданско-правовым договорам) следующих кадровых ресурсов: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- повара с квалификацией не ниже 4-го уровня согласно «Профессиональному стандарту повара» утв. приказом Минтруда РФ от 08.09.2015 № 610н;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5.5.2. Персонал Исполнителя должен иметь действующие санитарные книжки и обеспечивать соблюдение санитарных требований и правил личной гигиены при производстве, хранении, реализации и организации потребления продукции, согласно СанПиН 2.3.6.1079-01.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hanging="0"/>
        <w:contextualSpacing/>
        <w:jc w:val="both"/>
        <w:rPr>
          <w:b/>
          <w:bCs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6. Требования по ценообразованию.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before="0" w:after="120"/>
        <w:ind w:left="0" w:hanging="0"/>
        <w:jc w:val="both"/>
        <w:rPr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  <w:lang w:eastAsia="x-none"/>
        </w:rPr>
        <w:t xml:space="preserve">В обоснование стоимости Участник предоставляет  Коммерческое предложение из расчета стоимости питания в сутки на одного человека. </w:t>
      </w:r>
      <w:bookmarkStart w:id="0" w:name="_GoBack"/>
      <w:bookmarkEnd w:id="0"/>
    </w:p>
    <w:sectPr>
      <w:type w:val="nextPage"/>
      <w:pgSz w:w="11906" w:h="16838"/>
      <w:pgMar w:left="1418" w:right="566" w:gutter="0" w:header="0" w:top="851" w:footer="0" w:bottom="12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/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349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533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a533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25abc"/>
    <w:rPr>
      <w:color w:val="0563C1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326261"/>
    <w:rPr>
      <w:rFonts w:ascii="Segoe UI" w:hAnsi="Segoe UI" w:cs="Segoe UI"/>
      <w:sz w:val="18"/>
      <w:szCs w:val="18"/>
    </w:rPr>
  </w:style>
  <w:style w:type="character" w:styleId="1" w:customStyle="1">
    <w:name w:val="Заголовок 1 Знак"/>
    <w:basedOn w:val="DefaultParagraphFont"/>
    <w:uiPriority w:val="9"/>
    <w:qFormat/>
    <w:rsid w:val="006a533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6a533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8">
    <w:name w:val="Ссылка указателя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rsid w:val="00f75b0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3262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6a5339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6a5339"/>
    <w:pPr>
      <w:tabs>
        <w:tab w:val="clear" w:pos="708"/>
        <w:tab w:val="left" w:pos="426" w:leader="none"/>
        <w:tab w:val="right" w:pos="9639" w:leader="dot"/>
      </w:tabs>
      <w:suppressAutoHyphens w:val="false"/>
      <w:spacing w:lineRule="auto" w:line="276" w:before="0" w:after="100"/>
      <w:ind w:left="220" w:hanging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qFormat/>
    <w:rsid w:val="006a5339"/>
    <w:pPr>
      <w:suppressAutoHyphens w:val="false"/>
      <w:spacing w:lineRule="auto" w:line="240" w:before="480" w:after="0"/>
      <w:outlineLvl w:val="9"/>
    </w:pPr>
    <w:rPr>
      <w:rFonts w:ascii="Times New Roman" w:hAnsi="Times New Roman" w:eastAsia="Times New Roman" w:cs="Times New Roman"/>
      <w:b/>
      <w:bCs/>
      <w:color w:val="auto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fb27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kipedia.ru/document/5149140" TargetMode="External"/><Relationship Id="rId3" Type="http://schemas.openxmlformats.org/officeDocument/2006/relationships/hyperlink" Target="http://dokipedia.ru/document/5149137" TargetMode="External"/><Relationship Id="rId4" Type="http://schemas.openxmlformats.org/officeDocument/2006/relationships/hyperlink" Target="http://dokipedia.ru/document/5149140" TargetMode="External"/><Relationship Id="rId5" Type="http://schemas.openxmlformats.org/officeDocument/2006/relationships/hyperlink" Target="http://ohranatruda.ru/ot_biblio/normativ/data_normativ/1/1910/" TargetMode="External"/><Relationship Id="rId6" Type="http://schemas.openxmlformats.org/officeDocument/2006/relationships/hyperlink" Target="http://files.stroyinf.ru/Data1/4/4653/" TargetMode="External"/><Relationship Id="rId7" Type="http://schemas.openxmlformats.org/officeDocument/2006/relationships/hyperlink" Target="http://base.garant.ru/3923095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A0BC-EFE4-4851-A4A8-FC1BBE7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AlterOffice/3.4.0.9$Linux_X86_64 LibreOffice_project/b8daf9e823b1a5463a2f48435ddc2e8696e7d4fc</Application>
  <AppVersion>15.0000</AppVersion>
  <Pages>4</Pages>
  <Words>907</Words>
  <Characters>6727</Characters>
  <CharactersWithSpaces>7716</CharactersWithSpaces>
  <Paragraphs>77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2024-06-19T04:20:00Z</dcterms:created>
  <dc:creator>Аликина Юлия Анатольевна</dc:creator>
  <dc:description/>
  <dc:language>ru-RU</dc:language>
  <cp:lastModifiedBy>mityaninana@corp.gidroogk.com</cp:lastModifiedBy>
  <cp:lastPrinted>2026-05-28T12:07:01Z</cp:lastPrinted>
  <dcterms:modified xsi:type="dcterms:W3CDTF">2026-06-02T15:10:08Z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