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2026г.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Акционерное общество «Транспортная компания РусГидро» (АО «ТК РусГидро»), (далее - «Покупатель»), в лице Заместителя Директора Центрального филиала АО «ТК РусГидро»________________ , действующего на основании_____________________ , с одной стороны, и ____________(далее – «Поставщик»), в лице ___________, действующего на основании  ________, с другой стороны, совместно в дальнейшем именуемые «Стороны», а по отдельности – «Сторона», по результатам проведенной неконкурентной процедуры по лоту № _______,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3"/>
        </w:numPr>
        <w:shd w:val="clear" w:color="auto" w:fill="FFFFFF"/>
        <w:tabs>
          <w:tab w:val="clear" w:pos="708"/>
          <w:tab w:val="left" w:pos="1134" w:leader="none"/>
        </w:tabs>
        <w:ind w:left="0" w:firstLine="709"/>
        <w:jc w:val="both"/>
        <w:rPr>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Cs/>
          <w:i w:val="false"/>
          <w:iCs w:val="false"/>
          <w:sz w:val="24"/>
          <w:szCs w:val="24"/>
        </w:rPr>
        <w:t>редуктор среднего моста (в сборе) для самосвалов JAC N 350</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4"/>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5"/>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126"/>
        </w:numPr>
        <w:tabs>
          <w:tab w:val="clear" w:pos="708"/>
          <w:tab w:val="left" w:pos="0" w:leader="none"/>
          <w:tab w:val="left" w:pos="540" w:leader="none"/>
          <w:tab w:val="left" w:pos="1134" w:leader="none"/>
        </w:tabs>
        <w:ind w:left="0" w:firstLine="709"/>
        <w:jc w:val="both"/>
        <w:rPr>
          <w:highlight w:val="none"/>
          <w:shd w:fill="auto" w:val="clear"/>
        </w:rPr>
      </w:pPr>
      <w:r>
        <w:rPr>
          <w:b w:val="false"/>
          <w:i w:val="false"/>
          <w:strike w:val="false"/>
          <w:dstrike w:val="false"/>
          <w:outline w:val="false"/>
          <w:shadow w:val="false"/>
          <w:color w:val="000000"/>
          <w:spacing w:val="0"/>
          <w:kern w:val="0"/>
          <w:sz w:val="24"/>
          <w:szCs w:val="24"/>
          <w:u w:val="none"/>
          <w:shd w:fill="auto" w:val="clear"/>
          <w:em w:val="none"/>
        </w:rPr>
        <w:t>Общий срок поставки Товара:</w:t>
      </w:r>
    </w:p>
    <w:p>
      <w:pPr>
        <w:pStyle w:val="Normal"/>
        <w:widowControl/>
        <w:shd w:val="clear" w:color="auto" w:fill="FFFFFF"/>
        <w:tabs>
          <w:tab w:val="clear" w:pos="708"/>
          <w:tab w:val="left" w:pos="0" w:leader="none"/>
          <w:tab w:val="left" w:pos="540" w:leader="none"/>
          <w:tab w:val="left" w:pos="1134" w:leader="none"/>
        </w:tabs>
        <w:jc w:val="both"/>
        <w:rPr>
          <w:sz w:val="24"/>
          <w:szCs w:val="24"/>
        </w:rPr>
      </w:pPr>
      <w:r>
        <w:rPr>
          <w:bCs/>
          <w:sz w:val="24"/>
          <w:szCs w:val="24"/>
        </w:rPr>
        <w:t>1.4.1. Начало: с даты оплаты аванса.</w:t>
      </w:r>
    </w:p>
    <w:p>
      <w:pPr>
        <w:pStyle w:val="Normal"/>
        <w:widowControl/>
        <w:shd w:val="clear" w:color="auto" w:fill="FFFFFF"/>
        <w:tabs>
          <w:tab w:val="clear" w:pos="708"/>
          <w:tab w:val="left" w:pos="0" w:leader="none"/>
          <w:tab w:val="left" w:pos="540" w:leader="none"/>
          <w:tab w:val="left" w:pos="1134" w:leader="none"/>
        </w:tabs>
        <w:jc w:val="both"/>
        <w:rPr>
          <w:sz w:val="24"/>
          <w:szCs w:val="24"/>
        </w:rPr>
      </w:pPr>
      <w:r>
        <w:rPr>
          <w:bCs/>
          <w:sz w:val="24"/>
          <w:szCs w:val="24"/>
        </w:rPr>
        <w:t>1.4.2 Окончание: по истечению 12(двенадцати ) месяцев.</w:t>
      </w:r>
    </w:p>
    <w:p>
      <w:pPr>
        <w:pStyle w:val="Normal"/>
        <w:widowControl/>
        <w:numPr>
          <w:ilvl w:val="0"/>
          <w:numId w:val="0"/>
        </w:numPr>
        <w:shd w:val="clear" w:color="auto" w:fill="FFFFFF"/>
        <w:tabs>
          <w:tab w:val="clear" w:pos="708"/>
          <w:tab w:val="left" w:pos="0" w:leader="none"/>
          <w:tab w:val="left" w:pos="540" w:leader="none"/>
          <w:tab w:val="left" w:pos="1134" w:leader="none"/>
        </w:tabs>
        <w:ind w:left="0" w:hanging="0"/>
        <w:jc w:val="both"/>
        <w:rPr>
          <w:bCs/>
          <w:sz w:val="24"/>
          <w:szCs w:val="24"/>
        </w:rPr>
      </w:pPr>
      <w:r>
        <w:rPr>
          <w:bCs/>
          <w:sz w:val="24"/>
          <w:szCs w:val="24"/>
        </w:rPr>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7"/>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28"/>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sz w:val="24"/>
          <w:szCs w:val="24"/>
        </w:rPr>
        <w:t xml:space="preserve"> ________</w:t>
      </w:r>
      <w:r>
        <w:rPr>
          <w:bCs/>
          <w:sz w:val="24"/>
          <w:szCs w:val="24"/>
        </w:rPr>
        <w:t xml:space="preserve"> рубля ____копеек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29"/>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30"/>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31"/>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4"/>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5"/>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6"/>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7"/>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38"/>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w:t>
      </w:r>
      <w:bookmarkEnd w:id="2"/>
    </w:p>
    <w:p>
      <w:pPr>
        <w:pStyle w:val="Normal"/>
        <w:widowControl/>
        <w:numPr>
          <w:ilvl w:val="2"/>
          <w:numId w:val="139"/>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40"/>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41"/>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3"/>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r>
        <w:rPr>
          <w:sz w:val="24"/>
          <w:szCs w:val="24"/>
          <w:shd w:fill="auto" w:val="clear"/>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numPr>
          <w:ilvl w:val="1"/>
          <w:numId w:val="14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5"/>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6"/>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7"/>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48"/>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w:t>
      </w:r>
      <w:r>
        <w:rPr>
          <w:color w:val="000000"/>
          <w:sz w:val="24"/>
          <w:szCs w:val="24"/>
        </w:rPr>
        <w:t xml:space="preserve">  ________________  с </w:t>
      </w:r>
      <w:r>
        <w:rPr>
          <w:sz w:val="24"/>
          <w:szCs w:val="24"/>
        </w:rPr>
        <w:t>последующим направлением оригинала Заявки по адресу, указанному в разделе 14 Договора.</w:t>
      </w:r>
    </w:p>
    <w:p>
      <w:pPr>
        <w:pStyle w:val="Normal"/>
        <w:widowControl/>
        <w:numPr>
          <w:ilvl w:val="2"/>
          <w:numId w:val="149"/>
        </w:numPr>
        <w:tabs>
          <w:tab w:val="clear" w:pos="708"/>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kononenkoev@rushydro.ru с последующим направлением письменного ответа по адресу, указанному в разделе 14 Договора.</w:t>
      </w:r>
    </w:p>
    <w:p>
      <w:pPr>
        <w:pStyle w:val="Normal"/>
        <w:widowControl/>
        <w:numPr>
          <w:ilvl w:val="2"/>
          <w:numId w:val="150"/>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51"/>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2"/>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Normal"/>
        <w:numPr>
          <w:ilvl w:val="0"/>
          <w:numId w:val="0"/>
        </w:numPr>
        <w:tabs>
          <w:tab w:val="clear" w:pos="708"/>
          <w:tab w:val="left" w:pos="993" w:leader="none"/>
        </w:tabs>
        <w:ind w:left="0" w:hanging="0"/>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numPr>
          <w:ilvl w:val="0"/>
          <w:numId w:val="0"/>
        </w:numPr>
        <w:tabs>
          <w:tab w:val="clear" w:pos="708"/>
          <w:tab w:val="left" w:pos="1134" w:leader="none"/>
        </w:tabs>
        <w:ind w:left="0" w:hanging="0"/>
        <w:jc w:val="both"/>
        <w:rPr>
          <w:sz w:val="24"/>
          <w:szCs w:val="24"/>
        </w:rPr>
      </w:pPr>
      <w:r>
        <w:rPr>
          <w:sz w:val="24"/>
          <w:szCs w:val="24"/>
        </w:rPr>
        <w:t>3.1.5.2. Расторгнуть Договор в порядке, установленном пунктом 11.2 Договора.</w:t>
      </w:r>
    </w:p>
    <w:p>
      <w:pPr>
        <w:pStyle w:val="ListParagraph"/>
        <w:numPr>
          <w:ilvl w:val="2"/>
          <w:numId w:val="153"/>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r>
    </w:p>
    <w:p>
      <w:pPr>
        <w:pStyle w:val="ListParagraph"/>
        <w:widowControl/>
        <w:numPr>
          <w:ilvl w:val="0"/>
          <w:numId w:val="0"/>
        </w:numPr>
        <w:tabs>
          <w:tab w:val="clear" w:pos="708"/>
          <w:tab w:val="left" w:pos="993" w:leader="none"/>
          <w:tab w:val="left" w:pos="1418" w:leader="none"/>
        </w:tabs>
        <w:ind w:left="0" w:hanging="0"/>
        <w:jc w:val="both"/>
        <w:rPr>
          <w:sz w:val="24"/>
          <w:szCs w:val="24"/>
        </w:rPr>
      </w:pPr>
      <w:r>
        <w:rPr>
          <w:sz w:val="24"/>
          <w:szCs w:val="24"/>
        </w:rPr>
        <w:t>3.1.7. Стороны вправе запросить друг у друга необходимые дополнительные сведения для поставки Товара по Заявке.</w:t>
      </w:r>
    </w:p>
    <w:p>
      <w:pPr>
        <w:pStyle w:val="Normal"/>
        <w:widowControl/>
        <w:numPr>
          <w:ilvl w:val="1"/>
          <w:numId w:val="154"/>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6"/>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57"/>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58"/>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59"/>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60"/>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61"/>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2"/>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3"/>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4"/>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5"/>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6"/>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67"/>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68"/>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6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70"/>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0"/>
        </w:numPr>
        <w:shd w:val="clear" w:color="auto" w:fill="FFFFFF"/>
        <w:tabs>
          <w:tab w:val="clear" w:pos="708"/>
          <w:tab w:val="left" w:pos="1134" w:leader="none"/>
        </w:tabs>
        <w:ind w:left="0" w:firstLine="709"/>
        <w:jc w:val="both"/>
        <w:rPr>
          <w:highlight w:val="none"/>
          <w:shd w:fill="auto" w:val="clear"/>
        </w:rPr>
      </w:pPr>
      <w:r>
        <w:rPr>
          <w:bCs/>
          <w:sz w:val="24"/>
          <w:szCs w:val="24"/>
          <w:shd w:fill="auto" w:val="clear"/>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BodyText"/>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shd w:fill="auto" w:val="clear"/>
        </w:rPr>
        <w:t>В случае</w:t>
      </w:r>
      <w:r>
        <w:rPr>
          <w:sz w:val="24"/>
          <w:szCs w:val="24"/>
        </w:rPr>
        <w:t xml:space="preserve">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0"/>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0"/>
        </w:numPr>
        <w:tabs>
          <w:tab w:val="clear" w:pos="708"/>
          <w:tab w:val="left" w:pos="1134" w:leader="none"/>
        </w:tabs>
        <w:spacing w:before="0" w:after="0"/>
        <w:ind w:left="0" w:firstLine="709"/>
        <w:contextualSpacing/>
        <w:jc w:val="both"/>
        <w:rPr>
          <w:highlight w:val="none"/>
          <w:shd w:fill="auto" w:val="clear"/>
        </w:rPr>
      </w:pPr>
      <w:r>
        <w:rPr>
          <w:sz w:val="24"/>
          <w:szCs w:val="24"/>
          <w:shd w:fill="auto" w:val="clear"/>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rFonts w:eastAsia="Calibri"/>
          <w:bCs/>
          <w:sz w:val="24"/>
          <w:szCs w:val="24"/>
          <w:shd w:fill="auto" w:val="clear"/>
        </w:rPr>
        <w:t xml:space="preserve">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highlight w:val="none"/>
          <w:shd w:fill="auto" w:val="clear"/>
        </w:rPr>
      </w:pPr>
      <w:r>
        <w:rPr>
          <w:rFonts w:eastAsia="Calibri"/>
          <w:bCs/>
          <w:sz w:val="24"/>
          <w:szCs w:val="24"/>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bCs/>
          <w:sz w:val="24"/>
          <w:szCs w:val="24"/>
          <w:shd w:fill="auto" w:val="clear"/>
        </w:rPr>
        <w:t>.</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shd w:fill="auto" w:val="clear"/>
        </w:rPr>
        <w:t>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w:t>
      </w:r>
      <w:r>
        <w:rPr>
          <w:bCs/>
          <w:sz w:val="24"/>
          <w:szCs w:val="24"/>
        </w:rPr>
        <w:t xml:space="preserve">имо возмещения убытков, вправе требовать уплаты Поставщиком штрафа в размерах, установленных Приложением № 3 к Договору.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numPr>
          <w:ilvl w:val="0"/>
          <w:numId w:val="0"/>
        </w:numPr>
        <w:shd w:val="clear" w:color="auto" w:fill="FFFFFF"/>
        <w:tabs>
          <w:tab w:val="clear" w:pos="708"/>
          <w:tab w:val="left" w:pos="1276" w:leader="none"/>
        </w:tabs>
        <w:ind w:left="0" w:hanging="0"/>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0"/>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0"/>
        </w:numPr>
        <w:tabs>
          <w:tab w:val="clear" w:pos="708"/>
          <w:tab w:val="left" w:pos="1276" w:leader="none"/>
        </w:tabs>
        <w:spacing w:before="0" w:after="0"/>
        <w:ind w:left="0" w:firstLine="709"/>
        <w:contextualSpacing/>
        <w:jc w:val="both"/>
        <w:rPr>
          <w:highlight w:val="none"/>
          <w:shd w:fill="auto" w:val="clear"/>
        </w:rPr>
      </w:pPr>
      <w:r>
        <w:rPr>
          <w:bCs/>
          <w:sz w:val="24"/>
          <w:szCs w:val="24"/>
          <w:shd w:fill="auto" w:val="clear"/>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71"/>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2"/>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4"/>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6"/>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77"/>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7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79"/>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80"/>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4"/>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5"/>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6"/>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87"/>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88"/>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89"/>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90"/>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91"/>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2"/>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3"/>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4"/>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5"/>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6"/>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197"/>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198"/>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200"/>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201"/>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2"/>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3"/>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4"/>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5"/>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6"/>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07"/>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0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09"/>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10"/>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bCs/>
            <w:color w:val="auto"/>
            <w:sz w:val="24"/>
            <w:szCs w:val="24"/>
            <w:u w:val="none"/>
          </w:rPr>
          <w:t>№ 18162/09</w:t>
        </w:r>
      </w:hyperlink>
      <w:r>
        <w:rPr>
          <w:bCs/>
          <w:sz w:val="24"/>
          <w:szCs w:val="24"/>
        </w:rPr>
        <w:t xml:space="preserve"> </w:t>
        <w:br/>
        <w:t xml:space="preserve">и от 25.05.2010 </w:t>
      </w:r>
      <w:hyperlink r:id="rId4">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5">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2"/>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5"/>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17"/>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18"/>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19"/>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20"/>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21"/>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3"/>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4"/>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5"/>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6"/>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27"/>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8"/>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29"/>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3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Договор вступает в силу с даты его подписания Сторонами и действует в течение 12 (двенадцати) месяцев.</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31"/>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lang w:eastAsia="en-US"/>
        </w:rPr>
      </w:pPr>
      <w:r>
        <w:rPr>
          <w:sz w:val="24"/>
          <w:szCs w:val="24"/>
          <w:lang w:eastAsia="en-US"/>
        </w:rPr>
        <w:t>Приложение № 4 – Техническое задание на поставку МТР</w:t>
      </w:r>
    </w:p>
    <w:p>
      <w:pPr>
        <w:pStyle w:val="Normal"/>
        <w:ind w:firstLine="709"/>
        <w:jc w:val="both"/>
        <w:rPr>
          <w:bCs/>
          <w:sz w:val="24"/>
          <w:szCs w:val="24"/>
        </w:rPr>
      </w:pPr>
      <w:r>
        <w:rPr>
          <w:bCs/>
          <w:sz w:val="24"/>
          <w:szCs w:val="24"/>
        </w:rPr>
      </w:r>
    </w:p>
    <w:p>
      <w:pPr>
        <w:pStyle w:val="Normal"/>
        <w:widowControl/>
        <w:numPr>
          <w:ilvl w:val="0"/>
          <w:numId w:val="232"/>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стр.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b/>
                <w:sz w:val="24"/>
                <w:szCs w:val="24"/>
              </w:rPr>
            </w:r>
          </w:p>
        </w:tc>
      </w:tr>
    </w:tbl>
    <w:p>
      <w:pPr>
        <w:sectPr>
          <w:headerReference w:type="default" r:id="rId6"/>
          <w:headerReference w:type="first" r:id="rId7"/>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К.А. Михайлов</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236" w:type="dxa"/>
            <w:tcBorders/>
          </w:tcPr>
          <w:p>
            <w:pPr>
              <w:pStyle w:val="Normal"/>
              <w:widowControl w:val="false"/>
              <w:rPr/>
            </w:pPr>
            <w:r>
              <w:rPr/>
            </w:r>
          </w:p>
        </w:tc>
      </w:tr>
    </w:tbl>
    <w:p>
      <w:pPr>
        <w:sectPr>
          <w:headerReference w:type="default" r:id="rId8"/>
          <w:headerReference w:type="first" r:id="rId9"/>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rPr/>
      </w:pPr>
      <w:r>
        <w:rPr/>
      </w:r>
    </w:p>
    <w:p>
      <w:pPr>
        <w:pStyle w:val="Normal"/>
        <w:jc w:val="right"/>
        <w:rPr>
          <w:sz w:val="28"/>
          <w:szCs w:val="28"/>
        </w:rPr>
      </w:pPr>
      <w:r>
        <w:rPr>
          <w:sz w:val="22"/>
          <w:szCs w:val="22"/>
        </w:rPr>
        <w:t>Приложение № 1</w:t>
      </w:r>
    </w:p>
    <w:p>
      <w:pPr>
        <w:pStyle w:val="Normal"/>
        <w:jc w:val="right"/>
        <w:rPr>
          <w:sz w:val="22"/>
          <w:szCs w:val="22"/>
        </w:rPr>
      </w:pPr>
      <w:r>
        <w:rPr>
          <w:sz w:val="22"/>
          <w:szCs w:val="22"/>
        </w:rPr>
        <w:t xml:space="preserve">к Договору поставки №        </w:t>
      </w:r>
      <w:r>
        <w:rPr>
          <w:sz w:val="24"/>
          <w:szCs w:val="24"/>
        </w:rPr>
        <w:t>/2026/ЦФ/Рм</w:t>
      </w:r>
    </w:p>
    <w:p>
      <w:pPr>
        <w:pStyle w:val="Normal"/>
        <w:ind w:firstLine="4820"/>
        <w:jc w:val="right"/>
        <w:rPr>
          <w:sz w:val="22"/>
          <w:szCs w:val="22"/>
        </w:rPr>
      </w:pPr>
      <w:r>
        <w:rPr>
          <w:sz w:val="22"/>
          <w:szCs w:val="22"/>
        </w:rPr>
        <w:t>от «____» _____20 _ г. № _____</w:t>
      </w:r>
    </w:p>
    <w:p>
      <w:pPr>
        <w:pStyle w:val="Norma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sz w:val="24"/>
          <w:szCs w:val="24"/>
        </w:rPr>
        <w:t xml:space="preserve">СПЕЦИФИКАЦИЯ </w:t>
      </w:r>
    </w:p>
    <w:p>
      <w:pPr>
        <w:pStyle w:val="Normal"/>
        <w:jc w:val="center"/>
        <w:rPr>
          <w:b/>
        </w:rPr>
      </w:pPr>
      <w:r>
        <w:rPr>
          <w:b/>
        </w:rPr>
      </w:r>
    </w:p>
    <w:tbl>
      <w:tblPr>
        <w:tblW w:w="15081"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693"/>
        <w:gridCol w:w="415"/>
        <w:gridCol w:w="1792"/>
        <w:gridCol w:w="1117"/>
        <w:gridCol w:w="783"/>
        <w:gridCol w:w="804"/>
        <w:gridCol w:w="1529"/>
        <w:gridCol w:w="751"/>
        <w:gridCol w:w="685"/>
        <w:gridCol w:w="966"/>
        <w:gridCol w:w="1584"/>
        <w:gridCol w:w="1366"/>
        <w:gridCol w:w="1416"/>
        <w:gridCol w:w="1179"/>
      </w:tblGrid>
      <w:tr>
        <w:trPr>
          <w:trHeight w:val="52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1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(22%) руб.</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bookmarkStart w:id="15" w:name="_GoBack"/>
            <w:r>
              <w:rPr>
                <w:bCs/>
              </w:rPr>
              <w:t>Перечень сопроводительных документов (в том числе подтверждающих качество Товара)</w:t>
            </w:r>
            <w:bookmarkEnd w:id="15"/>
          </w:p>
        </w:tc>
      </w:tr>
      <w:tr>
        <w:trPr>
          <w:trHeight w:val="538"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shd w:fill="C0C0C0" w:val="clear"/>
              </w:rPr>
            </w:pPr>
            <w:r>
              <w:rPr>
                <w:bCs/>
                <w:shd w:fill="C0C0C0" w:val="clear"/>
              </w:rPr>
              <w:t>1</w:t>
            </w:r>
          </w:p>
        </w:tc>
        <w:tc>
          <w:tcPr>
            <w:tcW w:w="415" w:type="dxa"/>
            <w:tcBorders>
              <w:left w:val="single" w:sz="4" w:space="0" w:color="000000"/>
              <w:bottom w:val="single" w:sz="4" w:space="0" w:color="000000"/>
              <w:right w:val="single" w:sz="4" w:space="0" w:color="000000"/>
            </w:tcBorders>
            <w:vAlign w:val="center"/>
          </w:tcPr>
          <w:p>
            <w:pPr>
              <w:pStyle w:val="Normal"/>
              <w:widowControl w:val="false"/>
              <w:rPr>
                <w:shd w:fill="C0C0C0" w:val="clear"/>
              </w:rPr>
            </w:pPr>
            <w:r>
              <w:rPr>
                <w:shd w:fill="C0C0C0" w:val="clear"/>
              </w:rPr>
              <w:t>1</w:t>
            </w:r>
          </w:p>
        </w:tc>
        <w:tc>
          <w:tcPr>
            <w:tcW w:w="1792"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rFonts w:eastAsia="Calibri"/>
                <w:bCs/>
                <w:i w:val="false"/>
                <w:iCs w:val="false"/>
                <w:color w:val="000000"/>
                <w:sz w:val="24"/>
                <w:szCs w:val="24"/>
                <w:lang w:eastAsia="en-US"/>
              </w:rPr>
              <w:t>редуктор среднего моста (в сборе) для самосвалов JAC N 350</w:t>
            </w:r>
            <w:r>
              <w:rPr>
                <w:rFonts w:eastAsia="Calibri"/>
                <w:bCs/>
                <w:color w:val="000000"/>
                <w:sz w:val="24"/>
                <w:szCs w:val="24"/>
                <w:lang w:eastAsia="en-US"/>
              </w:rPr>
              <w:t xml:space="preserve"> </w:t>
            </w:r>
          </w:p>
        </w:tc>
        <w:tc>
          <w:tcPr>
            <w:tcW w:w="1117" w:type="dxa"/>
            <w:tcBorders>
              <w:left w:val="single" w:sz="4" w:space="0" w:color="000000"/>
              <w:bottom w:val="single" w:sz="4" w:space="0" w:color="000000"/>
              <w:right w:val="single" w:sz="4" w:space="0" w:color="000000"/>
            </w:tcBorders>
          </w:tcPr>
          <w:p>
            <w:pPr>
              <w:pStyle w:val="Normal"/>
              <w:widowControl w:val="false"/>
              <w:rPr/>
            </w:pPr>
            <w:r>
              <w:rPr/>
              <w:t>FSA25025092BZ4D</w:t>
            </w:r>
          </w:p>
        </w:tc>
        <w:tc>
          <w:tcPr>
            <w:tcW w:w="783" w:type="dxa"/>
            <w:tcBorders>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04" w:type="dxa"/>
            <w:tcBorders>
              <w:left w:val="single" w:sz="4" w:space="0" w:color="000000"/>
              <w:bottom w:val="single" w:sz="4" w:space="0" w:color="000000"/>
              <w:right w:val="single" w:sz="4" w:space="0" w:color="000000"/>
            </w:tcBorders>
            <w:vAlign w:val="center"/>
          </w:tcPr>
          <w:p>
            <w:pPr>
              <w:pStyle w:val="Normal"/>
              <w:widowControl w:val="false"/>
              <w:jc w:val="center"/>
              <w:rPr/>
            </w:pPr>
            <w:r>
              <w:rPr/>
              <w:t>Китай</w:t>
            </w:r>
          </w:p>
        </w:tc>
        <w:tc>
          <w:tcPr>
            <w:tcW w:w="1529" w:type="dxa"/>
            <w:tcBorders>
              <w:left w:val="single" w:sz="4" w:space="0" w:color="000000"/>
              <w:bottom w:val="single" w:sz="4" w:space="0" w:color="000000"/>
              <w:right w:val="single" w:sz="4" w:space="0" w:color="000000"/>
            </w:tcBorders>
            <w:vAlign w:val="center"/>
          </w:tcPr>
          <w:p>
            <w:pPr>
              <w:pStyle w:val="Normal"/>
              <w:jc w:val="center"/>
              <w:rPr>
                <w:i w:val="false"/>
                <w:i w:val="false"/>
                <w:iCs w:val="false"/>
                <w:sz w:val="24"/>
                <w:szCs w:val="24"/>
              </w:rPr>
            </w:pPr>
            <w:r>
              <w:rPr>
                <w:rStyle w:val="Strong"/>
                <w:rFonts w:eastAsia="Calibri" w:cs="Times New Roman"/>
                <w:i w:val="false"/>
                <w:iCs w:val="false"/>
                <w:color w:val="auto"/>
                <w:kern w:val="0"/>
                <w:sz w:val="24"/>
                <w:szCs w:val="24"/>
                <w:lang w:val="ru-RU" w:eastAsia="ru-RU" w:bidi="ar-SA"/>
              </w:rPr>
              <w:t>28.15.24.110</w:t>
            </w:r>
          </w:p>
        </w:tc>
        <w:tc>
          <w:tcPr>
            <w:tcW w:w="751" w:type="dxa"/>
            <w:tcBorders>
              <w:left w:val="single" w:sz="4" w:space="0" w:color="000000"/>
              <w:bottom w:val="single" w:sz="4" w:space="0" w:color="000000"/>
              <w:right w:val="single" w:sz="4" w:space="0" w:color="000000"/>
            </w:tcBorders>
            <w:vAlign w:val="center"/>
          </w:tcPr>
          <w:p>
            <w:pPr>
              <w:pStyle w:val="Normal"/>
              <w:widowControl w:val="false"/>
              <w:jc w:val="center"/>
              <w:rPr/>
            </w:pPr>
            <w:r>
              <w:rPr/>
              <w:t>шт.</w:t>
            </w:r>
          </w:p>
        </w:tc>
        <w:tc>
          <w:tcPr>
            <w:tcW w:w="685" w:type="dxa"/>
            <w:tcBorders>
              <w:left w:val="single" w:sz="4" w:space="0" w:color="000000"/>
              <w:bottom w:val="single" w:sz="4" w:space="0" w:color="000000"/>
              <w:right w:val="single" w:sz="4" w:space="0" w:color="000000"/>
            </w:tcBorders>
            <w:vAlign w:val="center"/>
          </w:tcPr>
          <w:p>
            <w:pPr>
              <w:pStyle w:val="Normal"/>
              <w:widowControl w:val="false"/>
              <w:rPr/>
            </w:pPr>
            <w:r>
              <w:rPr/>
              <w:t>2</w:t>
            </w:r>
          </w:p>
        </w:tc>
        <w:tc>
          <w:tcPr>
            <w:tcW w:w="966"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584"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36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41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rPr>
          <w:i/>
          <w:i/>
          <w:shd w:fill="FFFF00" w:val="clear"/>
        </w:rPr>
      </w:pPr>
      <w:r>
        <w:rPr>
          <w:i/>
          <w:shd w:fill="FFFF00" w:val="clear"/>
        </w:rPr>
      </w:r>
    </w:p>
    <w:p>
      <w:pPr>
        <w:pStyle w:val="Normal"/>
        <w:rPr>
          <w:i/>
          <w:i/>
          <w:sz w:val="22"/>
          <w:szCs w:val="22"/>
          <w:shd w:fill="C0C0C0" w:val="clear"/>
        </w:rPr>
      </w:pPr>
      <w:r>
        <w:rPr>
          <w:i/>
          <w:sz w:val="22"/>
          <w:szCs w:val="22"/>
          <w:shd w:fill="C0C0C0"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shd w:fill="C0C0C0" w:val="clear"/>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rPr>
      </w:pPr>
      <w:r>
        <w:rPr>
          <w:i/>
          <w:sz w:val="24"/>
          <w:szCs w:val="24"/>
          <w:shd w:fill="C0C0C0" w:val="clear"/>
        </w:rPr>
        <w:t>]</w:t>
      </w:r>
    </w:p>
    <w:p>
      <w:pPr>
        <w:sectPr>
          <w:headerReference w:type="default" r:id="rId10"/>
          <w:headerReference w:type="first" r:id="rId11"/>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ind w:firstLine="709"/>
        <w:jc w:val="both"/>
        <w:rPr>
          <w:i/>
          <w:i/>
        </w:rPr>
      </w:pPr>
      <w:r>
        <w:rPr>
          <w:i/>
          <w:sz w:val="24"/>
          <w:szCs w:val="24"/>
        </w:rPr>
        <w:t xml:space="preserve"> </w:t>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4"/>
        <w:gridCol w:w="4896"/>
      </w:tblGrid>
      <w:tr>
        <w:trPr/>
        <w:tc>
          <w:tcPr>
            <w:tcW w:w="4884" w:type="dxa"/>
            <w:tcBorders/>
          </w:tcPr>
          <w:p>
            <w:pPr>
              <w:pStyle w:val="Normal"/>
              <w:widowControl w:val="false"/>
              <w:jc w:val="center"/>
              <w:rPr>
                <w:b/>
                <w:bCs/>
              </w:rPr>
            </w:pPr>
            <w:r>
              <w:rPr>
                <w:b/>
                <w:bCs/>
              </w:rPr>
            </w:r>
          </w:p>
          <w:p>
            <w:pPr>
              <w:pStyle w:val="Normal"/>
              <w:widowControl w:val="false"/>
              <w:jc w:val="center"/>
              <w:rPr/>
            </w:pPr>
            <w:r>
              <w:rPr>
                <w:b/>
                <w:bCs/>
                <w:sz w:val="24"/>
                <w:szCs w:val="24"/>
              </w:rPr>
              <w:t xml:space="preserve">                                   </w:t>
            </w:r>
            <w:r>
              <w:rPr>
                <w:b/>
                <w:bCs/>
                <w:sz w:val="24"/>
                <w:szCs w:val="24"/>
              </w:rPr>
              <w:t>ПОДПИСИ СТОРОН:</w:t>
            </w:r>
          </w:p>
          <w:p>
            <w:pPr>
              <w:pStyle w:val="Normal"/>
              <w:widowControl w:val="false"/>
              <w:rPr/>
            </w:pPr>
            <w:r>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К.А. Михайлов</w:t>
            </w:r>
          </w:p>
          <w:p>
            <w:pPr>
              <w:pStyle w:val="Normal"/>
              <w:widowControl w:val="false"/>
              <w:rPr/>
            </w:pPr>
            <w:r>
              <w:rPr/>
            </w:r>
          </w:p>
        </w:tc>
        <w:tc>
          <w:tcPr>
            <w:tcW w:w="4896" w:type="dxa"/>
            <w:tcBorders/>
          </w:tcPr>
          <w:p>
            <w:pPr>
              <w:pStyle w:val="Normal"/>
              <w:widowControl w:val="false"/>
              <w:rPr/>
            </w:pPr>
            <w:r>
              <w:rPr/>
            </w:r>
          </w:p>
          <w:p>
            <w:pPr>
              <w:pStyle w:val="Normal"/>
              <w:widowControl w:val="false"/>
              <w:rPr>
                <w:sz w:val="24"/>
                <w:szCs w:val="24"/>
              </w:rPr>
            </w:pPr>
            <w:r>
              <w:rPr>
                <w:sz w:val="24"/>
                <w:szCs w:val="24"/>
              </w:rPr>
            </w:r>
          </w:p>
        </w:tc>
      </w:tr>
    </w:tbl>
    <w:p>
      <w:pPr>
        <w:sectPr>
          <w:headerReference w:type="default" r:id="rId12"/>
          <w:headerReference w:type="first" r:id="rId13"/>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_____202_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47"/>
        <w:gridCol w:w="1017"/>
        <w:gridCol w:w="1156"/>
        <w:gridCol w:w="733"/>
        <w:gridCol w:w="1103"/>
        <w:gridCol w:w="1216"/>
        <w:gridCol w:w="1018"/>
        <w:gridCol w:w="1458"/>
        <w:gridCol w:w="864"/>
        <w:gridCol w:w="870"/>
      </w:tblGrid>
      <w:tr>
        <w:trPr>
          <w:trHeight w:val="543"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98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К.А. Михайлов</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959"/>
        <w:gridCol w:w="6023"/>
      </w:tblGrid>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К.А. Михайлов</w:t>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jc w:val="center"/>
        <w:rPr>
          <w:sz w:val="24"/>
          <w:szCs w:val="24"/>
        </w:rPr>
      </w:pPr>
      <w:r>
        <w:rPr>
          <w:sz w:val="24"/>
          <w:szCs w:val="24"/>
        </w:rPr>
        <w:t>Техническое задание на поставку МТР</w:t>
      </w:r>
    </w:p>
    <w:p>
      <w:pPr>
        <w:pStyle w:val="Normal"/>
        <w:jc w:val="center"/>
        <w:rPr>
          <w:sz w:val="24"/>
          <w:szCs w:val="24"/>
        </w:rPr>
      </w:pPr>
      <w:r>
        <w:rPr>
          <w:sz w:val="24"/>
          <w:szCs w:val="24"/>
        </w:rPr>
      </w:r>
    </w:p>
    <w:p>
      <w:pPr>
        <w:pStyle w:val="Heading4"/>
        <w:numPr>
          <w:ilvl w:val="0"/>
          <w:numId w:val="0"/>
        </w:numPr>
        <w:ind w:left="0" w:hanging="0"/>
        <w:rPr>
          <w:rFonts w:ascii="Times New Roman" w:hAnsi="Times New Roman"/>
          <w:b/>
          <w:bCs/>
          <w:i w:val="false"/>
          <w:i w:val="false"/>
          <w:iCs w:val="false"/>
          <w:color w:val="000000"/>
          <w:sz w:val="24"/>
          <w:szCs w:val="24"/>
        </w:rPr>
      </w:pPr>
      <w:r>
        <w:rPr/>
      </w:r>
    </w:p>
    <w:sectPr>
      <w:headerReference w:type="default" r:id="rId14"/>
      <w:headerReference w:type="first" r:id="rId15"/>
      <w:footerReference w:type="default" r:id="rId16"/>
      <w:footnotePr>
        <w:numFmt w:val="decimal"/>
      </w:footnotePr>
      <w:type w:val="nextPage"/>
      <w:pgSz w:w="11906" w:h="16838"/>
      <w:pgMar w:left="1217" w:right="706"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 w:id="3">
    <w:p>
      <w:pPr>
        <w:pStyle w:val="FootnoteText"/>
        <w:jc w:val="both"/>
        <w:rPr/>
      </w:pPr>
      <w:r>
        <w:rPr>
          <w:rStyle w:val="Style13"/>
        </w:rPr>
        <w:footnoteRef/>
      </w:r>
      <w:r>
        <w:rPr/>
        <w:tab/>
        <w:t xml:space="preserve"> В соответствии с Общероссийским классификатором стран мира (утв. Постановлением Госстандарта России от 14.12.2001 N 529-ст.).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1"/>
    <w:lvlOverride w:ilvl="0">
      <w:startOverride w:val="1"/>
    </w:lvlOverride>
  </w:num>
  <w:num w:numId="123">
    <w:abstractNumId w:val="11"/>
  </w:num>
  <w:num w:numId="124">
    <w:abstractNumId w:val="11"/>
  </w:num>
  <w:num w:numId="125">
    <w:abstractNumId w:val="11"/>
  </w:num>
  <w:num w:numId="126">
    <w:abstractNumId w:val="11"/>
  </w:num>
  <w:num w:numId="127">
    <w:abstractNumId w:val="11"/>
  </w:num>
  <w:num w:numId="128">
    <w:abstractNumId w:val="11"/>
  </w:num>
  <w:num w:numId="129">
    <w:abstractNumId w:val="11"/>
  </w:num>
  <w:num w:numId="130">
    <w:abstractNumId w:val="11"/>
  </w:num>
  <w:num w:numId="131">
    <w:abstractNumId w:val="11"/>
  </w:num>
  <w:num w:numId="132">
    <w:abstractNumId w:val="21"/>
    <w:lvlOverride w:ilvl="0">
      <w:startOverride w:val="2"/>
    </w:lvlOverride>
    <w:lvlOverride w:ilvl="1">
      <w:startOverride w:val="3"/>
    </w:lvlOverride>
    <w:lvlOverride w:ilvl="2">
      <w:startOverride w:val="2"/>
    </w:lvlOverride>
  </w:num>
  <w:num w:numId="133">
    <w:abstractNumId w:val="11"/>
  </w:num>
  <w:num w:numId="134">
    <w:abstractNumId w:val="11"/>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11"/>
  </w:num>
  <w:num w:numId="142">
    <w:abstractNumId w:val="11"/>
  </w:num>
  <w:num w:numId="143">
    <w:abstractNumId w:val="11"/>
  </w:num>
  <w:num w:numId="144">
    <w:abstractNumId w:val="11"/>
  </w:num>
  <w:num w:numId="145">
    <w:abstractNumId w:val="11"/>
  </w:num>
  <w:num w:numId="146">
    <w:abstractNumId w:val="11"/>
  </w:num>
  <w:num w:numId="147">
    <w:abstractNumId w:val="11"/>
  </w:num>
  <w:num w:numId="148">
    <w:abstractNumId w:val="11"/>
  </w:num>
  <w:num w:numId="149">
    <w:abstractNumId w:val="11"/>
  </w:num>
  <w:num w:numId="150">
    <w:abstractNumId w:val="11"/>
  </w:num>
  <w:num w:numId="151">
    <w:abstractNumId w:val="11"/>
  </w:num>
  <w:num w:numId="152">
    <w:abstractNumId w:val="11"/>
  </w:num>
  <w:num w:numId="153">
    <w:abstractNumId w:val="11"/>
  </w:num>
  <w:num w:numId="154">
    <w:abstractNumId w:val="11"/>
  </w:num>
  <w:num w:numId="155">
    <w:abstractNumId w:val="11"/>
  </w:num>
  <w:num w:numId="156">
    <w:abstractNumId w:val="11"/>
  </w:num>
  <w:num w:numId="157">
    <w:abstractNumId w:val="11"/>
  </w:num>
  <w:num w:numId="158">
    <w:abstractNumId w:val="11"/>
  </w:num>
  <w:num w:numId="159">
    <w:abstractNumId w:val="11"/>
  </w:num>
  <w:num w:numId="160">
    <w:abstractNumId w:val="11"/>
  </w:num>
  <w:num w:numId="161">
    <w:abstractNumId w:val="11"/>
  </w:num>
  <w:num w:numId="162">
    <w:abstractNumId w:val="11"/>
  </w:num>
  <w:num w:numId="163">
    <w:abstractNumId w:val="11"/>
  </w:num>
  <w:num w:numId="164">
    <w:abstractNumId w:val="11"/>
  </w:num>
  <w:num w:numId="165">
    <w:abstractNumId w:val="11"/>
  </w:num>
  <w:num w:numId="166">
    <w:abstractNumId w:val="11"/>
  </w:num>
  <w:num w:numId="167">
    <w:abstractNumId w:val="11"/>
  </w:num>
  <w:num w:numId="168">
    <w:abstractNumId w:val="11"/>
  </w:num>
  <w:num w:numId="169">
    <w:abstractNumId w:val="11"/>
  </w:num>
  <w:num w:numId="170">
    <w:abstractNumId w:val="11"/>
  </w:num>
  <w:num w:numId="171">
    <w:abstractNumId w:val="11"/>
  </w:num>
  <w:num w:numId="172">
    <w:abstractNumId w:val="11"/>
  </w:num>
  <w:num w:numId="173">
    <w:abstractNumId w:val="11"/>
  </w:num>
  <w:num w:numId="174">
    <w:abstractNumId w:val="11"/>
  </w:num>
  <w:num w:numId="175">
    <w:abstractNumId w:val="11"/>
  </w:num>
  <w:num w:numId="176">
    <w:abstractNumId w:val="11"/>
  </w:num>
  <w:num w:numId="177">
    <w:abstractNumId w:val="11"/>
  </w:num>
  <w:num w:numId="178">
    <w:abstractNumId w:val="11"/>
  </w:num>
  <w:num w:numId="179">
    <w:abstractNumId w:val="11"/>
  </w:num>
  <w:num w:numId="180">
    <w:abstractNumId w:val="11"/>
  </w:num>
  <w:num w:numId="181">
    <w:abstractNumId w:val="11"/>
  </w:num>
  <w:num w:numId="182">
    <w:abstractNumId w:val="11"/>
  </w:num>
  <w:num w:numId="183">
    <w:abstractNumId w:val="11"/>
  </w:num>
  <w:num w:numId="184">
    <w:abstractNumId w:val="11"/>
  </w:num>
  <w:num w:numId="185">
    <w:abstractNumId w:val="11"/>
  </w:num>
  <w:num w:numId="186">
    <w:abstractNumId w:val="11"/>
  </w:num>
  <w:num w:numId="187">
    <w:abstractNumId w:val="11"/>
  </w:num>
  <w:num w:numId="188">
    <w:abstractNumId w:val="11"/>
  </w:num>
  <w:num w:numId="189">
    <w:abstractNumId w:val="11"/>
  </w:num>
  <w:num w:numId="190">
    <w:abstractNumId w:val="11"/>
  </w:num>
  <w:num w:numId="191">
    <w:abstractNumId w:val="11"/>
  </w:num>
  <w:num w:numId="192">
    <w:abstractNumId w:val="11"/>
  </w:num>
  <w:num w:numId="193">
    <w:abstractNumId w:val="11"/>
  </w:num>
  <w:num w:numId="194">
    <w:abstractNumId w:val="11"/>
  </w:num>
  <w:num w:numId="195">
    <w:abstractNumId w:val="11"/>
  </w:num>
  <w:num w:numId="196">
    <w:abstractNumId w:val="11"/>
  </w:num>
  <w:num w:numId="197">
    <w:abstractNumId w:val="11"/>
  </w:num>
  <w:num w:numId="198">
    <w:abstractNumId w:val="11"/>
  </w:num>
  <w:num w:numId="199">
    <w:abstractNumId w:val="11"/>
  </w:num>
  <w:num w:numId="200">
    <w:abstractNumId w:val="11"/>
  </w:num>
  <w:num w:numId="201">
    <w:abstractNumId w:val="11"/>
  </w:num>
  <w:num w:numId="202">
    <w:abstractNumId w:val="11"/>
  </w:num>
  <w:num w:numId="203">
    <w:abstractNumId w:val="11"/>
  </w:num>
  <w:num w:numId="204">
    <w:abstractNumId w:val="11"/>
  </w:num>
  <w:num w:numId="205">
    <w:abstractNumId w:val="11"/>
  </w:num>
  <w:num w:numId="206">
    <w:abstractNumId w:val="11"/>
  </w:num>
  <w:num w:numId="207">
    <w:abstractNumId w:val="11"/>
  </w:num>
  <w:num w:numId="208">
    <w:abstractNumId w:val="11"/>
  </w:num>
  <w:num w:numId="209">
    <w:abstractNumId w:val="11"/>
  </w:num>
  <w:num w:numId="210">
    <w:abstractNumId w:val="11"/>
  </w:num>
  <w:num w:numId="211">
    <w:abstractNumId w:val="11"/>
  </w:num>
  <w:num w:numId="212">
    <w:abstractNumId w:val="11"/>
  </w:num>
  <w:num w:numId="213">
    <w:abstractNumId w:val="11"/>
  </w:num>
  <w:num w:numId="214">
    <w:abstractNumId w:val="11"/>
  </w:num>
  <w:num w:numId="215">
    <w:abstractNumId w:val="11"/>
  </w:num>
  <w:num w:numId="216">
    <w:abstractNumId w:val="11"/>
  </w:num>
  <w:num w:numId="217">
    <w:abstractNumId w:val="11"/>
  </w:num>
  <w:num w:numId="218">
    <w:abstractNumId w:val="11"/>
  </w:num>
  <w:num w:numId="219">
    <w:abstractNumId w:val="11"/>
  </w:num>
  <w:num w:numId="220">
    <w:abstractNumId w:val="11"/>
  </w:num>
  <w:num w:numId="221">
    <w:abstractNumId w:val="11"/>
  </w:num>
  <w:num w:numId="222">
    <w:abstractNumId w:val="11"/>
  </w:num>
  <w:num w:numId="223">
    <w:abstractNumId w:val="11"/>
  </w:num>
  <w:num w:numId="224">
    <w:abstractNumId w:val="11"/>
  </w:num>
  <w:num w:numId="225">
    <w:abstractNumId w:val="11"/>
  </w:num>
  <w:num w:numId="226">
    <w:abstractNumId w:val="11"/>
  </w:num>
  <w:num w:numId="227">
    <w:abstractNumId w:val="11"/>
  </w:num>
  <w:num w:numId="228">
    <w:abstractNumId w:val="11"/>
  </w:num>
  <w:num w:numId="229">
    <w:abstractNumId w:val="11"/>
  </w:num>
  <w:num w:numId="230">
    <w:abstractNumId w:val="11"/>
  </w:num>
  <w:num w:numId="231">
    <w:abstractNumId w:val="11"/>
  </w:num>
  <w:num w:numId="232">
    <w:abstractNumId w:val="1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character" w:styleId="Strong">
    <w:name w:val="Strong"/>
    <w:qFormat/>
    <w:rPr>
      <w:b/>
      <w:bCs/>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екст в заданном формате"/>
    <w:basedOn w:val="Normal"/>
    <w:qFormat/>
    <w:pPr/>
    <w:rPr>
      <w:rFonts w:ascii="Liberation Mono" w:hAnsi="Liberation Mono" w:eastAsia="Liberation Mono" w:cs="Liberation Mono"/>
    </w:rPr>
  </w:style>
  <w:style w:type="paragraph" w:styleId="Style31">
    <w:name w:val="Таблица шапка"/>
    <w:basedOn w:val="Normal"/>
    <w:qFormat/>
    <w:pPr>
      <w:keepNext w:val="true"/>
      <w:spacing w:before="40" w:after="40"/>
      <w:ind w:left="57" w:right="57" w:hanging="0"/>
    </w:pPr>
    <w:rPr>
      <w:sz w:val="22"/>
      <w:szCs w:val="2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Application>AlterOffice/3.4.0.9$Linux_X86_64 LibreOffice_project/b8daf9e823b1a5463a2f48435ddc2e8696e7d4fc</Application>
  <AppVersion>15.0000</AppVersion>
  <Pages>21</Pages>
  <Words>6483</Words>
  <Characters>45403</Characters>
  <CharactersWithSpaces>51861</CharactersWithSpaces>
  <Paragraphs>324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azarines@corp.gidroogk.com</cp:lastModifiedBy>
  <cp:lastPrinted>2023-03-06T07:59:00Z</cp:lastPrinted>
  <dcterms:modified xsi:type="dcterms:W3CDTF">2026-06-02T22:08:47Z</dcterms:modified>
  <cp:revision>25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