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shd w:val="clear" w:color="auto" w:fill="auto"/>
        <w:spacing w:lineRule="auto" w:line="264"/>
        <w:rPr>
          <w:b/>
          <w:sz w:val="24"/>
          <w:szCs w:val="24"/>
        </w:rPr>
      </w:pPr>
      <w:r>
        <w:rPr>
          <w:rStyle w:val="Style6"/>
          <w:b/>
          <w:sz w:val="24"/>
          <w:szCs w:val="24"/>
        </w:rPr>
        <w:t xml:space="preserve">            </w:t>
      </w:r>
    </w:p>
    <w:tbl>
      <w:tblPr>
        <w:tblW w:w="972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26"/>
        <w:gridCol w:w="5493"/>
      </w:tblGrid>
      <w:tr>
        <w:trPr>
          <w:trHeight w:val="2518" w:hRule="atLeast"/>
        </w:trPr>
        <w:tc>
          <w:tcPr>
            <w:tcW w:w="4226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02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93" w:type="dxa"/>
            <w:tcBorders/>
          </w:tcPr>
          <w:p>
            <w:pPr>
              <w:pStyle w:val="NoSpacing"/>
              <w:widowControl w:val="false"/>
              <w:jc w:val="right"/>
              <w:rPr/>
            </w:pPr>
            <w:r>
              <w:rPr/>
            </w:r>
          </w:p>
        </w:tc>
      </w:tr>
    </w:tbl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</w:t>
      </w:r>
    </w:p>
    <w:p>
      <w:pPr>
        <w:pStyle w:val="12"/>
        <w:shd w:val="clear" w:color="auto" w:fill="auto"/>
        <w:spacing w:lineRule="auto" w:line="2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ОКПД2 28.22.19 Поставка запасных частей для подъёмных сооружений Саратовской</w:t>
      </w:r>
      <w:r>
        <w:rPr>
          <w:bCs/>
          <w:color w:val="000000"/>
          <w:sz w:val="24"/>
          <w:szCs w:val="24"/>
          <w:lang w:eastAsia="en-US"/>
        </w:rPr>
        <w:t xml:space="preserve"> ГЭС</w:t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Лот № </w:t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  <w:id w:val="1052254896"/>
      </w:sdtPr>
      <w:sdtContent>
        <w:p>
          <w:pPr>
            <w:pStyle w:val="TOCHeading"/>
            <w:numPr>
              <w:ilvl w:val="0"/>
            </w:numPr>
            <w:spacing w:lineRule="auto" w:line="240"/>
            <w:ind w:left="0" w:hanging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color w:val="auto"/>
              <w:sz w:val="24"/>
              <w:szCs w:val="24"/>
            </w:rPr>
            <w:t>СОДЕРЖАНИЕ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Оглавление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1. Общие сведения</w:t>
          </w:r>
          <w:r>
            <w:rPr>
              <w:rStyle w:val="Style10"/>
              <w:rFonts w:cs="Times New Roman" w:ascii="Times New Roman" w:hAnsi="Times New Roman"/>
              <w:sz w:val="24"/>
              <w:szCs w:val="24"/>
              <w:u w:val="dottedHeavy"/>
            </w:rPr>
            <w:tab/>
            <w:tab/>
            <w:tab/>
            <w:tab/>
            <w:tab/>
            <w:tab/>
            <w:tab/>
            <w:tab/>
            <w:tab/>
          </w: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1. 1. Наименование закупаемой продукции</w:t>
          </w:r>
          <w:r>
            <w:rPr>
              <w:rStyle w:val="Style10"/>
              <w:rFonts w:cs="Times New Roman" w:ascii="Times New Roman" w:hAnsi="Times New Roman"/>
              <w:sz w:val="24"/>
              <w:szCs w:val="24"/>
              <w:u w:val="dottedHeavy"/>
            </w:rPr>
            <w:tab/>
            <w:tab/>
            <w:tab/>
            <w:tab/>
            <w:tab/>
          </w: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1.2.  Цель использования закупаемой продукции</w:t>
          </w:r>
          <w:r>
            <w:rPr>
              <w:rStyle w:val="Style10"/>
              <w:rFonts w:cs="Times New Roman" w:ascii="Times New Roman" w:hAnsi="Times New Roman"/>
              <w:sz w:val="24"/>
              <w:szCs w:val="24"/>
              <w:u w:val="dottedHeavy"/>
            </w:rPr>
            <w:tab/>
            <w:tab/>
            <w:tab/>
            <w:tab/>
            <w:t>……...</w:t>
          </w: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2. Требования к продукции</w:t>
          </w:r>
          <w:r>
            <w:rPr>
              <w:rStyle w:val="Style10"/>
              <w:rFonts w:cs="Times New Roman" w:ascii="Times New Roman" w:hAnsi="Times New Roman"/>
              <w:sz w:val="24"/>
              <w:szCs w:val="24"/>
              <w:u w:val="dottedHeavy"/>
            </w:rPr>
            <w:tab/>
            <w:tab/>
            <w:tab/>
            <w:tab/>
            <w:tab/>
            <w:tab/>
            <w:tab/>
            <w:tab/>
          </w: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2.1. Требования к объёмам и срокам поставки………………………………….3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2.1.1. Перечень и объём закупаемой продукции ……………………………….3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2.1.2. Требования к срокам поставки продукции……………………………….3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2.2. Требования к качеству продукции………………………………………….4</w:t>
          </w:r>
        </w:p>
        <w:p>
          <w:p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3.  Требования к документации по ценообразованию на этапе закупки……..9</w:t>
          </w:r>
        </w:p>
        <w:p>
          <w:pPr>
            <w:sectPr>
              <w:type w:val="nextPage"/>
              <w:pgSz w:w="11906" w:h="16838"/>
              <w:pgMar w:left="1701" w:right="850" w:gutter="0" w:header="0" w:top="284" w:footer="0" w:bottom="1134"/>
              <w:pgNumType w:fmt="decimal"/>
              <w:formProt w:val="false"/>
              <w:textDirection w:val="lrTb"/>
              <w:docGrid w:type="default" w:linePitch="360" w:charSpace="0"/>
            </w:sectPr>
            <w:pStyle w:val="Normal"/>
            <w:spacing w:lineRule="auto" w:line="2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4.  Приложения:</w:t>
            <w:tab/>
          </w:r>
          <w:r>
            <w:rPr>
              <w:rStyle w:val="Style10"/>
              <w:rFonts w:cs="Times New Roman" w:ascii="Times New Roman" w:hAnsi="Times New Roman"/>
              <w:sz w:val="24"/>
              <w:szCs w:val="24"/>
              <w:u w:val="dottedHeavy"/>
            </w:rPr>
            <w:tab/>
            <w:tab/>
            <w:tab/>
            <w:tab/>
            <w:tab/>
            <w:tab/>
            <w:tab/>
            <w:tab/>
          </w:r>
          <w:r>
            <w:rPr>
              <w:rStyle w:val="Style10"/>
              <w:rFonts w:cs="Times New Roman" w:ascii="Times New Roman" w:hAnsi="Times New Roman"/>
              <w:sz w:val="24"/>
              <w:szCs w:val="24"/>
            </w:rPr>
            <w:t>9</w:t>
          </w:r>
        </w:p>
      </w:sdtContent>
    </w:sdt>
    <w:p>
      <w:pPr>
        <w:pStyle w:val="12"/>
        <w:numPr>
          <w:ilvl w:val="0"/>
          <w:numId w:val="0"/>
        </w:numPr>
        <w:shd w:val="clear" w:color="auto" w:fill="auto"/>
        <w:spacing w:lineRule="exact" w:line="331" w:before="0" w:after="263"/>
        <w:ind w:left="0" w:hanging="0"/>
        <w:jc w:val="center"/>
        <w:outlineLvl w:val="0"/>
        <w:rPr>
          <w:sz w:val="24"/>
          <w:szCs w:val="24"/>
        </w:rPr>
      </w:pPr>
      <w:bookmarkStart w:id="0" w:name="__RefHeading___Toc5330_646910711"/>
      <w:bookmarkStart w:id="1" w:name="_Toc200371569"/>
      <w:bookmarkEnd w:id="0"/>
      <w:r>
        <w:rPr>
          <w:b/>
          <w:sz w:val="24"/>
          <w:szCs w:val="24"/>
        </w:rPr>
        <w:t>1. Общие сведения</w:t>
      </w:r>
      <w:bookmarkEnd w:id="1"/>
    </w:p>
    <w:p>
      <w:pPr>
        <w:pStyle w:val="Heading2"/>
        <w:numPr>
          <w:ilvl w:val="0"/>
          <w:numId w:val="0"/>
        </w:numPr>
        <w:suppressAutoHyphens w:val="false"/>
        <w:spacing w:lineRule="auto" w:line="264" w:before="0" w:after="0"/>
        <w:ind w:left="0" w:hanging="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_RefHeading___Toc5332_646910711"/>
      <w:bookmarkStart w:id="3" w:name="_Toc200371570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1. 1. Наименование закупаемой продукции</w:t>
      </w:r>
      <w:bookmarkEnd w:id="3"/>
    </w:p>
    <w:p>
      <w:pPr>
        <w:pStyle w:val="Normal"/>
        <w:spacing w:before="0" w:after="0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eastAsia="en-US"/>
        </w:rPr>
        <w:t>ОКПД2 28.22.19 Поставка запасных частей для подъёмных сооружений Саратовской ГЭС.</w:t>
      </w:r>
    </w:p>
    <w:p>
      <w:pPr>
        <w:pStyle w:val="ListParagraph"/>
        <w:numPr>
          <w:ilvl w:val="0"/>
          <w:numId w:val="0"/>
        </w:numPr>
        <w:spacing w:lineRule="auto" w:line="264" w:before="0" w:after="0"/>
        <w:ind w:left="0" w:hanging="0"/>
        <w:contextualSpacing/>
        <w:outlineLvl w:val="1"/>
        <w:rPr>
          <w:sz w:val="24"/>
          <w:szCs w:val="24"/>
        </w:rPr>
      </w:pPr>
      <w:bookmarkStart w:id="4" w:name="__RefHeading___Toc5334_646910711"/>
      <w:bookmarkStart w:id="5" w:name="_Toc200371571"/>
      <w:bookmarkEnd w:id="4"/>
      <w:r>
        <w:rPr>
          <w:b/>
          <w:bCs/>
          <w:sz w:val="24"/>
          <w:szCs w:val="24"/>
          <w:lang w:eastAsia="ar-SA"/>
        </w:rPr>
        <w:t>1.2.</w:t>
        <w:tab/>
        <w:t>Цель использования закупаемой продукции</w:t>
      </w:r>
      <w:bookmarkEnd w:id="5"/>
      <w:r>
        <w:rPr>
          <w:b/>
          <w:bCs/>
          <w:sz w:val="24"/>
          <w:szCs w:val="24"/>
          <w:lang w:eastAsia="ar-SA"/>
        </w:rPr>
        <w:t xml:space="preserve"> </w:t>
      </w:r>
    </w:p>
    <w:p>
      <w:pPr>
        <w:pStyle w:val="ListParagraph"/>
        <w:spacing w:lineRule="auto" w:line="264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Продукция предназначена для исполнения договора на оказание услуг по эксплуатации подъемных сооружений и рельсовых путей для нужд Филиала ПАО "РусГидро" - "Саратовская ГЭС" в 2027г., заключаемого между АО «Гидроремонт-ВКК» и ПАО «РусГидро» - «Саратовская ГЭС». </w:t>
      </w:r>
    </w:p>
    <w:p>
      <w:pPr>
        <w:pStyle w:val="ListParagraph"/>
        <w:spacing w:lineRule="auto" w:line="264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Основание: согласованные и подписанные сторонами Ведомости объёмов работ на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Текущий ремонт подъёмных сооружений ПАО «РусГидро» - «Саратовская ГЭС»: </w:t>
      </w:r>
    </w:p>
    <w:p>
      <w:pPr>
        <w:pStyle w:val="ListParagraph"/>
        <w:spacing w:lineRule="auto" w:line="264" w:before="0" w:after="0"/>
        <w:contextualSpacing/>
        <w:jc w:val="both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4"/>
          <w:u w:val="none"/>
          <w:em w:val="none"/>
        </w:rPr>
        <w:t>ВОР №СарФилиал — ПС1 — 2027, ВОР №СарФилиал — ПС2 — 2027, ВОР №СарФилиал — ПС3 — 2027, ВОР №СарФилиал — ПС4 — 2027.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200371572"/>
      <w:r>
        <w:rPr>
          <w:rFonts w:eastAsia="Calibri" w:cs="Times New Roman" w:ascii="Times New Roman" w:hAnsi="Times New Roman"/>
          <w:b/>
          <w:iCs/>
          <w:sz w:val="24"/>
          <w:szCs w:val="24"/>
        </w:rPr>
        <w:t>2. Требования к продукции</w:t>
      </w:r>
      <w:bookmarkEnd w:id="6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2.1. Требования к объемам и срокам поставки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2.1.1. Перечень и объем закупаемой продукции</w:t>
      </w:r>
    </w:p>
    <w:p>
      <w:pPr>
        <w:pStyle w:val="Heading3"/>
        <w:numPr>
          <w:ilvl w:val="2"/>
          <w:numId w:val="1"/>
        </w:numPr>
        <w:ind w:left="2148" w:hanging="2148"/>
        <w:rPr>
          <w:color w:val="auto"/>
          <w:sz w:val="24"/>
          <w:szCs w:val="24"/>
        </w:rPr>
      </w:pPr>
      <w:bookmarkStart w:id="7" w:name="__RefHeading___Toc5338_646910711"/>
      <w:bookmarkStart w:id="8" w:name="_Toc200371573"/>
      <w:bookmarkEnd w:id="7"/>
      <w:r>
        <w:rPr>
          <w:color w:val="auto"/>
          <w:sz w:val="24"/>
          <w:szCs w:val="24"/>
        </w:rPr>
        <w:t>Таблица 1. Перечень и объем закупаемой продукции</w:t>
      </w:r>
      <w:bookmarkEnd w:id="8"/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1"/>
        <w:gridCol w:w="4951"/>
        <w:gridCol w:w="2595"/>
        <w:gridCol w:w="95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>
          <w:trHeight w:val="11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Муфта зубчатая МЗ-5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shd w:fill="auto" w:val="clear"/>
                <w:lang w:eastAsia="ru-RU"/>
              </w:rPr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Зубчатое колесо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shd w:fill="auto" w:val="clear"/>
                <w:lang w:eastAsia="ru-RU"/>
              </w:rPr>
              <w:t>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Шестерня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Щека клиновых захватов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4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shd w:fill="auto" w:val="clear"/>
                <w:lang w:eastAsia="ru-RU"/>
              </w:rPr>
              <w:t>5.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Муфта зубчатая МЗ-4, схема сборки Н-Н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Цилиндр (чертеж. 276780)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Тормоз ТКГ-300 в сборе с гидротолкателем ТЭ-30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Тормоз ТКГ-200 в сборе с гидротолкателем ТЭ-30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комплект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val="en-US"/>
              </w:rPr>
              <w:t>6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_Toc200371574"/>
      <w:r>
        <w:rPr>
          <w:rFonts w:eastAsia="Calibri" w:cs="Times New Roman" w:ascii="Times New Roman" w:hAnsi="Times New Roman"/>
          <w:b/>
          <w:bCs/>
          <w:sz w:val="24"/>
          <w:szCs w:val="24"/>
        </w:rPr>
        <w:t>2.1.2. Требования к срокам поставки продукции</w:t>
      </w:r>
      <w:bookmarkEnd w:id="9"/>
    </w:p>
    <w:p>
      <w:pPr>
        <w:pStyle w:val="Heading3"/>
        <w:numPr>
          <w:ilvl w:val="2"/>
          <w:numId w:val="1"/>
        </w:numPr>
        <w:ind w:left="2148" w:hanging="2148"/>
        <w:jc w:val="both"/>
        <w:rPr>
          <w:color w:val="auto"/>
          <w:sz w:val="24"/>
          <w:szCs w:val="24"/>
        </w:rPr>
      </w:pPr>
      <w:bookmarkStart w:id="10" w:name="__RefHeading___Toc5342_646910711"/>
      <w:bookmarkStart w:id="11" w:name="_Toc200371575"/>
      <w:bookmarkEnd w:id="10"/>
      <w:r>
        <w:rPr>
          <w:bCs w:val="false"/>
          <w:color w:val="auto"/>
          <w:sz w:val="24"/>
          <w:szCs w:val="24"/>
        </w:rPr>
        <w:t xml:space="preserve">Таблица 2. </w:t>
      </w:r>
      <w:bookmarkStart w:id="12" w:name="_Hlk50465284"/>
      <w:r>
        <w:rPr>
          <w:bCs w:val="false"/>
          <w:color w:val="auto"/>
          <w:sz w:val="24"/>
          <w:szCs w:val="24"/>
        </w:rPr>
        <w:t xml:space="preserve">Требования по срокам </w:t>
      </w:r>
      <w:bookmarkEnd w:id="12"/>
      <w:r>
        <w:rPr>
          <w:bCs w:val="false"/>
          <w:color w:val="auto"/>
          <w:sz w:val="24"/>
          <w:szCs w:val="24"/>
        </w:rPr>
        <w:t>поставки продукции</w:t>
      </w:r>
      <w:bookmarkEnd w:id="11"/>
      <w:r>
        <w:rPr>
          <w:bCs w:val="false"/>
          <w:color w:val="auto"/>
          <w:sz w:val="24"/>
          <w:szCs w:val="24"/>
        </w:rPr>
        <w:t xml:space="preserve"> 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1"/>
        <w:gridCol w:w="2722"/>
        <w:gridCol w:w="2993"/>
        <w:gridCol w:w="278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соответствии с таблицей 1.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 сторонами, согласно заявкам на партию Продукции от Заказчика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90 календарных дней с даты направления Заказчиком заявки на партию Продукции.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Ориентировочное количество заявок – 2 шт.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Окончательный срок поставки – 30.05.2027г.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28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bookmarkStart w:id="13" w:name="_Toc51339698"/>
      <w:bookmarkStart w:id="14" w:name="_Toc75446581"/>
      <w:bookmarkStart w:id="15" w:name="_Toc46743511"/>
      <w:r>
        <w:rPr>
          <w:rFonts w:ascii="Times New Roman" w:hAnsi="Times New Roman"/>
          <w:sz w:val="24"/>
          <w:szCs w:val="24"/>
        </w:rPr>
        <w:t xml:space="preserve">Требования к </w:t>
      </w:r>
      <w:bookmarkEnd w:id="15"/>
      <w:r>
        <w:rPr>
          <w:rFonts w:ascii="Times New Roman" w:hAnsi="Times New Roman"/>
          <w:sz w:val="24"/>
          <w:szCs w:val="24"/>
        </w:rPr>
        <w:t>качеству продукции</w:t>
      </w:r>
      <w:bookmarkEnd w:id="14"/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Таблица 3. Требование к качеству</w:t>
      </w:r>
      <w:bookmarkEnd w:id="13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/>
          <w:sz w:val="24"/>
          <w:szCs w:val="24"/>
        </w:rPr>
        <w:t>Наименование продукции (позиции 1-</w:t>
      </w:r>
      <w:r>
        <w:rPr>
          <w:rFonts w:cs="Times New Roman" w:ascii="Times New Roman" w:hAnsi="Times New Roman"/>
          <w:bCs/>
          <w:iCs/>
          <w:color w:val="000000"/>
          <w:sz w:val="24"/>
          <w:szCs w:val="24"/>
        </w:rPr>
        <w:t>8</w:t>
      </w:r>
      <w:r>
        <w:rPr>
          <w:rFonts w:cs="Times New Roman" w:ascii="Times New Roman" w:hAnsi="Times New Roman"/>
          <w:bCs/>
          <w:iCs/>
          <w:color w:val="000000"/>
          <w:sz w:val="24"/>
          <w:szCs w:val="24"/>
        </w:rPr>
        <w:t xml:space="preserve"> Таблицы 1):</w:t>
      </w:r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ОКПД2 28.22.19 Поставка запасных частей для подъёмных сооружений Саратовской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eastAsia="en-US"/>
        </w:rPr>
        <w:t xml:space="preserve"> ГЭС</w:t>
      </w:r>
    </w:p>
    <w:tbl>
      <w:tblPr>
        <w:tblW w:w="15398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HBand="0" w:noVBand="0" w:firstColumn="0" w:lastRow="0" w:lastColumn="0" w:firstRow="0"/>
      </w:tblPr>
      <w:tblGrid>
        <w:gridCol w:w="1016"/>
        <w:gridCol w:w="4644"/>
        <w:gridCol w:w="4541"/>
        <w:gridCol w:w="2693"/>
        <w:gridCol w:w="2504"/>
      </w:tblGrid>
      <w:tr>
        <w:trPr/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158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Основные требования к техническим и функциональным характеристикам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8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Муфта зубчатая МЗ-5, схема сборки Н-К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Чертёж НС1-390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Втулка зубчатая МЗ5-К90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Чертёж НС3-2713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Втулка зубчатая МЗ5-Н65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Чертёж НС3-2936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.1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Обойма зубчатая МЗ5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Чертёж НС2-983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Обойма зубчатая МЗ5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Чертёж НС2-984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1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Крышка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Чертёж НС4-2870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Прокладка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Чертёж НС4-292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en-US" w:eastAsia="ru-RU"/>
              </w:rPr>
              <w:t>1.2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Зубчатое колесо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Чертеж 2 - 79737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en-US" w:eastAsia="ru-RU"/>
              </w:rPr>
              <w:t>1.3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Шестерня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Чертеж 3 - 141297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1.4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Щека клиновых захватов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Чертеж 3-141825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en-US" w:eastAsia="ru-RU"/>
              </w:rPr>
              <w:t>1.5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Муфта зубчатая МЗ-4, схема сборки Н-Н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Чертеж НС1 - 395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Крышка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Чертеж НС4 - 2891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Втулка зубчатая МЗ-4 Н50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Чертеж НС3-2339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Втулка зубчатая МЗ4-Н60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Чертеж НС3 - 2937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Обойма зубчатая МЗ-4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Чертеж НС2 - 931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Обойма зубчатая МЗ-4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Чертеж НС2 - 932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60" w:hanging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  <w:t>1.5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Прокладка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Чертеж НС4 - 290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Цилиндр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Чертеж 276780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/>
              </w:rPr>
              <w:t>1.7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Тормоз ТКГ-300 в сборе с гидротолкателем ТЭ-30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Диаметр тормозного шкива, мм - 300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Усилие подъёма, N - 300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Ход штока, мм - 32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Напряжение питающей сети, В - 380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4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</w:rPr>
              <w:t>Тормоз ТКГ-200 в сборе с гидротолкателем ТЭ-30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Диаметр тормозного шкива, мм - 200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Усилие подъёма, N - 300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Ход штока, мм - 32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Напряжение питающей сети, В - 380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x-none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.1.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РФ, 413840, Саратовская обл., г. Балаково, территория филиала ПАО «РусГидро»-«Саратовская ГЭС».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x-none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.2.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Требования к условиям транспортировки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Обеспечение сохранности проектных параметров продукции, упаковки (тары).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Поставка производится на склад Грузополучателя в г. Балаково в рабочие дни с 8-00 до 12-00 и с 13-00 до 16-00 (по местному времени).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284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Информация о транспорте, на котором осуществляется доставка Продукции, для оформления допуска на территорию Филиала ПАО «РусГидро» - «Саратовская ГЭС» предоставляется Поставщиком Покупателю не позднее </w:t>
            </w:r>
            <w:r>
              <w:rPr>
                <w:bCs/>
                <w:sz w:val="24"/>
                <w:szCs w:val="24"/>
                <w:lang w:eastAsia="en-US"/>
              </w:rPr>
              <w:t>чем за 2 рабочих дня, предшествующих дню поставки.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</w:t>
            </w:r>
            <w:r>
              <w:rPr>
                <w:sz w:val="24"/>
                <w:szCs w:val="24"/>
                <w:lang w:eastAsia="x-none"/>
              </w:rPr>
              <w:t>.3.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 каждой упаковке полное наименование продукции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2</w:t>
            </w:r>
            <w:r>
              <w:rPr>
                <w:sz w:val="24"/>
                <w:szCs w:val="24"/>
                <w:lang w:eastAsia="x-none"/>
              </w:rPr>
              <w:t>.4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Приемка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Соответствие продукции и представленных документов договору и техническим требованиям в полном соответствии с конструкторской документацией (чертежам).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Наличие документов, удостоверяющие качество продукции согласно   настоящего ТТ.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 w:eastAsia="x-non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 w:eastAsia="x-none"/>
              </w:rPr>
              <w:t>3</w:t>
            </w:r>
          </w:p>
        </w:tc>
        <w:tc>
          <w:tcPr>
            <w:tcW w:w="9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</w:t>
            </w:r>
            <w:r>
              <w:rPr>
                <w:sz w:val="24"/>
                <w:szCs w:val="24"/>
                <w:lang w:eastAsia="x-none"/>
              </w:rPr>
              <w:t>.1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Г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арантия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36 (тридцать шесть) месяцев, исчисляемые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 w:eastAsia="x-none"/>
              </w:rPr>
              <w:t>4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9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x-none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.1.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Документы о качестве продукции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Документы, предоставляемые при поставке продукции (на русском языке):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паспорт (сертификат) на каждое наименование продукции, с указанием в нем кол-ва продукции, соответствия нормативным показателям, даты изготовления, отметками о проверке ОТК;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10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копии сертификатов на применяемые материалы и составные части продукции;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гарантийный талон или другой документ, выполнение требований которого является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условием выполнения гарантийных обязательств производителя или Поставщика, иные документы подтверждающие качество.</w:t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val="en-US" w:eastAsia="x-none"/>
              </w:rPr>
              <w:t>5</w:t>
            </w:r>
            <w:r>
              <w:rPr>
                <w:b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Прочие требования к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x-none"/>
              </w:rPr>
              <w:t>5</w:t>
            </w:r>
            <w:r>
              <w:rPr>
                <w:sz w:val="24"/>
                <w:szCs w:val="24"/>
                <w:lang w:eastAsia="x-none"/>
              </w:rPr>
              <w:t>.1.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Продукция должна быть изготовлена и поставлена в объёме спецификаций к сборочным чертежам.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Продукция должна соответствовать обязательным требованиям, установленным нормативными документами, действующими в РФ, а также параметрам и требованиям конструкторской документации.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Для изготовления Продукции Заказчик предоставляет Поставщику чертежи согласно Приложения №1 к Техническим требованиям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5321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Поставщик обязан безусловно: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76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использовать Чертежи исключительно для целей, для которых они были предоставлены;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76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 разглашать, не обсуждать содержание, не предоставлять копий, не публиковать и не раскрывать в какой-либо иной форме третьим лицам информацию, содержащуюся в Чертежах без получения предварительного письменного согласия Покупателя, если иное не предусмотрено законодательством Российской Федерации;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76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 осуществлять действий (бездействия), результатом которых может быть несанкционированная передача Чертежей или содержащейся в них информации третьим лицам;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76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 разглашать третьим лицам факта передачи или получения Чертежей;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76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раскрывать Информацию, содержащуюся в Чертежах только своим работникам, акционерам, членам Совета Директоров и аудиторам только в случае служебной необходимости в объеме, требуемом для исполнения Договора, оставаясь ответственным за действия таких лиц, как за свои собственные;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276" w:leader="none"/>
              </w:tabs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Поставщик, нарушивший данные условия, возмещает Покупателю все понесенные расходы и убытки, вызванные таким нарушением, в течение 10 (десяти) дней с даты получения соответствующего требования.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_RefHeading___Toc5344_646910711"/>
      <w:bookmarkStart w:id="17" w:name="_Toc200371576"/>
      <w:bookmarkEnd w:id="16"/>
      <w:r>
        <w:rPr>
          <w:rFonts w:cs="Times New Roman" w:ascii="Times New Roman" w:hAnsi="Times New Roman"/>
          <w:i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    Требования к документации по ценообразованию на этапе закупки</w:t>
      </w:r>
      <w:bookmarkEnd w:id="17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и в соответствии с требованиями таблицы 3.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_RefHeading___Toc5346_646910711"/>
      <w:bookmarkStart w:id="19" w:name="_Toc200371577"/>
      <w:bookmarkEnd w:id="18"/>
      <w:r>
        <w:rPr>
          <w:rFonts w:cs="Times New Roman" w:ascii="Times New Roman" w:hAnsi="Times New Roman"/>
          <w:sz w:val="24"/>
          <w:szCs w:val="24"/>
        </w:rPr>
        <w:t>4.    Приложения:</w:t>
      </w:r>
      <w:bookmarkEnd w:id="19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Чертежи: </w:t>
      </w:r>
      <w:r>
        <w:rPr>
          <w:rFonts w:cs="Times New Roman" w:ascii="Times New Roman" w:hAnsi="Times New Roman"/>
          <w:bCs/>
          <w:iCs/>
          <w:sz w:val="24"/>
          <w:szCs w:val="24"/>
          <w:shd w:fill="auto" w:val="clear"/>
        </w:rPr>
        <w:t>НС1-390, НС3-2713, НС3-2936, НС2-983, НС2-984, НС4-2870, НС4-292, 2-79737, 3-141297, 3-141825, НС1-395, НС4-2891, НС3-2339, НС3-2937, НС2-931, НС2-932, НС4-290, 276780/</w:t>
      </w:r>
    </w:p>
    <w:p>
      <w:pPr>
        <w:pStyle w:val="Normal"/>
        <w:spacing w:before="0" w:after="200"/>
        <w:rPr>
          <w:highlight w:val="none"/>
          <w:shd w:fill="auto" w:val="clear"/>
        </w:rPr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720" w:right="720" w:gutter="0" w:header="680" w:top="737" w:footer="0" w:bottom="720"/>
      <w:pgNumType w:fmt="decimal"/>
      <w:formProt w:val="false"/>
      <w:titlePg/>
      <w:textDirection w:val="lrTb"/>
      <w:docGrid w:type="default" w:linePitch="381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t>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 w:val="false"/>
      <w:numPr>
        <w:ilvl w:val="1"/>
        <w:numId w:val="1"/>
      </w:numPr>
      <w:spacing w:before="200" w:after="0"/>
      <w:ind w:left="1788" w:hanging="720"/>
      <w:outlineLvl w:val="1"/>
    </w:pPr>
    <w:rPr>
      <w:rFonts w:ascii="Cambria" w:hAnsi="Cambria" w:eastAsia="Calibri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BodyText"/>
    <w:qFormat/>
    <w:pPr>
      <w:widowControl w:val="false"/>
      <w:numPr>
        <w:ilvl w:val="2"/>
        <w:numId w:val="1"/>
      </w:numPr>
      <w:spacing w:lineRule="atLeast" w:line="100" w:before="200" w:after="0"/>
      <w:ind w:left="2148" w:hanging="720"/>
      <w:outlineLvl w:val="2"/>
    </w:pPr>
    <w:rPr>
      <w:rFonts w:ascii="Times New Roman" w:hAnsi="Times New Roman" w:eastAsia="Calibri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OpenSymbol" w:hAnsi="OpenSymbol" w:eastAsia="Times New Roman"/>
    </w:rPr>
  </w:style>
  <w:style w:type="character" w:styleId="WW8Num2z0" w:customStyle="1">
    <w:name w:val="WW8Num2z0"/>
    <w:qFormat/>
    <w:rPr>
      <w:b/>
    </w:rPr>
  </w:style>
  <w:style w:type="character" w:styleId="WW8Num3z2" w:customStyle="1">
    <w:name w:val="WW8Num3z2"/>
    <w:qFormat/>
    <w:rPr>
      <w:b w:val="false"/>
      <w:bCs w:val="false"/>
    </w:rPr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rFonts w:cs="Times New Roman"/>
    </w:rPr>
  </w:style>
  <w:style w:type="character" w:styleId="WW8Num8z0" w:customStyle="1">
    <w:name w:val="WW8Num8z0"/>
    <w:qFormat/>
    <w:rPr>
      <w:b/>
      <w:bCs w:val="false"/>
      <w:sz w:val="24"/>
      <w:szCs w:val="24"/>
    </w:rPr>
  </w:style>
  <w:style w:type="character" w:styleId="WW8Num8z1" w:customStyle="1">
    <w:name w:val="WW8Num8z1"/>
    <w:qFormat/>
    <w:rPr>
      <w:b w:val="false"/>
      <w:bCs/>
      <w:sz w:val="24"/>
      <w:szCs w:val="24"/>
    </w:rPr>
  </w:style>
  <w:style w:type="character" w:styleId="WW8Num8z2" w:customStyle="1">
    <w:name w:val="WW8Num8z2"/>
    <w:qFormat/>
    <w:rPr>
      <w:sz w:val="24"/>
      <w:szCs w:val="24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cs="Times New Roman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rFonts w:cs="Times New Roman"/>
    </w:rPr>
  </w:style>
  <w:style w:type="character" w:styleId="WW8Num14z0" w:customStyle="1">
    <w:name w:val="WW8Num14z0"/>
    <w:qFormat/>
    <w:rPr>
      <w:rFonts w:cs="Times New Roman"/>
    </w:rPr>
  </w:style>
  <w:style w:type="character" w:styleId="WW8Num16z0" w:customStyle="1">
    <w:name w:val="WW8Num16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6z1" w:customStyle="1">
    <w:name w:val="WW8Num16z1"/>
    <w:qFormat/>
    <w:rPr>
      <w:b/>
      <w:bCs/>
      <w:i w:val="false"/>
      <w:iCs/>
      <w:sz w:val="24"/>
      <w:szCs w:val="24"/>
    </w:rPr>
  </w:style>
  <w:style w:type="character" w:styleId="WW8Num16z2" w:customStyle="1">
    <w:name w:val="WW8Num16z2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2" w:customStyle="1">
    <w:name w:val="Заголовок 2 Знак"/>
    <w:qFormat/>
    <w:rPr>
      <w:rFonts w:ascii="Cambria" w:hAnsi="Cambria" w:eastAsia="Calibri" w:cs="Cambria"/>
      <w:b/>
      <w:bCs/>
      <w:color w:val="4F81BD"/>
      <w:sz w:val="28"/>
      <w:szCs w:val="26"/>
      <w:lang w:val="ru-RU" w:bidi="ar-SA"/>
    </w:rPr>
  </w:style>
  <w:style w:type="character" w:styleId="3" w:customStyle="1">
    <w:name w:val="Заголовок 3 Знак"/>
    <w:qFormat/>
    <w:rPr>
      <w:rFonts w:eastAsia="Calibri"/>
      <w:b/>
      <w:bCs/>
      <w:color w:val="3366FF"/>
      <w:sz w:val="28"/>
      <w:lang w:val="ru-RU" w:bidi="ar-SA"/>
    </w:rPr>
  </w:style>
  <w:style w:type="character" w:styleId="Style5" w:customStyle="1">
    <w:name w:val="Основной текст_"/>
    <w:qFormat/>
    <w:rPr>
      <w:sz w:val="28"/>
      <w:shd w:fill="FFFFFF" w:val="clear"/>
      <w:lang w:bidi="ar-SA"/>
    </w:rPr>
  </w:style>
  <w:style w:type="character" w:styleId="Style6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u w:val="none"/>
      <w:vertAlign w:val="baseline"/>
      <w:lang w:val="ru-RU"/>
    </w:rPr>
  </w:style>
  <w:style w:type="character" w:styleId="Hyperlink">
    <w:name w:val="Hyperlink"/>
    <w:rPr>
      <w:color w:val="339999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21" w:customStyle="1">
    <w:name w:val="Основной текст (2)_"/>
    <w:qFormat/>
    <w:rPr>
      <w:lang w:bidi="ar-SA"/>
    </w:rPr>
  </w:style>
  <w:style w:type="character" w:styleId="1" w:customStyle="1">
    <w:name w:val="Заголовок №1_"/>
    <w:qFormat/>
    <w:rPr>
      <w:b/>
      <w:bCs/>
      <w:sz w:val="23"/>
      <w:szCs w:val="23"/>
      <w:lang w:bidi="ar-SA"/>
    </w:rPr>
  </w:style>
  <w:style w:type="character" w:styleId="11" w:customStyle="1">
    <w:name w:val="Заголовок №1 + Не полужирный"/>
    <w:basedOn w:val="1"/>
    <w:qFormat/>
    <w:rPr>
      <w:b/>
      <w:bCs/>
      <w:sz w:val="23"/>
      <w:szCs w:val="23"/>
      <w:lang w:bidi="ar-SA"/>
    </w:rPr>
  </w:style>
  <w:style w:type="character" w:styleId="Style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qFormat/>
    <w:rPr>
      <w:rFonts w:ascii="Calibri" w:hAnsi="Calibri" w:cs="Calibri"/>
    </w:rPr>
  </w:style>
  <w:style w:type="character" w:styleId="Style9" w:customStyle="1">
    <w:name w:val="Тема примечания Знак"/>
    <w:qFormat/>
    <w:rPr>
      <w:rFonts w:ascii="Calibri" w:hAnsi="Calibri" w:cs="Calibri"/>
      <w:b/>
      <w:bCs/>
    </w:rPr>
  </w:style>
  <w:style w:type="character" w:styleId="4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10" w:customStyle="1">
    <w:name w:val="Ссылка указателя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Calibri" w:cs="Times New Roman"/>
    </w:rPr>
  </w:style>
  <w:style w:type="paragraph" w:styleId="12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0"/>
      <w:shd w:fill="FFFFFF" w:val="clear"/>
      <w:lang w:eastAsia="ru-RU"/>
    </w:rPr>
  </w:style>
  <w:style w:type="paragraph" w:styleId="22" w:customStyle="1">
    <w:name w:val="Основной текст (2)"/>
    <w:basedOn w:val="Normal"/>
    <w:qFormat/>
    <w:pPr>
      <w:shd w:val="clear" w:color="auto" w:fill="FFFFFF"/>
      <w:spacing w:lineRule="atLeast" w:line="240" w:before="0" w:after="0"/>
    </w:pPr>
    <w:rPr>
      <w:rFonts w:ascii="Times New Roman" w:hAnsi="Times New Roman" w:cs="Times New Roman"/>
      <w:sz w:val="20"/>
      <w:szCs w:val="20"/>
      <w:lang w:eastAsia="ru-RU"/>
    </w:rPr>
  </w:style>
  <w:style w:type="paragraph" w:styleId="13" w:customStyle="1">
    <w:name w:val="Заголовок №1"/>
    <w:basedOn w:val="Normal"/>
    <w:qFormat/>
    <w:pPr>
      <w:shd w:val="clear" w:color="auto" w:fill="FFFFFF"/>
      <w:spacing w:lineRule="exact" w:line="274" w:before="0" w:after="0"/>
      <w:outlineLvl w:val="0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lineRule="auto" w:line="240" w:before="120" w:after="0"/>
      <w:ind w:right="-567" w:hanging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TOC3">
    <w:name w:val="TOC 3"/>
    <w:basedOn w:val="Normal"/>
    <w:next w:val="Normal"/>
    <w:pPr>
      <w:tabs>
        <w:tab w:val="clear" w:pos="720"/>
        <w:tab w:val="left" w:pos="1120" w:leader="none"/>
        <w:tab w:val="right" w:pos="9911" w:leader="dot"/>
      </w:tabs>
      <w:spacing w:lineRule="auto" w:line="240" w:before="0" w:after="0"/>
      <w:ind w:left="280" w:firstLine="287"/>
    </w:pPr>
    <w:rPr>
      <w:rFonts w:ascii="Times New Roman" w:hAnsi="Times New Roman" w:cs="Times New Roman"/>
      <w:sz w:val="20"/>
      <w:szCs w:val="20"/>
      <w:lang w:eastAsia="ru-RU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dot"/>
      </w:tabs>
      <w:spacing w:lineRule="auto" w:line="240" w:before="0" w:after="0"/>
      <w:ind w:left="560" w:hanging="0"/>
    </w:pPr>
    <w:rPr>
      <w:rFonts w:ascii="Times New Roman" w:hAnsi="Times New Roman" w:cs="Times New Roman"/>
      <w:iCs/>
      <w:sz w:val="20"/>
      <w:szCs w:val="20"/>
      <w:lang w:eastAsia="ru-RU"/>
    </w:rPr>
  </w:style>
  <w:style w:type="paragraph" w:styleId="TOC2">
    <w:name w:val="TOC 2"/>
    <w:basedOn w:val="Normal"/>
    <w:next w:val="Normal"/>
    <w:pPr>
      <w:ind w:left="220" w:hanging="0"/>
    </w:pPr>
    <w:rPr/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31" w:customStyle="1">
    <w:name w:val="Абзац списка3"/>
    <w:basedOn w:val="Normal"/>
    <w:qFormat/>
    <w:pPr>
      <w:spacing w:before="0" w:after="200"/>
      <w:ind w:left="720" w:hanging="0"/>
      <w:contextualSpacing/>
    </w:pPr>
    <w:rPr>
      <w:lang w:eastAsia="en-US"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uppressAutoHyphens w:val="false"/>
      <w:overflowPunct w:val="false"/>
      <w:spacing w:lineRule="auto" w:line="259" w:before="240" w:after="0"/>
      <w:outlineLvl w:val="9"/>
    </w:pPr>
    <w:rPr>
      <w:rFonts w:ascii="Calibri Light" w:hAnsi="Calibri Light" w:eastAsia="Arial Unicode MS" w:cs="Arial Unicode MS"/>
      <w:b w:val="false"/>
      <w:bCs w:val="false"/>
      <w:color w:val="2E74B5"/>
      <w:kern w:val="0"/>
      <w:lang w:eastAsia="ru-RU"/>
    </w:rPr>
  </w:style>
  <w:style w:type="paragraph" w:styleId="Style16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AlterOffice/3.4.0.9$Linux_X86_64 LibreOffice_project/b8daf9e823b1a5463a2f48435ddc2e8696e7d4fc</Application>
  <AppVersion>15.0000</AppVersion>
  <Pages>9</Pages>
  <Words>1162</Words>
  <Characters>7833</Characters>
  <CharactersWithSpaces>8869</CharactersWithSpaces>
  <Paragraphs>207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2025-10-29T08:43:00Z</dcterms:created>
  <dc:creator>Карандашев Сергей</dc:creator>
  <dc:description/>
  <dc:language>ru-RU</dc:language>
  <cp:lastModifiedBy>lipatovva@corp.gidroogk.com</cp:lastModifiedBy>
  <cp:lastPrinted>2025-08-28T08:18:00Z</cp:lastPrinted>
  <dcterms:modified xsi:type="dcterms:W3CDTF">2026-06-03T06:50:12Z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