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_rels/footnotes.xml.rels" ContentType="application/vnd.openxmlformats-package.relationships+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lang w:eastAsia="en-US"/>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конкурентной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tabs>
          <w:tab w:val="clear" w:pos="709"/>
          <w:tab w:val="left" w:pos="0" w:leader="none"/>
        </w:tabs>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pPr>
        <w:pStyle w:val="Normal"/>
        <w:ind w:firstLine="709"/>
        <w:jc w:val="both"/>
        <w:rPr>
          <w:sz w:val="24"/>
          <w:szCs w:val="24"/>
          <w:lang w:eastAsia="en-US"/>
        </w:rPr>
      </w:pPr>
      <w:r>
        <w:rPr>
          <w:b/>
          <w:sz w:val="24"/>
          <w:szCs w:val="24"/>
          <w:lang w:eastAsia="en-US"/>
        </w:rPr>
        <w:t>«Универсальный передаточный документ (УПД)»</w:t>
      </w:r>
      <w:r>
        <w:rPr>
          <w:sz w:val="24"/>
          <w:szCs w:val="24"/>
          <w:lang w:eastAsia="en-US"/>
        </w:rPr>
        <w:t xml:space="preserve"> –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sz w:val="24"/>
          <w:szCs w:val="24"/>
          <w:lang w:eastAsia="en-US"/>
        </w:rPr>
        <w:t>запасные части электротехнического оборудования для пополнения аварийного запаса</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rFonts w:eastAsia="Calibri"/>
          <w:sz w:val="24"/>
          <w:szCs w:val="24"/>
        </w:rPr>
        <w:t>филиала ПАО «РусГидро»-«Загорская ГАЭС».</w:t>
      </w:r>
    </w:p>
    <w:p>
      <w:pPr>
        <w:pStyle w:val="Normal"/>
        <w:numPr>
          <w:ilvl w:val="1"/>
          <w:numId w:val="2"/>
        </w:numPr>
        <w:shd w:val="clear" w:color="auto" w:fill="FFFFFF"/>
        <w:tabs>
          <w:tab w:val="clear" w:pos="709"/>
          <w:tab w:val="left" w:pos="0" w:leader="none"/>
          <w:tab w:val="left" w:pos="1134" w:leader="none"/>
          <w:tab w:val="left" w:pos="1855" w:leader="none"/>
        </w:tabs>
        <w:ind w:left="0" w:firstLine="709"/>
        <w:jc w:val="both"/>
        <w:rPr>
          <w:bCs/>
          <w:sz w:val="24"/>
          <w:szCs w:val="24"/>
        </w:rPr>
      </w:pPr>
      <w:r>
        <w:rPr>
          <w:bCs/>
          <w:sz w:val="24"/>
          <w:szCs w:val="24"/>
        </w:rPr>
        <w:t xml:space="preserve">Место поставки Товара: </w:t>
      </w:r>
      <w:r>
        <w:rPr>
          <w:bCs/>
          <w:color w:val="000000"/>
          <w:sz w:val="24"/>
          <w:szCs w:val="24"/>
        </w:rPr>
        <w:t>141342, Московская обл., Сергиево-Посадский г.о., пгт. Богородское, д. 100</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sz w:val="24"/>
          <w:szCs w:val="24"/>
        </w:rPr>
        <w:t>2 месяца с даты подписания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Окончание – 1</w:t>
      </w:r>
      <w:r>
        <w:rPr>
          <w:sz w:val="24"/>
          <w:szCs w:val="24"/>
        </w:rPr>
        <w:t>2 месяцев с даты подписания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Сроки поставки Товара (партий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Авансовые платежи за каждую партию Товара в размере 30 (тридцати) процентов от стоимости соответствующей партии Товара выплачиваются Поставщику и получения Покупателем уведомления от Поставщика о начале изготовления партии Товара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начала изготовления</w:t>
      </w:r>
      <w:r>
        <w:rPr>
          <w:sz w:val="24"/>
          <w:szCs w:val="24"/>
          <w:vertAlign w:val="superscript"/>
        </w:rPr>
        <w:t xml:space="preserve"> </w:t>
      </w:r>
      <w:r>
        <w:rPr>
          <w:sz w:val="24"/>
          <w:szCs w:val="24"/>
        </w:rPr>
        <w:t>партии Товара, и с учетом пунктов 2.4.1, 2.4.4 Договора.</w:t>
      </w:r>
    </w:p>
    <w:p>
      <w:pPr>
        <w:pStyle w:val="ListParagraph"/>
        <w:numPr>
          <w:ilvl w:val="2"/>
          <w:numId w:val="2"/>
        </w:numPr>
        <w:shd w:val="clear" w:color="auto" w:fill="FFFFFF"/>
        <w:tabs>
          <w:tab w:val="clear" w:pos="709"/>
          <w:tab w:val="left" w:pos="1418" w:leader="none"/>
        </w:tabs>
        <w:ind w:left="0" w:firstLine="709"/>
        <w:jc w:val="both"/>
        <w:rPr>
          <w:sz w:val="24"/>
          <w:szCs w:val="24"/>
        </w:rPr>
      </w:pPr>
      <w:r>
        <w:rPr>
          <w:sz w:val="24"/>
          <w:szCs w:val="24"/>
        </w:rPr>
        <w:t>Последующие платежи в размере 70 % (семидесяти процентов) от стоимости партии Товара выплачиваются Поставщику в течение 7 (семи) рабочих дней</w:t>
      </w:r>
      <w:r>
        <w:rPr>
          <w:sz w:val="24"/>
          <w:szCs w:val="24"/>
          <w:vertAlign w:val="superscript"/>
        </w:rPr>
        <w:t xml:space="preserve"> </w:t>
      </w:r>
      <w:r>
        <w:rPr>
          <w:sz w:val="24"/>
          <w:szCs w:val="24"/>
        </w:rPr>
        <w:t>с даты подписания Сторонами накладной ТОРГ-12 / 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142" w:leader="none"/>
          <w:tab w:val="left" w:pos="716" w:leader="none"/>
          <w:tab w:val="left" w:pos="1134" w:leader="none"/>
        </w:tabs>
        <w:ind w:left="0" w:firstLine="709"/>
        <w:jc w:val="both"/>
        <w:rPr>
          <w:sz w:val="24"/>
          <w:szCs w:val="24"/>
        </w:rPr>
      </w:pPr>
      <w:r>
        <w:rPr>
          <w:sz w:val="24"/>
          <w:szCs w:val="24"/>
        </w:rPr>
        <w:t xml:space="preserve">Поставщик обязан представить Покупателю счет-фактуру (УПД), выставленный в сроки и оформленный в порядке, установленном законодательством Российской Федерации. </w:t>
      </w:r>
    </w:p>
    <w:p>
      <w:pPr>
        <w:pStyle w:val="Normal"/>
        <w:shd w:val="clear" w:color="auto" w:fill="FFFFFF"/>
        <w:tabs>
          <w:tab w:val="clear" w:pos="709"/>
          <w:tab w:val="left" w:pos="0" w:leader="none"/>
          <w:tab w:val="left" w:pos="142" w:leader="none"/>
          <w:tab w:val="left" w:pos="716" w:leader="none"/>
          <w:tab w:val="left" w:pos="1134" w:leader="none"/>
          <w:tab w:val="left" w:pos="1851" w:leader="none"/>
        </w:tabs>
        <w:ind w:firstLine="709"/>
        <w:jc w:val="both"/>
        <w:rPr>
          <w:sz w:val="24"/>
          <w:szCs w:val="24"/>
        </w:rPr>
      </w:pPr>
      <w:r>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p>
    <w:p>
      <w:pPr>
        <w:pStyle w:val="Normal"/>
        <w:shd w:val="clear" w:color="auto" w:fill="FFFFFF"/>
        <w:tabs>
          <w:tab w:val="clear" w:pos="709"/>
          <w:tab w:val="left" w:pos="0" w:leader="none"/>
          <w:tab w:val="left" w:pos="142" w:leader="none"/>
          <w:tab w:val="left" w:pos="716" w:leader="none"/>
          <w:tab w:val="left" w:pos="1134" w:leader="none"/>
          <w:tab w:val="left" w:pos="1851" w:leader="none"/>
        </w:tabs>
        <w:ind w:firstLine="709"/>
        <w:jc w:val="both"/>
        <w:rPr>
          <w:sz w:val="24"/>
          <w:szCs w:val="24"/>
        </w:rPr>
      </w:pPr>
      <w:r>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val="clear" w:color="auto" w:fill="FFFFFF"/>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 УПД в 2 (двух)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3"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3"/>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Погрузка, доставка, </w:t>
      </w:r>
      <w:r>
        <w:rPr>
          <w:sz w:val="24"/>
          <w:szCs w:val="24"/>
        </w:rPr>
        <w:t xml:space="preserve">разгрузка и перемещение Товара (в том числе </w:t>
        <w:br/>
        <w:t>по территории Покупателя)</w:t>
      </w:r>
      <w:r>
        <w:rPr>
          <w:bCs/>
          <w:sz w:val="24"/>
          <w:szCs w:val="24"/>
        </w:rPr>
        <w:t xml:space="preserve"> осуществляется Поставщиком. Стоимость погрузки, доставки, разгрузки </w:t>
      </w:r>
      <w:r>
        <w:rPr>
          <w:sz w:val="24"/>
          <w:szCs w:val="24"/>
        </w:rPr>
        <w:t>и перемещения Товара</w:t>
      </w:r>
      <w:r>
        <w:rPr>
          <w:bCs/>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4" w:name="_Ref361396594"/>
      <w:r>
        <w:rPr>
          <w:sz w:val="24"/>
          <w:szCs w:val="24"/>
        </w:rPr>
        <w:t xml:space="preserve">Датой поставки партии Товара является дата подписания Сторонами накладной </w:t>
        <w:br/>
        <w:t>ТОРГ-12 / УПД.</w:t>
      </w:r>
      <w:bookmarkEnd w:id="4"/>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5"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5"/>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r>
        <w:rPr>
          <w:sz w:val="24"/>
          <w:szCs w:val="24"/>
          <w:lang w:val="en-US"/>
        </w:rPr>
        <w:t xml:space="preserve"> / УПД</w:t>
      </w:r>
      <w:r>
        <w:rPr>
          <w:sz w:val="24"/>
          <w:szCs w:val="24"/>
        </w:rPr>
        <w:t>.</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 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____ (______) месяцев и начинает течь с даты подписания Сторонами накладной ТОРГ-12 / 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6" w:name="OLE_LINK6"/>
      <w:bookmarkStart w:id="7" w:name="OLE_LINK5"/>
      <w:r>
        <w:rPr>
          <w:sz w:val="24"/>
          <w:szCs w:val="24"/>
        </w:rPr>
        <w:t>Покупателем в соответствии с пунктом 4.3 Договора</w:t>
      </w:r>
      <w:bookmarkEnd w:id="6"/>
      <w:bookmarkEnd w:id="7"/>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Подрядчика составляет 5 000 000 (Пять миллионов) рублей и более</w:t>
        <w:br/>
        <w:t>без учета НДС.</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val="clear" w:color="auto" w:fill="FFFFFF"/>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выплаты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w:t>
      </w:r>
      <w:r>
        <w:rPr>
          <w:rFonts w:eastAsia="Calibri"/>
          <w:bCs/>
          <w:sz w:val="24"/>
          <w:szCs w:val="24"/>
        </w:rPr>
        <w:t xml:space="preserve">0,1 (ноль целых и одна десятая) </w:t>
      </w:r>
      <w:r>
        <w:rPr>
          <w:bCs/>
          <w:sz w:val="24"/>
          <w:szCs w:val="24"/>
        </w:rPr>
        <w:t xml:space="preserve">процента от цены </w:t>
      </w:r>
      <w:r>
        <w:rPr>
          <w:rFonts w:eastAsia="Calibri"/>
          <w:bCs/>
          <w:sz w:val="24"/>
          <w:szCs w:val="24"/>
        </w:rPr>
        <w:t>Партии Товара</w:t>
      </w:r>
      <w:r>
        <w:rPr>
          <w:bCs/>
          <w:sz w:val="24"/>
          <w:szCs w:val="24"/>
        </w:rPr>
        <w:t xml:space="preserve"> за каждый день просрочки поставки Товара;</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НДС, пеней и налоговых санкций, Поставщик обязан компенсировать Покупателю сумму таких расходов</w:t>
      </w:r>
      <w:r>
        <w:rPr>
          <w:bCs/>
          <w:sz w:val="24"/>
          <w:szCs w:val="24"/>
        </w:rPr>
        <w:t>.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Покупатель вправе требовать уплаты Поставщиком неустойки в размере 0,03 (ноль целых и три сотых)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8"/>
      <w:r>
        <w:rPr>
          <w:bCs/>
          <w:sz w:val="24"/>
          <w:szCs w:val="24"/>
        </w:rPr>
        <w:t xml:space="preserve">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bookmarkStart w:id="9"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9"/>
    </w:p>
    <w:p>
      <w:pPr>
        <w:pStyle w:val="ListParagraph"/>
        <w:widowControl/>
        <w:numPr>
          <w:ilvl w:val="2"/>
          <w:numId w:val="2"/>
        </w:numPr>
        <w:shd w:val="clear" w:color="auto" w:fill="FFFFFF"/>
        <w:tabs>
          <w:tab w:val="clear" w:pos="709"/>
          <w:tab w:val="left" w:pos="0" w:leader="none"/>
          <w:tab w:val="left" w:pos="1701"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10"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10"/>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widowControl/>
        <w:shd w:val="clear" w:color="auto" w:fill="FFFFFF"/>
        <w:tabs>
          <w:tab w:val="clear" w:pos="709"/>
          <w:tab w:val="left" w:pos="0" w:leader="none"/>
          <w:tab w:val="left" w:pos="1418"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418" w:leader="none"/>
          <w:tab w:val="left" w:pos="1851"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numPr>
          <w:ilvl w:val="1"/>
          <w:numId w:val="2"/>
        </w:numPr>
        <w:tabs>
          <w:tab w:val="clear" w:pos="709"/>
        </w:tabs>
        <w:ind w:left="0" w:firstLine="709"/>
        <w:jc w:val="both"/>
        <w:rPr>
          <w:i/>
          <w:i/>
          <w:sz w:val="24"/>
          <w:szCs w:val="24"/>
        </w:rPr>
      </w:pPr>
      <w:r>
        <w:rPr>
          <w:sz w:val="24"/>
          <w:szCs w:val="24"/>
        </w:rPr>
        <w:t>Договор заключается в электронной форме с использованием программно-аппаратных средств</w:t>
      </w:r>
      <w:r>
        <w:rPr>
          <w:i/>
          <w:sz w:val="24"/>
          <w:szCs w:val="24"/>
        </w:rPr>
        <w:t xml:space="preserve"> информационной системы электронного документооборота общего пользования</w:t>
      </w:r>
      <w:r>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1"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1"/>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shd w:val="clear" w:color="auto" w:fill="FFFFFF"/>
        <w:tabs>
          <w:tab w:val="clear" w:pos="709"/>
          <w:tab w:val="left" w:pos="0" w:leader="none"/>
          <w:tab w:val="left" w:pos="1418" w:leader="none"/>
        </w:tabs>
        <w:ind w:left="0" w:firstLine="709"/>
        <w:jc w:val="both"/>
        <w:rPr>
          <w:bCs/>
          <w:sz w:val="24"/>
          <w:szCs w:val="24"/>
        </w:rPr>
      </w:pPr>
      <w:r>
        <w:rPr>
          <w:bCs/>
          <w:sz w:val="24"/>
          <w:szCs w:val="24"/>
        </w:rPr>
        <w:t>Уступка (передача)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2"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bookmarkStart w:id="13" w:name="sub_1"/>
      <w:r>
        <w:rPr>
          <w:rFonts w:eastAsia="Calibri"/>
          <w:sz w:val="24"/>
          <w:szCs w:val="24"/>
          <w:lang w:eastAsia="en-US"/>
        </w:rPr>
        <w:t>Приложение № 4 – Критерии отбора Банков-Гарантов.</w:t>
      </w:r>
      <w:bookmarkEnd w:id="13"/>
    </w:p>
    <w:p>
      <w:pPr>
        <w:pStyle w:val="Normal"/>
        <w:ind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4"/>
        <w:gridCol w:w="144"/>
        <w:gridCol w:w="4642"/>
        <w:gridCol w:w="320"/>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660049, Красноярский край, </w:t>
            </w:r>
          </w:p>
          <w:p>
            <w:pPr>
              <w:pStyle w:val="Normal"/>
              <w:widowControl w:val="false"/>
              <w:rPr>
                <w:sz w:val="24"/>
                <w:szCs w:val="24"/>
              </w:rPr>
            </w:pPr>
            <w:r>
              <w:rPr>
                <w:sz w:val="24"/>
                <w:szCs w:val="24"/>
              </w:rPr>
              <w:t>г. Красноярск, ул. Перенсона, зд. 2а, помещ.1</w:t>
            </w:r>
          </w:p>
          <w:p>
            <w:pPr>
              <w:pStyle w:val="Normal"/>
              <w:widowControl w:val="false"/>
              <w:rPr>
                <w:sz w:val="24"/>
                <w:szCs w:val="24"/>
              </w:rPr>
            </w:pPr>
            <w:r>
              <w:rPr>
                <w:sz w:val="24"/>
                <w:szCs w:val="24"/>
              </w:rPr>
              <w:t xml:space="preserve">Грузополучатель, Плательщик: </w:t>
            </w:r>
          </w:p>
          <w:p>
            <w:pPr>
              <w:pStyle w:val="Normal"/>
              <w:widowControl w:val="false"/>
              <w:rPr>
                <w:sz w:val="24"/>
                <w:szCs w:val="24"/>
              </w:rPr>
            </w:pPr>
            <w:r>
              <w:rPr>
                <w:sz w:val="24"/>
                <w:szCs w:val="24"/>
              </w:rPr>
              <w:t xml:space="preserve">Филиал ПАО «РусГидро» - «Загорская ГАЭС» </w:t>
            </w:r>
          </w:p>
          <w:p>
            <w:pPr>
              <w:pStyle w:val="Normal"/>
              <w:widowControl w:val="false"/>
              <w:rPr>
                <w:sz w:val="24"/>
                <w:szCs w:val="24"/>
              </w:rPr>
            </w:pPr>
            <w:r>
              <w:rPr>
                <w:sz w:val="24"/>
                <w:szCs w:val="24"/>
              </w:rPr>
              <w:t>Место нахождения Филиала:</w:t>
            </w:r>
          </w:p>
          <w:p>
            <w:pPr>
              <w:pStyle w:val="Normal"/>
              <w:widowControl w:val="false"/>
              <w:rPr>
                <w:sz w:val="24"/>
                <w:szCs w:val="24"/>
              </w:rPr>
            </w:pPr>
            <w:r>
              <w:rPr>
                <w:sz w:val="24"/>
                <w:szCs w:val="24"/>
              </w:rPr>
              <w:t>Россия, 141342, Московская область, Сергиево-Посадский г.о., пгт. Богородское, д. 100</w:t>
            </w:r>
          </w:p>
          <w:p>
            <w:pPr>
              <w:pStyle w:val="Normal"/>
              <w:widowControl w:val="false"/>
              <w:rPr>
                <w:sz w:val="24"/>
                <w:szCs w:val="24"/>
              </w:rPr>
            </w:pPr>
            <w:r>
              <w:rPr>
                <w:sz w:val="24"/>
                <w:szCs w:val="24"/>
              </w:rPr>
              <w:t>ИНН 2460066195 КПП 504202001</w:t>
            </w:r>
          </w:p>
          <w:p>
            <w:pPr>
              <w:pStyle w:val="Normal"/>
              <w:widowControl w:val="false"/>
              <w:rPr>
                <w:sz w:val="24"/>
                <w:szCs w:val="24"/>
              </w:rPr>
            </w:pPr>
            <w:r>
              <w:rPr>
                <w:sz w:val="24"/>
                <w:szCs w:val="24"/>
              </w:rPr>
              <w:t>Р/с 40702810200190001070</w:t>
            </w:r>
          </w:p>
          <w:p>
            <w:pPr>
              <w:pStyle w:val="Normal"/>
              <w:widowControl w:val="false"/>
              <w:rPr>
                <w:sz w:val="24"/>
                <w:szCs w:val="24"/>
              </w:rPr>
            </w:pPr>
            <w:r>
              <w:rPr>
                <w:sz w:val="24"/>
                <w:szCs w:val="24"/>
              </w:rPr>
              <w:t>Филиал Банка ВТБ (ПАО) в г. Москва</w:t>
            </w:r>
          </w:p>
          <w:p>
            <w:pPr>
              <w:pStyle w:val="Normal"/>
              <w:widowControl w:val="false"/>
              <w:rPr>
                <w:sz w:val="24"/>
                <w:szCs w:val="24"/>
              </w:rPr>
            </w:pPr>
            <w:r>
              <w:rPr>
                <w:sz w:val="24"/>
                <w:szCs w:val="24"/>
              </w:rPr>
              <w:t>К/с 30101810700000000187</w:t>
            </w:r>
          </w:p>
          <w:p>
            <w:pPr>
              <w:pStyle w:val="Normal"/>
              <w:widowControl w:val="false"/>
              <w:rPr>
                <w:sz w:val="24"/>
                <w:szCs w:val="24"/>
              </w:rPr>
            </w:pPr>
            <w:r>
              <w:rPr>
                <w:sz w:val="24"/>
                <w:szCs w:val="24"/>
              </w:rPr>
              <w:t>БИК 044525187</w:t>
            </w:r>
          </w:p>
          <w:p>
            <w:pPr>
              <w:pStyle w:val="Normal"/>
              <w:widowControl w:val="false"/>
              <w:rPr>
                <w:sz w:val="24"/>
                <w:szCs w:val="24"/>
              </w:rPr>
            </w:pPr>
            <w:r>
              <w:rPr>
                <w:sz w:val="24"/>
                <w:szCs w:val="24"/>
              </w:rPr>
              <w:t>ОГРН 1042401810494</w:t>
            </w:r>
          </w:p>
          <w:p>
            <w:pPr>
              <w:pStyle w:val="Normal"/>
              <w:widowControl w:val="false"/>
              <w:rPr>
                <w:sz w:val="24"/>
                <w:szCs w:val="24"/>
              </w:rPr>
            </w:pPr>
            <w:r>
              <w:rPr>
                <w:sz w:val="24"/>
                <w:szCs w:val="24"/>
              </w:rPr>
              <w:t>ОКВЭД 35.11.2, ОКПО 04622553</w:t>
            </w:r>
          </w:p>
          <w:p>
            <w:pPr>
              <w:pStyle w:val="Normal"/>
              <w:widowControl w:val="false"/>
              <w:rPr>
                <w:sz w:val="24"/>
                <w:szCs w:val="24"/>
              </w:rPr>
            </w:pPr>
            <w:r>
              <w:rPr>
                <w:sz w:val="24"/>
                <w:szCs w:val="24"/>
              </w:rPr>
              <w:t xml:space="preserve">ОКАТО 46215553000 </w:t>
            </w:r>
          </w:p>
          <w:p>
            <w:pPr>
              <w:pStyle w:val="Normal"/>
              <w:widowControl w:val="false"/>
              <w:rPr>
                <w:sz w:val="24"/>
                <w:szCs w:val="24"/>
              </w:rPr>
            </w:pPr>
            <w:r>
              <w:rPr>
                <w:sz w:val="24"/>
                <w:szCs w:val="24"/>
              </w:rPr>
              <w:t>ОКОПФ 30002 ОКОГУ 4210014</w:t>
            </w:r>
          </w:p>
          <w:p>
            <w:pPr>
              <w:pStyle w:val="Normal"/>
              <w:widowControl w:val="false"/>
              <w:rPr>
                <w:sz w:val="24"/>
                <w:szCs w:val="24"/>
              </w:rPr>
            </w:pPr>
            <w:r>
              <w:rPr>
                <w:sz w:val="24"/>
                <w:szCs w:val="24"/>
              </w:rPr>
              <w:t>Тел. (496) 554-75-00</w:t>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20"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8"/>
        <w:gridCol w:w="387"/>
        <w:gridCol w:w="602"/>
        <w:gridCol w:w="611"/>
        <w:gridCol w:w="612"/>
        <w:gridCol w:w="771"/>
        <w:gridCol w:w="730"/>
        <w:gridCol w:w="618"/>
        <w:gridCol w:w="731"/>
        <w:gridCol w:w="689"/>
        <w:gridCol w:w="514"/>
        <w:gridCol w:w="644"/>
        <w:gridCol w:w="551"/>
        <w:gridCol w:w="514"/>
        <w:gridCol w:w="715"/>
        <w:gridCol w:w="487"/>
      </w:tblGrid>
      <w:tr>
        <w:trPr>
          <w:trHeight w:val="526" w:hRule="atLeast"/>
        </w:trPr>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4"/>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1</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партии Товара №1,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2</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партии Товара №2,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всего Товара (с учетом доставки),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z w:val="24"/>
          <w:szCs w:val="24"/>
        </w:rPr>
      </w:pPr>
      <w:r>
        <w:rPr>
          <w:i/>
          <w:sz w:val="24"/>
          <w:szCs w:val="24"/>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p>
    <w:p>
      <w:pPr>
        <w:pStyle w:val="Normal"/>
        <w:rPr/>
      </w:pPr>
      <w:r>
        <w:rPr/>
        <w:t>__________ /__________</w:t>
        <w:tab/>
        <w:t xml:space="preserve">                                                         ___________ /___________</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sz w:val="24"/>
          <w:szCs w:val="24"/>
        </w:rPr>
      </w:pPr>
      <w:r>
        <w:rPr>
          <w:sz w:val="24"/>
          <w:szCs w:val="24"/>
        </w:rPr>
      </w:r>
    </w:p>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pP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suppressAutoHyphens w:val="true"/>
        <w:ind w:right="96" w:firstLine="5103"/>
        <w:rPr>
          <w:sz w:val="22"/>
          <w:szCs w:val="22"/>
        </w:rPr>
      </w:pPr>
      <w:r>
        <w:rPr>
          <w:sz w:val="22"/>
          <w:szCs w:val="22"/>
        </w:rPr>
        <w:t>Приложение № 3</w:t>
      </w:r>
    </w:p>
    <w:p>
      <w:pPr>
        <w:pStyle w:val="Normal"/>
        <w:suppressAutoHyphens w:val="true"/>
        <w:ind w:right="96" w:firstLine="5103"/>
        <w:rPr>
          <w:sz w:val="22"/>
          <w:szCs w:val="22"/>
        </w:rPr>
      </w:pPr>
      <w:r>
        <w:rPr>
          <w:sz w:val="22"/>
          <w:szCs w:val="22"/>
        </w:rPr>
        <w:t>к Договору поставки</w:t>
      </w:r>
    </w:p>
    <w:p>
      <w:pPr>
        <w:pStyle w:val="Normal"/>
        <w:suppressAutoHyphens w:val="true"/>
        <w:ind w:right="96" w:firstLine="5103"/>
        <w:rPr>
          <w:sz w:val="22"/>
          <w:szCs w:val="22"/>
        </w:rPr>
      </w:pPr>
      <w:r>
        <w:rPr>
          <w:sz w:val="22"/>
          <w:szCs w:val="22"/>
        </w:rPr>
        <w:t>от «____» __________ 20 _ г. № ____</w:t>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t xml:space="preserve">Календарный график поставки Товара </w:t>
      </w:r>
    </w:p>
    <w:p>
      <w:pPr>
        <w:pStyle w:val="Normal"/>
        <w:rPr>
          <w:sz w:val="24"/>
          <w:szCs w:val="24"/>
        </w:rPr>
      </w:pPr>
      <w:r>
        <w:rPr>
          <w:sz w:val="24"/>
          <w:szCs w:val="24"/>
        </w:rPr>
      </w:r>
    </w:p>
    <w:p>
      <w:pPr>
        <w:pStyle w:val="Normal"/>
        <w:rPr>
          <w:sz w:val="24"/>
          <w:szCs w:val="24"/>
        </w:rPr>
      </w:pPr>
      <w:r>
        <w:rPr>
          <w:sz w:val="24"/>
          <w:szCs w:val="24"/>
        </w:rPr>
        <w:t>Таблица 1. Календарный график поставки Товара</w:t>
      </w:r>
    </w:p>
    <w:p>
      <w:pPr>
        <w:pStyle w:val="Normal"/>
        <w:rPr>
          <w:sz w:val="24"/>
          <w:szCs w:val="24"/>
        </w:rPr>
      </w:pPr>
      <w:r>
        <w:rPr>
          <w:sz w:val="24"/>
          <w:szCs w:val="24"/>
        </w:rPr>
      </w:r>
    </w:p>
    <w:tbl>
      <w:tblP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6"/>
        <w:gridCol w:w="1841"/>
        <w:gridCol w:w="1843"/>
        <w:gridCol w:w="991"/>
        <w:gridCol w:w="1135"/>
        <w:gridCol w:w="991"/>
        <w:gridCol w:w="993"/>
        <w:gridCol w:w="1132"/>
      </w:tblGrid>
      <w:tr>
        <w:trPr>
          <w:trHeight w:val="230" w:hRule="atLeast"/>
        </w:trPr>
        <w:tc>
          <w:tcPr>
            <w:tcW w:w="7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 xml:space="preserve">партии </w:t>
            </w:r>
          </w:p>
        </w:tc>
        <w:tc>
          <w:tcPr>
            <w:tcW w:w="18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Товара (партии Товара)</w:t>
            </w:r>
          </w:p>
        </w:tc>
        <w:tc>
          <w:tcPr>
            <w:tcW w:w="18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Обоснование стоимости, пункт Спецификации </w:t>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t>Сроки поставки</w:t>
            </w:r>
          </w:p>
          <w:p>
            <w:pPr>
              <w:pStyle w:val="Normal"/>
              <w:widowControl w:val="false"/>
              <w:jc w:val="center"/>
              <w:rPr/>
            </w:pPr>
            <w:r>
              <w:rPr/>
              <w:t xml:space="preserve"> </w:t>
            </w:r>
          </w:p>
        </w:tc>
        <w:tc>
          <w:tcPr>
            <w:tcW w:w="99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Цена, руб.</w:t>
            </w:r>
          </w:p>
          <w:p>
            <w:pPr>
              <w:pStyle w:val="Normal"/>
              <w:widowControl w:val="false"/>
              <w:jc w:val="center"/>
              <w:rPr/>
            </w:pPr>
            <w:r>
              <w:rPr/>
              <w:t xml:space="preserve"> </w:t>
            </w:r>
            <w:r>
              <w:rPr/>
              <w:t>без НДС</w:t>
            </w:r>
          </w:p>
        </w:tc>
        <w:tc>
          <w:tcPr>
            <w:tcW w:w="99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Сумма НДС (__%), руб.</w:t>
            </w:r>
          </w:p>
        </w:tc>
        <w:tc>
          <w:tcPr>
            <w:tcW w:w="11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Стоимость партии, руб. с НДС</w:t>
            </w:r>
          </w:p>
        </w:tc>
      </w:tr>
      <w:tr>
        <w:trPr>
          <w:trHeight w:val="908" w:hRule="atLeast"/>
        </w:trPr>
        <w:tc>
          <w:tcPr>
            <w:tcW w:w="70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8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8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t xml:space="preserve">Дата начала изготовления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Дата поставки</w:t>
            </w:r>
          </w:p>
          <w:p>
            <w:pPr>
              <w:pStyle w:val="Normal"/>
              <w:widowControl w:val="false"/>
              <w:jc w:val="center"/>
              <w:rPr/>
            </w:pPr>
            <w:r>
              <w:rPr/>
            </w:r>
          </w:p>
        </w:tc>
        <w:tc>
          <w:tcPr>
            <w:tcW w:w="99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1.</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Электродвигатель типа АИР225М2-У3</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en-US"/>
              </w:rPr>
            </w:pPr>
            <w:r>
              <w:rPr>
                <w:lang w:val="en-US"/>
              </w:rPr>
              <w:t>п.1</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С даты подписания договора</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2 месяца с даты подписания договора</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2.</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Датчик плотности 490 кПа</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lang w:val="en-US"/>
              </w:rPr>
              <w:t>п.2</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С даты подписания договора</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 месяцев с даты подписания договора</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3.</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Трансформаторы тока ТШ-20 шинный с воздушной изоляцией</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lang w:val="en-US"/>
              </w:rPr>
              <w:t>п.3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С даты подписания договора</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12 месяцев с даты заключения договора</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4.</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85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right"/>
              <w:rPr>
                <w:b/>
                <w:sz w:val="24"/>
                <w:szCs w:val="24"/>
              </w:rPr>
            </w:pPr>
            <w:r>
              <w:rPr>
                <w:b/>
                <w:sz w:val="24"/>
                <w:szCs w:val="24"/>
              </w:rPr>
              <w:t>Всего по Договору:</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09"/>
          <w:tab w:val="left" w:pos="4860" w:leader="none"/>
        </w:tabs>
        <w:suppressAutoHyphens w:val="true"/>
        <w:rPr>
          <w:b/>
          <w:sz w:val="24"/>
          <w:szCs w:val="24"/>
        </w:rPr>
      </w:pPr>
      <w:r>
        <w:rPr>
          <w:b/>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10099"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5103"/>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5103"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sz w:val="24"/>
          <w:szCs w:val="24"/>
        </w:rPr>
      </w:pPr>
      <w:r>
        <w:rPr>
          <w:sz w:val="24"/>
          <w:szCs w:val="24"/>
        </w:rPr>
      </w:r>
    </w:p>
    <w:p>
      <w:pPr>
        <w:sectPr>
          <w:footnotePr>
            <w:numFmt w:val="decimal"/>
          </w:footnotePr>
          <w:type w:val="continuous"/>
          <w:pgSz w:w="11906" w:h="16838"/>
          <w:pgMar w:left="1418" w:right="851" w:gutter="0" w:header="567" w:top="1134" w:footer="709" w:bottom="1134"/>
          <w:formProt w:val="false"/>
          <w:textDirection w:val="lrTb"/>
          <w:docGrid w:type="default" w:linePitch="360" w:charSpace="8192"/>
        </w:sectPr>
      </w:pPr>
    </w:p>
    <w:p>
      <w:pPr>
        <w:pStyle w:val="Normal"/>
        <w:suppressAutoHyphens w:val="true"/>
        <w:ind w:left="5103" w:right="96" w:firstLine="5103"/>
        <w:rPr>
          <w:sz w:val="22"/>
          <w:szCs w:val="22"/>
        </w:rPr>
      </w:pPr>
      <w:r>
        <w:rPr>
          <w:sz w:val="22"/>
          <w:szCs w:val="22"/>
        </w:rPr>
        <w:t>Приложение № 4</w:t>
      </w:r>
    </w:p>
    <w:p>
      <w:pPr>
        <w:pStyle w:val="Normal"/>
        <w:suppressAutoHyphens w:val="true"/>
        <w:ind w:right="96" w:firstLine="5103"/>
        <w:rPr>
          <w:sz w:val="22"/>
          <w:szCs w:val="22"/>
        </w:rPr>
      </w:pPr>
      <w:r>
        <w:rPr>
          <w:sz w:val="22"/>
          <w:szCs w:val="22"/>
        </w:rPr>
        <w:t>к Договору поставки</w:t>
      </w:r>
    </w:p>
    <w:p>
      <w:pPr>
        <w:pStyle w:val="Normal"/>
        <w:ind w:firstLine="5103"/>
        <w:rPr>
          <w:bCs/>
          <w:sz w:val="24"/>
          <w:szCs w:val="24"/>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bCs/>
          <w:sz w:val="24"/>
          <w:szCs w:val="24"/>
          <w:vertAlign w:val="superscript"/>
        </w:rPr>
        <w:footnoteReference w:id="5"/>
      </w:r>
      <w:r>
        <w:rPr>
          <w:bCs/>
          <w:sz w:val="24"/>
          <w:szCs w:val="24"/>
        </w:rPr>
        <w:t>, а также соответствовать следующим критериям:</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16">
        <w:r>
          <w:rPr>
            <w:rStyle w:val="Hyperlink"/>
            <w:bCs/>
            <w:sz w:val="24"/>
            <w:szCs w:val="24"/>
          </w:rPr>
          <w:t>www.cbr.ru</w:t>
        </w:r>
      </w:hyperlink>
      <w:r>
        <w:rPr>
          <w:bCs/>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bCs/>
          <w:sz w:val="24"/>
          <w:szCs w:val="24"/>
          <w:vertAlign w:val="superscript"/>
        </w:rPr>
        <w:footnoteReference w:id="6"/>
      </w:r>
      <w:r>
        <w:rPr>
          <w:bCs/>
          <w:sz w:val="24"/>
          <w:szCs w:val="24"/>
        </w:rPr>
        <w:t xml:space="preserve">. </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7">
        <w:r>
          <w:rPr>
            <w:rStyle w:val="Hyperlink"/>
            <w:bCs/>
            <w:sz w:val="24"/>
            <w:szCs w:val="24"/>
          </w:rPr>
          <w:t>http://www.asv.org.ru))»</w:t>
        </w:r>
      </w:hyperlink>
      <w:r>
        <w:rPr>
          <w:bCs/>
          <w:sz w:val="24"/>
          <w:szCs w:val="24"/>
        </w:rPr>
        <w:t>.</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Не иметь просроченную задолженность перед Группой РусГидро.</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Присутствовать (иметь отделение, филиал) по месту нахождения Общества, его Филиала, для нужд которого заключается Договор</w:t>
      </w:r>
      <w:r>
        <w:rPr>
          <w:rStyle w:val="FootnoteReference"/>
          <w:bCs/>
          <w:sz w:val="24"/>
          <w:szCs w:val="24"/>
          <w:vertAlign w:val="superscript"/>
        </w:rPr>
        <w:footnoteReference w:id="7"/>
      </w:r>
      <w:r>
        <w:rPr>
          <w:bCs/>
          <w:sz w:val="24"/>
          <w:szCs w:val="24"/>
        </w:rPr>
        <w:t>.</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Критерии, установленные в пунктах 2 – 4 настоящих Критериев, не распространяются на кредитные организации:</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ВЭБ.РФ.</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i/>
          <w:sz w:val="24"/>
          <w:szCs w:val="24"/>
        </w:rPr>
        <w:t>LimAi</w:t>
      </w:r>
      <w:r>
        <w:rPr>
          <w:bCs/>
          <w:sz w:val="24"/>
          <w:szCs w:val="24"/>
        </w:rPr>
        <w:t xml:space="preserve">  = </w:t>
      </w:r>
      <w:r>
        <w:rPr>
          <w:bCs/>
          <w:i/>
          <w:sz w:val="24"/>
          <w:szCs w:val="24"/>
        </w:rPr>
        <w:t xml:space="preserve">ri </w:t>
      </w:r>
      <w:r>
        <w:rPr>
          <w:bCs/>
          <w:sz w:val="24"/>
          <w:szCs w:val="24"/>
        </w:rPr>
        <w:t xml:space="preserve">×  </w:t>
      </w:r>
      <w:r>
        <w:rPr>
          <w:bCs/>
          <w:i/>
          <w:sz w:val="24"/>
          <w:szCs w:val="24"/>
        </w:rPr>
        <w:t>СKi</w:t>
      </w:r>
      <w:r>
        <w:rPr>
          <w:bCs/>
          <w:sz w:val="24"/>
          <w:szCs w:val="24"/>
        </w:rPr>
        <w:t>, где</w:t>
      </w:r>
    </w:p>
    <w:tbl>
      <w:tblPr>
        <w:tblW w:w="992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283"/>
        <w:gridCol w:w="534"/>
        <w:gridCol w:w="284"/>
        <w:gridCol w:w="283"/>
        <w:gridCol w:w="3541"/>
        <w:gridCol w:w="4965"/>
        <w:gridCol w:w="31"/>
      </w:tblGrid>
      <w:tr>
        <w:trPr>
          <w:trHeight w:val="426" w:hRule="atLeast"/>
        </w:trPr>
        <w:tc>
          <w:tcPr>
            <w:tcW w:w="817" w:type="dxa"/>
            <w:gridSpan w:val="2"/>
            <w:tcBorders/>
          </w:tcPr>
          <w:p>
            <w:pPr>
              <w:pStyle w:val="Normal"/>
              <w:widowControl w:val="false"/>
              <w:shd w:val="clear" w:color="auto" w:fill="FFFFFF"/>
              <w:tabs>
                <w:tab w:val="clear" w:pos="709"/>
                <w:tab w:val="left" w:pos="1418" w:leader="none"/>
              </w:tabs>
              <w:spacing w:before="0" w:after="0"/>
              <w:contextualSpacing/>
              <w:rPr>
                <w:bCs/>
                <w:sz w:val="24"/>
                <w:szCs w:val="24"/>
              </w:rPr>
            </w:pPr>
            <w:r>
              <w:rPr>
                <w:bCs/>
                <w:i/>
                <w:sz w:val="24"/>
                <w:szCs w:val="24"/>
              </w:rPr>
              <w:t>Lim</w:t>
            </w:r>
            <w:r>
              <w:rPr>
                <w:bCs/>
                <w:i/>
                <w:sz w:val="24"/>
                <w:szCs w:val="24"/>
                <w:vertAlign w:val="subscript"/>
                <w:lang w:val="en-US"/>
              </w:rPr>
              <w:t xml:space="preserve">Ai </w:t>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83"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  </w:t>
            </w:r>
          </w:p>
        </w:tc>
        <w:tc>
          <w:tcPr>
            <w:tcW w:w="8506" w:type="dxa"/>
            <w:gridSpan w:val="2"/>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Лимит риска для i-ой кредитной организации</w:t>
            </w:r>
            <w:r>
              <w:rPr>
                <w:rStyle w:val="FootnoteReference"/>
                <w:bCs/>
                <w:sz w:val="24"/>
                <w:szCs w:val="24"/>
                <w:vertAlign w:val="superscript"/>
              </w:rPr>
              <w:footnoteReference w:id="8"/>
            </w:r>
            <w:r>
              <w:rPr>
                <w:bCs/>
                <w:sz w:val="24"/>
                <w:szCs w:val="24"/>
              </w:rPr>
              <w:t xml:space="preserve">. </w:t>
            </w:r>
          </w:p>
        </w:tc>
        <w:tc>
          <w:tcPr>
            <w:tcW w:w="31" w:type="dxa"/>
            <w:tcBorders/>
          </w:tcPr>
          <w:p>
            <w:pPr>
              <w:pStyle w:val="Normal"/>
              <w:widowControl w:val="false"/>
              <w:rPr/>
            </w:pPr>
            <w:r>
              <w:rPr/>
            </w:r>
          </w:p>
        </w:tc>
      </w:tr>
      <w:tr>
        <w:trPr>
          <w:trHeight w:val="280" w:hRule="atLeast"/>
        </w:trPr>
        <w:tc>
          <w:tcPr>
            <w:tcW w:w="817" w:type="dxa"/>
            <w:gridSpan w:val="2"/>
            <w:tcBorders/>
          </w:tcPr>
          <w:p>
            <w:pPr>
              <w:pStyle w:val="Normal"/>
              <w:widowControl w:val="false"/>
              <w:shd w:val="clear" w:color="auto" w:fill="FFFFFF"/>
              <w:tabs>
                <w:tab w:val="clear" w:pos="709"/>
                <w:tab w:val="left" w:pos="1418" w:leader="none"/>
              </w:tabs>
              <w:spacing w:before="0" w:after="0"/>
              <w:contextualSpacing/>
              <w:rPr>
                <w:bCs/>
                <w:i/>
                <w:i/>
                <w:sz w:val="24"/>
                <w:szCs w:val="24"/>
                <w:vertAlign w:val="subscript"/>
              </w:rPr>
            </w:pPr>
            <w:r>
              <w:rPr>
                <w:bCs/>
                <w:i/>
                <w:sz w:val="24"/>
                <w:szCs w:val="24"/>
              </w:rPr>
              <w:t>С</w:t>
            </w:r>
            <w:r>
              <w:rPr>
                <w:bCs/>
                <w:i/>
                <w:sz w:val="24"/>
                <w:szCs w:val="24"/>
                <w:lang w:val="en-US"/>
              </w:rPr>
              <w:t>K</w:t>
            </w:r>
            <w:r>
              <w:rPr>
                <w:bCs/>
                <w:i/>
                <w:sz w:val="24"/>
                <w:szCs w:val="24"/>
                <w:vertAlign w:val="subscript"/>
                <w:lang w:val="en-US"/>
              </w:rPr>
              <w:t>i</w:t>
            </w:r>
          </w:p>
          <w:p>
            <w:pPr>
              <w:pStyle w:val="Normal"/>
              <w:widowControl w:val="false"/>
              <w:shd w:val="clear" w:color="auto" w:fill="FFFFFF"/>
              <w:tabs>
                <w:tab w:val="clear" w:pos="709"/>
                <w:tab w:val="left" w:pos="1418" w:leader="none"/>
              </w:tabs>
              <w:spacing w:before="0" w:after="0"/>
              <w:contextualSpacing/>
              <w:rPr>
                <w:bCs/>
                <w:sz w:val="24"/>
                <w:szCs w:val="24"/>
              </w:rPr>
            </w:pPr>
            <w:r>
              <w:rPr>
                <w:bCs/>
                <w:sz w:val="24"/>
                <w:szCs w:val="24"/>
              </w:rPr>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83"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  </w:t>
            </w:r>
          </w:p>
        </w:tc>
        <w:tc>
          <w:tcPr>
            <w:tcW w:w="8506" w:type="dxa"/>
            <w:gridSpan w:val="2"/>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8">
              <w:r>
                <w:rPr>
                  <w:rStyle w:val="Hyperlink"/>
                  <w:bCs/>
                  <w:sz w:val="24"/>
                  <w:szCs w:val="24"/>
                </w:rPr>
                <w:t>www.cbr.ru</w:t>
              </w:r>
            </w:hyperlink>
            <w:r>
              <w:rPr>
                <w:bCs/>
                <w:sz w:val="24"/>
                <w:szCs w:val="24"/>
              </w:rPr>
              <w:t>) по строке 000 «Расчет собственных средств (капитала) («Базель III»)», код формы 0409123;</w:t>
            </w:r>
          </w:p>
        </w:tc>
        <w:tc>
          <w:tcPr>
            <w:tcW w:w="31" w:type="dxa"/>
            <w:tcBorders/>
          </w:tcPr>
          <w:p>
            <w:pPr>
              <w:pStyle w:val="Normal"/>
              <w:widowControl w:val="false"/>
              <w:rPr/>
            </w:pPr>
            <w:r>
              <w:rPr/>
            </w:r>
          </w:p>
        </w:tc>
      </w:tr>
      <w:tr>
        <w:trPr>
          <w:trHeight w:val="993" w:hRule="atLeast"/>
        </w:trPr>
        <w:tc>
          <w:tcPr>
            <w:tcW w:w="817" w:type="dxa"/>
            <w:gridSpan w:val="2"/>
            <w:tcBorders/>
          </w:tcPr>
          <w:p>
            <w:pPr>
              <w:pStyle w:val="Normal"/>
              <w:widowControl w:val="false"/>
              <w:shd w:val="clear" w:color="auto" w:fill="FFFFFF"/>
              <w:tabs>
                <w:tab w:val="clear" w:pos="709"/>
                <w:tab w:val="left" w:pos="1418" w:leader="none"/>
              </w:tabs>
              <w:spacing w:before="0" w:after="0"/>
              <w:contextualSpacing/>
              <w:rPr>
                <w:bCs/>
                <w:i/>
                <w:i/>
                <w:sz w:val="24"/>
                <w:szCs w:val="24"/>
              </w:rPr>
            </w:pPr>
            <w:r>
              <w:rPr>
                <w:bCs/>
                <w:i/>
                <w:sz w:val="24"/>
                <w:szCs w:val="24"/>
              </w:rPr>
              <w:t>r</w:t>
            </w:r>
            <w:r>
              <w:rPr>
                <w:bCs/>
                <w:i/>
                <w:sz w:val="24"/>
                <w:szCs w:val="24"/>
                <w:vertAlign w:val="subscript"/>
              </w:rPr>
              <w:t>i</w:t>
            </w:r>
          </w:p>
        </w:tc>
        <w:tc>
          <w:tcPr>
            <w:tcW w:w="284"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83"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w:t>
            </w:r>
          </w:p>
        </w:tc>
        <w:tc>
          <w:tcPr>
            <w:tcW w:w="8506" w:type="dxa"/>
            <w:gridSpan w:val="2"/>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рейтинговый коэффициент</w:t>
            </w:r>
            <w:r>
              <w:rPr>
                <w:bCs/>
                <w:sz w:val="24"/>
                <w:szCs w:val="24"/>
                <w:vertAlign w:val="superscript"/>
              </w:rPr>
              <w:t>2</w:t>
            </w:r>
            <w:r>
              <w:rPr>
                <w:bCs/>
                <w:sz w:val="24"/>
                <w:szCs w:val="24"/>
              </w:rPr>
              <w:t xml:space="preserve"> для i-ой кредитной организации, равный:</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0,05 - если i-ая кредитная организация имеет национальный рейтинг кредитоспособности не ниже уровня «АА-» по классификации рейтингового агентства АКРА или не ниже уровня «</w:t>
            </w:r>
            <w:r>
              <w:rPr>
                <w:bCs/>
                <w:sz w:val="24"/>
                <w:szCs w:val="24"/>
                <w:lang w:val="en-US"/>
              </w:rPr>
              <w:t>ru</w:t>
            </w:r>
            <w:r>
              <w:rPr>
                <w:bCs/>
                <w:sz w:val="24"/>
                <w:szCs w:val="24"/>
              </w:rPr>
              <w:t>А</w:t>
            </w:r>
            <w:r>
              <w:rPr>
                <w:bCs/>
                <w:sz w:val="24"/>
                <w:szCs w:val="24"/>
                <w:lang w:val="en-US"/>
              </w:rPr>
              <w:t>A</w:t>
            </w:r>
            <w:r>
              <w:rPr>
                <w:bCs/>
                <w:sz w:val="24"/>
                <w:szCs w:val="24"/>
              </w:rPr>
              <w:t>-»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0,02 - если i-ая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«ruA-»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0,01 - если i-ая кредитная организация имеет национальный рейтинг кредитоспособности не ниже уровня «</w:t>
            </w:r>
            <w:r>
              <w:rPr>
                <w:bCs/>
                <w:sz w:val="24"/>
                <w:szCs w:val="24"/>
                <w:lang w:val="en-US"/>
              </w:rPr>
              <w:t>BB</w:t>
            </w:r>
            <w:r>
              <w:rPr>
                <w:bCs/>
                <w:sz w:val="24"/>
                <w:szCs w:val="24"/>
              </w:rPr>
              <w:t>+» по классификации рейтингового агентства АКРА или не ниже уровня «</w:t>
            </w:r>
            <w:r>
              <w:rPr>
                <w:bCs/>
                <w:sz w:val="24"/>
                <w:szCs w:val="24"/>
                <w:lang w:val="en-US"/>
              </w:rPr>
              <w:t>ruBB</w:t>
            </w:r>
            <w:r>
              <w:rPr>
                <w:bCs/>
                <w:sz w:val="24"/>
                <w:szCs w:val="24"/>
              </w:rPr>
              <w:t>+» по классификации рейтингового агентства Эксперт РА, а также находится в процессе финансового оздоровления (санации).</w:t>
            </w:r>
          </w:p>
        </w:tc>
        <w:tc>
          <w:tcPr>
            <w:tcW w:w="31" w:type="dxa"/>
            <w:tcBorders/>
          </w:tcPr>
          <w:p>
            <w:pPr>
              <w:pStyle w:val="Normal"/>
              <w:widowControl w:val="false"/>
              <w:rPr/>
            </w:pPr>
            <w:r>
              <w:rPr/>
            </w:r>
          </w:p>
        </w:tc>
      </w:tr>
      <w:tr>
        <w:trPr>
          <w:trHeight w:val="1380" w:hRule="atLeast"/>
        </w:trPr>
        <w:tc>
          <w:tcPr>
            <w:tcW w:w="283"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4642" w:type="dxa"/>
            <w:gridSpan w:val="4"/>
            <w:tcBorders/>
            <w:shd w:color="auto" w:fill="auto" w:val="clear"/>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Покупатель:</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_______________ / _______________ </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4996" w:type="dxa"/>
            <w:gridSpan w:val="2"/>
            <w:tcBorders/>
            <w:shd w:color="auto" w:fill="auto" w:val="clear"/>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Поставщик:</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_______________ / _______________ </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r>
    </w:tbl>
    <w:p>
      <w:pPr>
        <w:pStyle w:val="Normal"/>
        <w:suppressAutoHyphens w:val="true"/>
        <w:ind w:right="96" w:firstLine="5103"/>
        <w:rPr>
          <w:sz w:val="22"/>
          <w:szCs w:val="22"/>
        </w:rPr>
      </w:pPr>
      <w:r>
        <w:rPr>
          <w:sz w:val="22"/>
          <w:szCs w:val="22"/>
        </w:rPr>
        <w:t>Приложение № 5</w:t>
      </w:r>
    </w:p>
    <w:p>
      <w:pPr>
        <w:pStyle w:val="Normal"/>
        <w:suppressAutoHyphens w:val="true"/>
        <w:ind w:right="96" w:firstLine="5103"/>
        <w:rPr>
          <w:sz w:val="22"/>
          <w:szCs w:val="22"/>
        </w:rPr>
      </w:pPr>
      <w:r>
        <w:rPr>
          <w:sz w:val="22"/>
          <w:szCs w:val="22"/>
        </w:rPr>
        <w:t>к Договору поставки</w:t>
      </w:r>
    </w:p>
    <w:p>
      <w:pPr>
        <w:pStyle w:val="Normal"/>
        <w:ind w:firstLine="5103"/>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r>
    </w:p>
    <w:sectPr>
      <w:headerReference w:type="default" r:id="rId19"/>
      <w:footerReference w:type="default" r:id="rId20"/>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27</w:t>
    </w:r>
    <w:r>
      <w:rPr>
        <w:sz w:val="24"/>
        <w:szCs w:val="24"/>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3">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5">
    <w:p>
      <w:pPr>
        <w:pStyle w:val="FootnoteText"/>
        <w:jc w:val="both"/>
        <w:rPr>
          <w:sz w:val="22"/>
          <w:szCs w:val="22"/>
        </w:rPr>
      </w:pPr>
      <w:r>
        <w:rPr>
          <w:rStyle w:val="Style14"/>
        </w:rPr>
        <w:footnoteRef/>
      </w:r>
      <w:r>
        <w:rPr>
          <w:sz w:val="22"/>
          <w:szCs w:val="22"/>
        </w:rPr>
        <w:t xml:space="preserve"> </w:t>
      </w:r>
      <w:r>
        <w:rPr>
          <w:lang w:eastAsia="x-none"/>
        </w:rPr>
        <w:t>Актуальный Перечень Банков-Гарантов Группы РусГидро размещен на официальном сайте Общества (</w:t>
      </w:r>
      <w:hyperlink r:id="rId1">
        <w:r>
          <w:rPr>
            <w:lang w:eastAsia="x-none"/>
          </w:rPr>
          <w:t>http://zakupki.rushydro.ru/PublicContent/Section/6</w:t>
        </w:r>
      </w:hyperlink>
      <w:r>
        <w:rPr>
          <w:lang w:eastAsia="x-none"/>
        </w:rPr>
        <w:t>).</w:t>
      </w:r>
    </w:p>
  </w:footnote>
  <w:footnote w:id="6">
    <w:p>
      <w:pPr>
        <w:pStyle w:val="FootnoteText"/>
        <w:jc w:val="both"/>
        <w:rPr/>
      </w:pPr>
      <w:r>
        <w:rPr>
          <w:rStyle w:val="Style14"/>
        </w:rPr>
        <w:footnoteRef/>
      </w:r>
      <w:r>
        <w:rPr>
          <w:sz w:val="22"/>
          <w:szCs w:val="22"/>
        </w:rPr>
        <w:t xml:space="preserve"> </w:t>
      </w:r>
      <w:r>
        <w:rPr>
          <w:lang w:eastAsia="x-none"/>
        </w:rPr>
        <w:t>Е</w:t>
      </w:r>
      <w:r>
        <w:rPr>
          <w:lang w:val="x-none" w:eastAsia="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eastAsia="x-none"/>
        </w:rPr>
        <w:t xml:space="preserve"> (по данным сайта кредитной организации и / или рейтинговых агентств </w:t>
      </w:r>
      <w:r>
        <w:rPr>
          <w:lang w:val="x-none" w:eastAsia="x-none"/>
        </w:rPr>
        <w:t>и/или из информационных систем Reuters, Bloomberg, Сbonds</w:t>
      </w:r>
      <w:r>
        <w:rPr>
          <w:lang w:eastAsia="x-none"/>
        </w:rPr>
        <w:t>).</w:t>
      </w:r>
    </w:p>
  </w:footnote>
  <w:footnote w:id="7">
    <w:p>
      <w:pPr>
        <w:pStyle w:val="FootnoteText"/>
        <w:jc w:val="both"/>
        <w:rPr/>
      </w:pPr>
      <w:r>
        <w:rPr>
          <w:rStyle w:val="Style14"/>
        </w:rPr>
        <w:footnoteRef/>
      </w:r>
      <w:r>
        <w:rPr/>
        <w:t>П</w:t>
      </w:r>
      <w:r>
        <w:rPr>
          <w:lang w:eastAsia="x-none"/>
        </w:rPr>
        <w:t>ри издании ПО организационно-распорядительного документа о ТФУ д</w:t>
      </w:r>
      <w:r>
        <w:rPr>
          <w:lang w:val="x-none" w:eastAsia="x-none"/>
        </w:rPr>
        <w:t>ан</w:t>
      </w:r>
      <w:r>
        <w:rPr>
          <w:lang w:eastAsia="x-none"/>
        </w:rPr>
        <w:t>ный</w:t>
      </w:r>
      <w:r>
        <w:rPr>
          <w:lang w:val="x-none" w:eastAsia="x-none"/>
        </w:rPr>
        <w:t xml:space="preserve"> </w:t>
      </w:r>
      <w:r>
        <w:rPr>
          <w:lang w:eastAsia="x-none"/>
        </w:rPr>
        <w:t>критерий</w:t>
      </w:r>
      <w:r>
        <w:rPr>
          <w:lang w:val="x-none" w:eastAsia="x-none"/>
        </w:rPr>
        <w:t xml:space="preserve"> может быть исключен</w:t>
      </w:r>
      <w:r>
        <w:rPr>
          <w:i/>
          <w:lang w:val="x-none"/>
        </w:rPr>
        <w:t>.</w:t>
      </w:r>
    </w:p>
  </w:footnote>
  <w:footnote w:id="8">
    <w:p>
      <w:pPr>
        <w:pStyle w:val="FootnoteText"/>
        <w:jc w:val="both"/>
        <w:rPr/>
      </w:pPr>
      <w:r>
        <w:rPr>
          <w:rStyle w:val="Style14"/>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rPr>
    </w:pPr>
    <w:r>
      <w:rPr/>
      <w:t xml:space="preserve">ТФД № 2.3.2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rPr>
    </w:pPr>
    <w:r>
      <w:rPr/>
      <w:t xml:space="preserve">ТФД № 2.3.2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rPr>
    </w:pPr>
    <w:r>
      <w:rPr/>
      <w:t xml:space="preserve">ТФД № 2.3.2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i w:val="false"/>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61997"/>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styleId="Style18">
    <w:name w:val="Символ концевой сноски"/>
    <w:qFormat/>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cbr.ru/" TargetMode="External"/><Relationship Id="rId17" Type="http://schemas.openxmlformats.org/officeDocument/2006/relationships/hyperlink" Target="http://www.asv.org.ru))" TargetMode="External"/><Relationship Id="rId18" Type="http://schemas.openxmlformats.org/officeDocument/2006/relationships/hyperlink" Target="http://www.cbr.ru/" TargetMode="Externa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Relationship Id="rId27" Type="http://schemas.openxmlformats.org/officeDocument/2006/relationships/customXml" Target="../customXml/item2.xml"/><Relationship Id="rId28" Type="http://schemas.openxmlformats.org/officeDocument/2006/relationships/customXml" Target="../customXml/item3.xml"/><Relationship Id="rId29"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0BABE-0A9B-48D2-BF3A-C70ADC7EB22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CB5D81F9-2A9F-46C0-BAF8-01115F1757D3}">
  <ds:schemaRefs>
    <ds:schemaRef ds:uri="http://schemas.microsoft.com/sharepoint/v3/contenttype/forms"/>
  </ds:schemaRefs>
</ds:datastoreItem>
</file>

<file path=customXml/itemProps3.xml><?xml version="1.0" encoding="utf-8"?>
<ds:datastoreItem xmlns:ds="http://schemas.openxmlformats.org/officeDocument/2006/customXml" ds:itemID="{64F71FBA-4B8F-434E-8C1D-99C345D5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117D75-0858-48DE-94D4-18CB6313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AlterOffice/3.4.0.9$Linux_X86_64 LibreOffice_project/b8daf9e823b1a5463a2f48435ddc2e8696e7d4fc</Application>
  <AppVersion>15.0000</AppVersion>
  <Pages>23</Pages>
  <Words>9101</Words>
  <Characters>64619</Characters>
  <CharactersWithSpaces>73322</CharactersWithSpaces>
  <Paragraphs>470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2026-05-20T13:25:00Z</dcterms:created>
  <dc:creator>tsypilev_ag</dc:creator>
  <dc:description/>
  <dc:language>ru-RU</dc:language>
  <cp:lastModifiedBy>Вахрушева Оксана Александровна</cp:lastModifiedBy>
  <cp:lastPrinted>2018-05-22T09:46:00Z</cp:lastPrinted>
  <dcterms:modified xsi:type="dcterms:W3CDTF">2026-05-20T13:25:00Z</dcterms:modified>
  <cp:revision>2</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