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keepNext w:val="true"/>
        <w:keepLines/>
        <w:jc w:val="center"/>
        <w:rPr>
          <w:rFonts w:eastAsia="Calibri"/>
          <w:b/>
          <w:caps/>
        </w:rPr>
      </w:pPr>
      <w:r>
        <w:rPr>
          <w:rFonts w:eastAsia="Calibri"/>
          <w:b/>
          <w:caps/>
        </w:rPr>
        <w:t>Запрос технико-коммерческих предложений</w:t>
      </w:r>
    </w:p>
    <w:p>
      <w:pPr>
        <w:pStyle w:val="Normal"/>
        <w:keepNext w:val="true"/>
        <w:keepLines/>
        <w:jc w:val="center"/>
        <w:rPr>
          <w:rFonts w:eastAsia="Calibri"/>
          <w:b/>
          <w:caps/>
        </w:rPr>
      </w:pPr>
      <w:r>
        <w:rPr>
          <w:rFonts w:eastAsia="Calibri"/>
          <w:b/>
          <w:caps/>
        </w:rPr>
        <w:t xml:space="preserve">для проведения мониторинга цен </w:t>
      </w:r>
    </w:p>
    <w:p>
      <w:pPr>
        <w:pStyle w:val="Normal"/>
        <w:keepNext w:val="true"/>
        <w:keepLines/>
        <w:jc w:val="center"/>
        <w:rPr>
          <w:rFonts w:eastAsia="Calibri"/>
          <w:b/>
          <w:caps/>
        </w:rPr>
      </w:pPr>
      <w:r>
        <w:rPr>
          <w:rFonts w:eastAsia="Calibri"/>
          <w:b/>
          <w:i w:val="false"/>
          <w:iCs w:val="false"/>
          <w:caps/>
          <w:sz w:val="26"/>
          <w:szCs w:val="26"/>
        </w:rPr>
        <w:t xml:space="preserve"> </w:t>
      </w:r>
      <w:r>
        <w:rPr>
          <w:rFonts w:eastAsia="Calibri"/>
          <w:b/>
          <w:i w:val="false"/>
          <w:iCs w:val="false"/>
          <w:caps/>
          <w:sz w:val="26"/>
          <w:szCs w:val="26"/>
        </w:rPr>
        <w:t xml:space="preserve">ОКПД2 58.14.1 Подписка и доставка периодических </w:t>
      </w:r>
      <w:r>
        <w:rPr>
          <w:rFonts w:eastAsia="Calibri"/>
          <w:b/>
          <w:i w:val="false"/>
          <w:iCs w:val="false"/>
          <w:caps/>
          <w:sz w:val="26"/>
          <w:szCs w:val="26"/>
          <w:highlight w:val="white"/>
        </w:rPr>
        <w:t>печатных</w:t>
      </w:r>
      <w:r>
        <w:rPr>
          <w:rFonts w:eastAsia="Calibri"/>
          <w:b/>
          <w:i w:val="false"/>
          <w:iCs w:val="false"/>
          <w:caps/>
          <w:sz w:val="26"/>
          <w:szCs w:val="26"/>
        </w:rPr>
        <w:t xml:space="preserve"> изданий (журналов) для нужд АО "Ленгидропроект".</w:t>
      </w:r>
    </w:p>
    <w:p>
      <w:pPr>
        <w:pStyle w:val="Normal"/>
        <w:keepNext w:val="true"/>
        <w:keepLines/>
        <w:jc w:val="center"/>
        <w:rPr>
          <w:b/>
        </w:rPr>
      </w:pPr>
      <w:r>
        <w:rPr>
          <w:b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jc w:val="both"/>
        <w:rPr/>
      </w:pPr>
      <w:r>
        <w:rPr/>
        <w:tab/>
        <w:t>АО «Ленгидропроект» (далее – Заказчик) сообщает о проведении анализа технико-коммерческих предложений потенциальных поставщиков</w:t>
      </w:r>
      <w:r>
        <w:rPr>
          <w:b w:val="false"/>
          <w:bCs w:val="false"/>
        </w:rPr>
        <w:t xml:space="preserve"> </w:t>
      </w:r>
      <w:r>
        <w:rPr>
          <w:rFonts w:eastAsia="Calibri"/>
          <w:b w:val="false"/>
          <w:bCs w:val="false"/>
          <w:sz w:val="26"/>
          <w:szCs w:val="26"/>
        </w:rPr>
        <w:t xml:space="preserve">«ОКПД2 58.14.1 Подписка и доставка периодических </w:t>
      </w:r>
      <w:r>
        <w:rPr>
          <w:rFonts w:eastAsia="Calibri"/>
          <w:b w:val="false"/>
          <w:bCs w:val="false"/>
          <w:sz w:val="26"/>
          <w:szCs w:val="26"/>
          <w:highlight w:val="white"/>
        </w:rPr>
        <w:t>печатных</w:t>
      </w:r>
      <w:r>
        <w:rPr>
          <w:rFonts w:eastAsia="Calibri"/>
          <w:b w:val="false"/>
          <w:bCs w:val="false"/>
          <w:sz w:val="26"/>
          <w:szCs w:val="26"/>
        </w:rPr>
        <w:t xml:space="preserve"> изданий (журналов) для нужд АО "Ленгидропроект"</w:t>
      </w:r>
      <w:r>
        <w:rPr>
          <w:rFonts w:eastAsia="Calibri"/>
          <w:b w:val="false"/>
          <w:bCs w:val="false"/>
          <w:i w:val="false"/>
          <w:iCs w:val="false"/>
          <w:sz w:val="26"/>
          <w:szCs w:val="26"/>
        </w:rPr>
        <w:t>».</w:t>
      </w:r>
    </w:p>
    <w:p>
      <w:pPr>
        <w:pStyle w:val="Normal"/>
        <w:widowControl w:val="false"/>
        <w:tabs>
          <w:tab w:val="clear" w:pos="720"/>
          <w:tab w:val="left" w:pos="426" w:leader="none"/>
        </w:tabs>
        <w:jc w:val="both"/>
        <w:rPr/>
      </w:pPr>
      <w:r>
        <w:rPr/>
        <w:t>Подробные требования к продукции (в том числе, сведения об объеме, месте, сроках оказываемых услуг) приведены в Технических требованиях настоящего мониторинга (запроса).</w:t>
      </w:r>
    </w:p>
    <w:p>
      <w:pPr>
        <w:pStyle w:val="Normal"/>
        <w:numPr>
          <w:ilvl w:val="0"/>
          <w:numId w:val="0"/>
        </w:numPr>
        <w:spacing w:before="60" w:after="60"/>
        <w:ind w:left="0" w:hanging="0"/>
        <w:jc w:val="both"/>
        <w:rPr/>
      </w:pPr>
      <w:r>
        <w:rPr/>
        <w:t>1. 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рассмотрения.</w:t>
      </w:r>
    </w:p>
    <w:p>
      <w:pPr>
        <w:pStyle w:val="Normal"/>
        <w:numPr>
          <w:ilvl w:val="0"/>
          <w:numId w:val="0"/>
        </w:numPr>
        <w:spacing w:before="60" w:after="60"/>
        <w:ind w:left="0" w:hanging="0"/>
        <w:jc w:val="both"/>
        <w:rPr/>
      </w:pPr>
      <w:r>
        <w:rPr/>
        <w:t>2. Ответ с технико-коммерческим предложением должен быть оформлен на официальном бланке по форме приложения №1 к Техническим требованиям и</w:t>
      </w:r>
      <w:r>
        <w:rPr>
          <w:lang w:val="en-US"/>
        </w:rPr>
        <w:t> </w:t>
      </w:r>
      <w:r>
        <w:rPr/>
        <w:t>заверен подписью уполномоченного лица, а также печатью организации (при</w:t>
      </w:r>
      <w:r>
        <w:rPr>
          <w:lang w:val="en-US"/>
        </w:rPr>
        <w:t> </w:t>
      </w:r>
      <w:r>
        <w:rPr/>
        <w:t>наличии), и в обязательном порядке содержать следующую информацию: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suppressAutoHyphens w:val="true"/>
        <w:bidi w:val="0"/>
        <w:spacing w:before="60" w:after="60"/>
        <w:ind w:left="567" w:right="0" w:hanging="0"/>
        <w:jc w:val="both"/>
        <w:rPr/>
      </w:pPr>
      <w:r>
        <w:rPr/>
        <w:t>2.1. дату направления предложения;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suppressAutoHyphens w:val="true"/>
        <w:bidi w:val="0"/>
        <w:spacing w:before="60" w:after="60"/>
        <w:ind w:left="567" w:right="0" w:hanging="0"/>
        <w:jc w:val="both"/>
        <w:rPr/>
      </w:pPr>
      <w:r>
        <w:rPr/>
        <w:t>2.2. полное наименование организации, с указанием организационно-правовой формы (для юридических лиц);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suppressAutoHyphens w:val="true"/>
        <w:bidi w:val="0"/>
        <w:spacing w:before="60" w:after="60"/>
        <w:ind w:left="567" w:right="0" w:hanging="0"/>
        <w:jc w:val="both"/>
        <w:rPr/>
      </w:pPr>
      <w:r>
        <w:rPr/>
        <w:t xml:space="preserve">2.3. юридический адрес, почтовый адрес, ИНН </w:t>
      </w:r>
      <w:r>
        <w:rPr>
          <w:i/>
          <w:shd w:fill="FFFF99" w:val="clear"/>
        </w:rPr>
        <w:t>[для юридических лиц]</w:t>
      </w:r>
      <w:r>
        <w:rPr>
          <w:i/>
        </w:rPr>
        <w:t xml:space="preserve"> / </w:t>
      </w:r>
      <w:r>
        <w:rPr/>
        <w:t xml:space="preserve">паспортные данные, адрес регистрации, ИНН (при наличии) </w:t>
      </w:r>
      <w:r>
        <w:rPr>
          <w:i/>
          <w:shd w:fill="FFFF99" w:val="clear"/>
        </w:rPr>
        <w:t>[для физических лиц]</w:t>
      </w:r>
      <w:r>
        <w:rPr>
          <w:i/>
        </w:rPr>
        <w:t>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suppressAutoHyphens w:val="true"/>
        <w:bidi w:val="0"/>
        <w:spacing w:before="60" w:after="60"/>
        <w:ind w:left="567" w:right="0" w:hanging="0"/>
        <w:jc w:val="both"/>
        <w:rPr/>
      </w:pPr>
      <w:r>
        <w:rPr/>
        <w:t xml:space="preserve">2.4. контактные данные: номер телефона, </w:t>
      </w:r>
      <w:r>
        <w:rPr>
          <w:lang w:val="en-US"/>
        </w:rPr>
        <w:t>e</w:t>
      </w:r>
      <w:r>
        <w:rPr/>
        <w:t>-</w:t>
      </w:r>
      <w:r>
        <w:rPr>
          <w:lang w:val="en-US"/>
        </w:rPr>
        <w:t>mail</w:t>
      </w:r>
      <w:r>
        <w:rPr/>
        <w:t>, ФИО контактного лица;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suppressAutoHyphens w:val="true"/>
        <w:bidi w:val="0"/>
        <w:spacing w:before="60" w:after="60"/>
        <w:ind w:left="567" w:right="0" w:hanging="0"/>
        <w:jc w:val="both"/>
        <w:rPr/>
      </w:pPr>
      <w:r>
        <w:rPr/>
        <w:t>2.5. цену предложения в рублях (без учета НДС).</w:t>
      </w:r>
    </w:p>
    <w:p>
      <w:pPr>
        <w:pStyle w:val="Normal"/>
        <w:numPr>
          <w:ilvl w:val="0"/>
          <w:numId w:val="0"/>
        </w:numPr>
        <w:spacing w:before="60" w:after="60"/>
        <w:ind w:left="0" w:hanging="0"/>
        <w:jc w:val="both"/>
        <w:rPr/>
      </w:pPr>
      <w:r>
        <w:rPr/>
        <w:t xml:space="preserve">3. Срок подачи технико-коммерческих предложений: до </w:t>
      </w:r>
      <w:r>
        <w:rPr>
          <w:u w:val="single"/>
        </w:rPr>
        <w:t>10:00 09.06.2026г.</w:t>
      </w:r>
      <w:r>
        <w:rPr/>
        <w:t xml:space="preserve"> </w:t>
      </w:r>
    </w:p>
    <w:p>
      <w:pPr>
        <w:pStyle w:val="Normal"/>
        <w:numPr>
          <w:ilvl w:val="0"/>
          <w:numId w:val="0"/>
        </w:numPr>
        <w:spacing w:before="60" w:after="60"/>
        <w:ind w:left="0" w:hanging="0"/>
        <w:jc w:val="both"/>
        <w:rPr/>
      </w:pPr>
      <w:r>
        <w:rPr/>
        <w:t xml:space="preserve">4. Предложения должны быть направлены путем загрузки на ЭТП и в виде сканированной электронной копии в адрес ответственного лица: </w:t>
      </w:r>
      <w:r>
        <w:rPr>
          <w:color w:val="FF972F"/>
        </w:rPr>
        <w:t>S</w:t>
      </w:r>
      <w:r>
        <w:rPr>
          <w:rStyle w:val="Hyperlink"/>
          <w:rFonts w:ascii="Helvetica Neue;Helvetica;Arial;" w:hAnsi="Helvetica Neue;Helvetica;Arial;"/>
          <w:color w:val="FF9459"/>
          <w:sz w:val="21"/>
          <w:u w:val="none"/>
        </w:rPr>
        <w:t>eligerskaiaGIu@lhp.ru</w:t>
      </w:r>
      <w:r>
        <w:rPr/>
        <w:t xml:space="preserve"> рабочий телефон: +7 (812) 346-92-21</w:t>
      </w:r>
    </w:p>
    <w:p>
      <w:pPr>
        <w:pStyle w:val="Normal"/>
        <w:numPr>
          <w:ilvl w:val="0"/>
          <w:numId w:val="0"/>
        </w:numPr>
        <w:tabs>
          <w:tab w:val="clear" w:pos="720"/>
        </w:tabs>
        <w:suppressAutoHyphens w:val="false"/>
        <w:spacing w:before="60" w:after="60"/>
        <w:ind w:left="0" w:hanging="0"/>
        <w:jc w:val="both"/>
        <w:rPr/>
      </w:pPr>
      <w:r>
        <w:rPr/>
        <w:t xml:space="preserve">5. </w:t>
      </w:r>
      <w:bookmarkStart w:id="0" w:name="_GoBack_Копия_1"/>
      <w:r>
        <w:rPr/>
        <w:t>Технико-коммерческие предложения участниками мониторинга должны быть поданы в соответствии с установленными Заказчиком требованиями проведения мониторинга.</w:t>
      </w:r>
      <w:bookmarkEnd w:id="0"/>
    </w:p>
    <w:p>
      <w:pPr>
        <w:pStyle w:val="Normal"/>
        <w:spacing w:before="60" w:after="60"/>
        <w:jc w:val="both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jc w:val="center"/>
        <w:rPr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Технические требования </w:t>
      </w:r>
    </w:p>
    <w:p>
      <w:pPr>
        <w:pStyle w:val="Normal"/>
        <w:keepNext w:val="true"/>
        <w:keepLines/>
        <w:jc w:val="center"/>
        <w:rPr>
          <w:rFonts w:eastAsia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ОКПД2 58.14.1 Подписка и доставка периодических </w:t>
      </w:r>
      <w:r>
        <w:rPr>
          <w:b/>
          <w:sz w:val="26"/>
          <w:szCs w:val="26"/>
          <w:highlight w:val="white"/>
        </w:rPr>
        <w:t>печатных</w:t>
      </w:r>
      <w:r>
        <w:rPr>
          <w:b/>
          <w:sz w:val="26"/>
          <w:szCs w:val="26"/>
        </w:rPr>
        <w:t xml:space="preserve"> изданий (журналов) для нужд АО "Ленгидропроект"</w:t>
      </w:r>
    </w:p>
    <w:p>
      <w:pPr>
        <w:pStyle w:val="Normal"/>
        <w:keepNext w:val="true"/>
        <w:keepLines/>
        <w:jc w:val="center"/>
        <w:rPr>
          <w:sz w:val="26"/>
          <w:szCs w:val="26"/>
        </w:rPr>
      </w:pPr>
      <w:r>
        <w:rPr>
          <w:rFonts w:eastAsia="Times New Roman"/>
          <w:b/>
          <w:sz w:val="26"/>
          <w:szCs w:val="26"/>
        </w:rPr>
        <w:t xml:space="preserve"> </w:t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/>
      </w:pPr>
      <w:r>
        <w:rPr/>
      </w:r>
    </w:p>
    <w:p>
      <w:pPr>
        <w:pStyle w:val="Normal"/>
        <w:tabs>
          <w:tab w:val="clear" w:pos="720"/>
          <w:tab w:val="left" w:pos="1560" w:leader="none"/>
        </w:tabs>
        <w:spacing w:before="0" w:after="0"/>
        <w:ind w:left="851" w:right="142" w:hanging="0"/>
        <w:contextualSpacing/>
        <w:jc w:val="center"/>
        <w:rPr>
          <w:rFonts w:eastAsia=""/>
        </w:rPr>
      </w:pPr>
      <w:r>
        <w:rPr>
          <w:rFonts w:eastAsia=""/>
        </w:rPr>
      </w:r>
      <w:r>
        <w:br w:type="page"/>
      </w:r>
    </w:p>
    <w:p>
      <w:pPr>
        <w:pStyle w:val="Heading1"/>
        <w:numPr>
          <w:ilvl w:val="0"/>
          <w:numId w:val="2"/>
        </w:numPr>
        <w:jc w:val="center"/>
        <w:rPr/>
      </w:pPr>
      <w:r>
        <w:rPr>
          <w:sz w:val="26"/>
          <w:szCs w:val="26"/>
          <w:lang w:val="ru-RU"/>
        </w:rPr>
        <w:t>1.</w:t>
      </w:r>
      <w:r>
        <w:rPr>
          <w:sz w:val="26"/>
          <w:szCs w:val="26"/>
        </w:rPr>
        <w:t>Общие сведения</w:t>
      </w:r>
    </w:p>
    <w:p>
      <w:pPr>
        <w:pStyle w:val="Heading4"/>
        <w:numPr>
          <w:ilvl w:val="0"/>
          <w:numId w:val="0"/>
        </w:numPr>
        <w:ind w:left="0" w:hanging="0"/>
        <w:rPr>
          <w:sz w:val="26"/>
          <w:szCs w:val="26"/>
        </w:rPr>
      </w:pPr>
      <w:r>
        <w:rPr/>
      </w:r>
    </w:p>
    <w:p>
      <w:pPr>
        <w:pStyle w:val="Heading4"/>
        <w:numPr>
          <w:ilvl w:val="1"/>
          <w:numId w:val="4"/>
        </w:numPr>
        <w:ind w:right="0" w:hanging="0"/>
        <w:rPr>
          <w:sz w:val="26"/>
          <w:szCs w:val="26"/>
        </w:rPr>
      </w:pPr>
      <w:r>
        <w:rPr>
          <w:sz w:val="26"/>
          <w:szCs w:val="26"/>
        </w:rPr>
        <w:t>Наименование закупаемой продукции</w:t>
      </w:r>
      <w:r>
        <w:rPr>
          <w:sz w:val="26"/>
          <w:szCs w:val="26"/>
          <w:lang w:val="ru-RU"/>
        </w:rPr>
        <w:t xml:space="preserve"> </w:t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ОКПД2 58.14.1 Подписка и доставка периодических </w:t>
      </w:r>
      <w:r>
        <w:rPr>
          <w:sz w:val="26"/>
          <w:szCs w:val="26"/>
          <w:highlight w:val="white"/>
        </w:rPr>
        <w:t>печатных</w:t>
      </w:r>
      <w:r>
        <w:rPr>
          <w:sz w:val="26"/>
          <w:szCs w:val="26"/>
        </w:rPr>
        <w:t xml:space="preserve"> изданий (журналов) для нужд АО "Ленгидропроект"</w:t>
      </w:r>
    </w:p>
    <w:p>
      <w:pPr>
        <w:pStyle w:val="Normal"/>
        <w:jc w:val="both"/>
        <w:rPr>
          <w:sz w:val="26"/>
          <w:szCs w:val="26"/>
        </w:rPr>
      </w:pPr>
      <w:r>
        <w:rPr/>
      </w:r>
    </w:p>
    <w:p>
      <w:pPr>
        <w:pStyle w:val="Normal"/>
        <w:tabs>
          <w:tab w:val="clear" w:pos="720"/>
          <w:tab w:val="left" w:pos="851" w:leader="none"/>
          <w:tab w:val="left" w:pos="8685" w:leader="none"/>
        </w:tabs>
        <w:spacing w:lineRule="exact" w:line="360" w:before="0" w:after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Heading4"/>
        <w:numPr>
          <w:ilvl w:val="0"/>
          <w:numId w:val="0"/>
        </w:numPr>
        <w:ind w:right="0" w:hanging="0"/>
        <w:rPr>
          <w:sz w:val="26"/>
          <w:szCs w:val="26"/>
        </w:rPr>
      </w:pPr>
      <w:r>
        <w:rPr>
          <w:sz w:val="26"/>
          <w:szCs w:val="26"/>
        </w:rPr>
        <w:t xml:space="preserve">1.2.    </w:t>
      </w:r>
      <w:bookmarkStart w:id="1" w:name="_Ref124436252"/>
      <w:bookmarkStart w:id="2" w:name="_Ref124436524"/>
      <w:bookmarkStart w:id="3" w:name="_Ref124436520"/>
      <w:bookmarkStart w:id="4" w:name="_Ref124436522"/>
      <w:bookmarkStart w:id="5" w:name="_Ref124436254"/>
      <w:bookmarkStart w:id="6" w:name="_Ref124436256"/>
      <w:r>
        <w:rPr>
          <w:sz w:val="26"/>
          <w:szCs w:val="26"/>
        </w:rPr>
        <w:t>Цель</w:t>
      </w:r>
      <w:bookmarkEnd w:id="1"/>
      <w:bookmarkEnd w:id="2"/>
      <w:bookmarkEnd w:id="3"/>
      <w:bookmarkEnd w:id="4"/>
      <w:bookmarkEnd w:id="5"/>
      <w:bookmarkEnd w:id="6"/>
      <w:r>
        <w:rPr>
          <w:sz w:val="26"/>
          <w:szCs w:val="26"/>
          <w:lang w:val="ru-RU"/>
        </w:rPr>
        <w:t xml:space="preserve"> использования закупаемой продукции</w:t>
      </w:r>
    </w:p>
    <w:p>
      <w:pPr>
        <w:pStyle w:val="Normal"/>
        <w:tabs>
          <w:tab w:val="clear" w:pos="720"/>
          <w:tab w:val="left" w:pos="-284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периодических печатных изданий (журналы) (далее – Продукция/Издания) для своевременного информирования сотрудников структурных подразделений АО «Ленгидропроект» по профилю работы новой технической, нормативной и законодательной периодикой, а также для производственных и управленческих целей.</w:t>
      </w:r>
    </w:p>
    <w:p>
      <w:pPr>
        <w:pStyle w:val="Normal"/>
        <w:tabs>
          <w:tab w:val="clear" w:pos="720"/>
          <w:tab w:val="left" w:pos="-284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keepNext w:val="true"/>
        <w:numPr>
          <w:ilvl w:val="0"/>
          <w:numId w:val="0"/>
        </w:numPr>
        <w:spacing w:before="120" w:after="60"/>
        <w:ind w:left="360" w:right="0" w:hanging="0"/>
        <w:contextualSpacing/>
        <w:jc w:val="center"/>
        <w:rPr>
          <w:rFonts w:ascii="Times New Roman" w:hAnsi="Times New Roman" w:eastAsia="Calibri" w:cs="Times New Roman"/>
          <w:b/>
          <w:caps/>
          <w:sz w:val="28"/>
          <w:szCs w:val="28"/>
          <w:lang w:val="ru-RU"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val="ru-RU" w:eastAsia="ru-RU"/>
        </w:rPr>
        <w:t xml:space="preserve">2. </w:t>
      </w:r>
      <w:r>
        <w:rPr>
          <w:rFonts w:eastAsia="Calibri" w:cs="Times New Roman" w:ascii="Times New Roman" w:hAnsi="Times New Roman"/>
          <w:b/>
          <w:sz w:val="26"/>
          <w:szCs w:val="26"/>
          <w:lang w:val="ru-RU" w:eastAsia="ru-RU"/>
        </w:rPr>
        <w:t>Требования к продукции</w:t>
      </w:r>
    </w:p>
    <w:p>
      <w:pPr>
        <w:pStyle w:val="ListParagraph"/>
        <w:keepNext w:val="true"/>
        <w:numPr>
          <w:ilvl w:val="0"/>
        </w:numPr>
        <w:spacing w:before="120" w:after="60"/>
        <w:ind w:left="360" w:right="0" w:hanging="0"/>
        <w:contextualSpacing/>
        <w:rPr>
          <w:rFonts w:ascii="Times New Roman" w:hAnsi="Times New Roman" w:eastAsia="Calibri" w:cs="Times New Roman"/>
          <w:b/>
          <w:caps/>
          <w:sz w:val="28"/>
          <w:szCs w:val="28"/>
          <w:lang w:val="ru-RU" w:eastAsia="ru-RU"/>
        </w:rPr>
      </w:pPr>
      <w:r>
        <w:rPr>
          <w:rFonts w:eastAsia="Calibri" w:cs="Times New Roman" w:ascii="Times New Roman" w:hAnsi="Times New Roman"/>
          <w:b/>
          <w:caps/>
          <w:sz w:val="28"/>
          <w:szCs w:val="28"/>
          <w:lang w:val="ru-RU" w:eastAsia="ru-RU"/>
        </w:rPr>
      </w:r>
    </w:p>
    <w:p>
      <w:pPr>
        <w:pStyle w:val="Heading1"/>
        <w:numPr>
          <w:ilvl w:val="0"/>
          <w:numId w:val="2"/>
        </w:numPr>
        <w:rPr>
          <w:sz w:val="26"/>
          <w:szCs w:val="26"/>
          <w:lang w:val="ru-RU"/>
        </w:rPr>
      </w:pPr>
      <w:bookmarkStart w:id="7" w:name="_Ref124436430"/>
      <w:bookmarkStart w:id="8" w:name="_Ref124436432"/>
      <w:bookmarkStart w:id="9" w:name="_Ref124436428"/>
      <w:r>
        <w:rPr>
          <w:sz w:val="24"/>
          <w:szCs w:val="24"/>
          <w:lang w:val="ru-RU"/>
        </w:rPr>
        <w:t xml:space="preserve">2.1. </w:t>
      </w:r>
      <w:bookmarkEnd w:id="7"/>
      <w:bookmarkEnd w:id="8"/>
      <w:bookmarkEnd w:id="9"/>
      <w:r>
        <w:rPr>
          <w:sz w:val="26"/>
          <w:szCs w:val="26"/>
        </w:rPr>
        <w:t xml:space="preserve">Требования к объемам и срокам </w:t>
      </w:r>
      <w:r>
        <w:rPr>
          <w:sz w:val="26"/>
          <w:szCs w:val="26"/>
        </w:rPr>
        <w:t>поставки</w:t>
      </w:r>
      <w:r>
        <w:rPr>
          <w:sz w:val="26"/>
          <w:szCs w:val="26"/>
        </w:rPr>
        <w:t xml:space="preserve"> </w:t>
      </w:r>
    </w:p>
    <w:p>
      <w:pPr>
        <w:pStyle w:val="Heading4"/>
        <w:numPr>
          <w:ilvl w:val="3"/>
          <w:numId w:val="2"/>
        </w:numPr>
        <w:ind w:left="0" w:right="-144" w:hanging="0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2.1.1. </w:t>
      </w:r>
      <w:r>
        <w:rPr>
          <w:sz w:val="26"/>
          <w:szCs w:val="26"/>
          <w:lang w:val="ru-RU"/>
        </w:rPr>
        <w:t>Перечень и объем закупаемой продукции</w:t>
      </w:r>
    </w:p>
    <w:p>
      <w:pPr>
        <w:pStyle w:val="Heading1"/>
        <w:numPr>
          <w:ilvl w:val="0"/>
          <w:numId w:val="2"/>
        </w:numPr>
        <w:rPr/>
      </w:pPr>
      <w:r>
        <w:rPr>
          <w:sz w:val="26"/>
          <w:szCs w:val="26"/>
        </w:rPr>
        <w:t xml:space="preserve">Таблица </w:t>
      </w:r>
      <w:r>
        <w:rPr>
          <w:sz w:val="26"/>
          <w:szCs w:val="26"/>
          <w:lang w:val="ru-RU"/>
        </w:rPr>
        <w:t>№</w:t>
      </w:r>
      <w:r>
        <w:rPr>
          <w:sz w:val="26"/>
          <w:szCs w:val="26"/>
        </w:rPr>
        <w:t xml:space="preserve">1. </w:t>
      </w:r>
      <w:r>
        <w:rPr>
          <w:sz w:val="26"/>
          <w:szCs w:val="26"/>
          <w:lang w:val="ru-RU"/>
        </w:rPr>
        <w:t>П</w:t>
      </w:r>
      <w:r>
        <w:rPr>
          <w:sz w:val="26"/>
          <w:szCs w:val="26"/>
        </w:rPr>
        <w:t xml:space="preserve">еречень </w:t>
      </w:r>
      <w:r>
        <w:rPr>
          <w:sz w:val="26"/>
          <w:szCs w:val="26"/>
          <w:lang w:val="ru-RU"/>
        </w:rPr>
        <w:t xml:space="preserve">и объем </w:t>
      </w:r>
      <w:r>
        <w:rPr>
          <w:sz w:val="26"/>
          <w:szCs w:val="26"/>
        </w:rPr>
        <w:t xml:space="preserve">продукции </w:t>
      </w:r>
      <w:r>
        <w:rPr>
          <w:sz w:val="26"/>
          <w:szCs w:val="26"/>
        </w:rPr>
        <w:t>закупаемой продукции</w:t>
      </w:r>
    </w:p>
    <w:tbl>
      <w:tblPr>
        <w:tblW w:w="10049" w:type="dxa"/>
        <w:jc w:val="left"/>
        <w:tblInd w:w="-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4581"/>
        <w:gridCol w:w="1362"/>
        <w:gridCol w:w="1590"/>
        <w:gridCol w:w="1712"/>
      </w:tblGrid>
      <w:tr>
        <w:trPr>
          <w:trHeight w:val="1265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Cs/>
                <w:lang w:eastAsia="en-US"/>
              </w:rPr>
            </w:pPr>
            <w:r>
              <w:rPr/>
              <w:t xml:space="preserve">№ </w:t>
            </w:r>
            <w:r>
              <w:rPr/>
              <w:t>п/п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Подписка на периодическое печатное издание / наименование издания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Кол-во      продукции/Изданий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Периодичность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выхода Продукции/Издания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Кол-во штук (комплектов)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за весь период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подписки</w:t>
            </w:r>
          </w:p>
        </w:tc>
      </w:tr>
      <w:tr>
        <w:trPr>
          <w:trHeight w:val="859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Информационный бюллетень о нормативной, методической и типовой проектной документации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  <w:tr>
        <w:trPr>
          <w:trHeight w:val="548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Берг-Коллегия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  <w:tr>
        <w:trPr>
          <w:trHeight w:val="574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3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Финансовый директор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  <w:tr>
        <w:trPr>
          <w:trHeight w:val="554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Справочник специалиста по охране труда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  <w:tr>
        <w:trPr>
          <w:trHeight w:val="558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Экология производства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  <w:tr>
        <w:trPr>
          <w:trHeight w:val="479" w:hRule="atLeast"/>
        </w:trPr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/>
            </w:pPr>
            <w:r>
              <w:rPr/>
              <w:t>6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Справочник экономиста</w:t>
            </w:r>
          </w:p>
        </w:tc>
        <w:tc>
          <w:tcPr>
            <w:tcW w:w="13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 шт.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ежемесячно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12 шт.</w:t>
            </w:r>
          </w:p>
        </w:tc>
      </w:tr>
    </w:tbl>
    <w:p>
      <w:pPr>
        <w:pStyle w:val="Heading3"/>
        <w:numPr>
          <w:ilvl w:val="2"/>
          <w:numId w:val="2"/>
        </w:numPr>
        <w:rPr>
          <w:lang w:val="ru-RU"/>
        </w:rPr>
      </w:pPr>
      <w:r>
        <w:rPr>
          <w:lang w:val="ru-RU"/>
        </w:rPr>
      </w:r>
    </w:p>
    <w:p>
      <w:pPr>
        <w:pStyle w:val="Heading3"/>
        <w:numPr>
          <w:ilvl w:val="2"/>
          <w:numId w:val="2"/>
        </w:numPr>
        <w:rPr>
          <w:b/>
          <w:sz w:val="26"/>
          <w:szCs w:val="26"/>
        </w:rPr>
      </w:pPr>
      <w:r>
        <w:rPr>
          <w:lang w:val="ru-RU"/>
        </w:rPr>
        <w:t>2</w:t>
      </w:r>
      <w:r>
        <w:rPr>
          <w:sz w:val="26"/>
          <w:szCs w:val="26"/>
          <w:lang w:val="ru-RU"/>
        </w:rPr>
        <w:t xml:space="preserve">.1.2. </w:t>
      </w:r>
      <w:r>
        <w:rPr>
          <w:sz w:val="26"/>
          <w:szCs w:val="26"/>
        </w:rPr>
        <w:t xml:space="preserve">Требования к срокам подписки </w:t>
      </w:r>
      <w:r>
        <w:rPr>
          <w:sz w:val="26"/>
          <w:szCs w:val="26"/>
          <w:lang w:val="ru-RU"/>
        </w:rPr>
        <w:t>(подписной период)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ru-RU"/>
        </w:rPr>
        <w:t>и доставке</w:t>
      </w:r>
      <w:r>
        <w:rPr>
          <w:b/>
          <w:sz w:val="26"/>
          <w:szCs w:val="26"/>
          <w:lang w:val="ru-RU"/>
        </w:rPr>
        <w:t xml:space="preserve"> </w:t>
      </w:r>
      <w:r>
        <w:rPr>
          <w:b/>
          <w:sz w:val="26"/>
          <w:szCs w:val="26"/>
          <w:lang w:val="ru-RU"/>
        </w:rPr>
        <w:t>продукции</w:t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Таблица №2. </w:t>
      </w:r>
      <w:bookmarkStart w:id="10" w:name="_Hlk50465284"/>
      <w:r>
        <w:rPr>
          <w:b/>
          <w:sz w:val="26"/>
          <w:szCs w:val="26"/>
        </w:rPr>
        <w:t xml:space="preserve">Требования к срокам </w:t>
      </w:r>
      <w:bookmarkEnd w:id="10"/>
      <w:r>
        <w:rPr>
          <w:b/>
          <w:sz w:val="26"/>
          <w:szCs w:val="26"/>
        </w:rPr>
        <w:t xml:space="preserve">подписки (подписной период) и доставке </w:t>
      </w:r>
      <w:r>
        <w:rPr>
          <w:b/>
          <w:sz w:val="26"/>
          <w:szCs w:val="26"/>
        </w:rPr>
        <w:t>продукции</w:t>
      </w:r>
    </w:p>
    <w:p>
      <w:pPr>
        <w:pStyle w:val="Normal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W w:w="10049" w:type="dxa"/>
        <w:jc w:val="left"/>
        <w:tblInd w:w="-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2109"/>
        <w:gridCol w:w="3826"/>
        <w:gridCol w:w="3554"/>
      </w:tblGrid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Наименование Продукции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Требования к началу срока подписки и доставки</w:t>
            </w:r>
          </w:p>
        </w:tc>
        <w:tc>
          <w:tcPr>
            <w:tcW w:w="3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Требования к окончанию срока подписки и доставки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Style23"/>
              <w:keepNext w:val="false"/>
              <w:widowControl w:val="false"/>
              <w:spacing w:before="40" w:after="4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</w:t>
            </w:r>
          </w:p>
        </w:tc>
        <w:tc>
          <w:tcPr>
            <w:tcW w:w="3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Style23"/>
              <w:keepNext w:val="false"/>
              <w:widowControl w:val="false"/>
              <w:spacing w:before="40" w:after="4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</w:t>
            </w:r>
          </w:p>
        </w:tc>
      </w:tr>
      <w:tr>
        <w:trPr>
          <w:trHeight w:val="2416" w:hRule="atLeast"/>
        </w:trPr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snapToGrid w:val="false"/>
              <w:spacing w:before="0" w:after="200"/>
              <w:ind w:left="360" w:right="0" w:hanging="360"/>
              <w:contextualSpacing/>
              <w:rPr>
                <w:sz w:val="22"/>
              </w:rPr>
            </w:pPr>
            <w:r>
              <w:rPr>
                <w:sz w:val="22"/>
              </w:rPr>
            </w:r>
            <w:bookmarkStart w:id="11" w:name="_Ref124436511"/>
            <w:bookmarkStart w:id="12" w:name="_Ref124436511"/>
            <w:bookmarkEnd w:id="12"/>
          </w:p>
        </w:tc>
        <w:tc>
          <w:tcPr>
            <w:tcW w:w="2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 xml:space="preserve">ОКПД2 58.14.1 Подписка и доставка периодических </w:t>
            </w:r>
            <w:r>
              <w:rPr>
                <w:highlight w:val="white"/>
              </w:rPr>
              <w:t>печатных</w:t>
            </w:r>
            <w:r>
              <w:rPr/>
              <w:t xml:space="preserve"> изданий (журналов) для нужд АО "Ленгидропроект"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center"/>
              <w:rPr/>
            </w:pPr>
            <w:r>
              <w:rPr/>
              <w:t>Период подписки (подписной период) с 01.01.2027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center"/>
              <w:rPr/>
            </w:pPr>
            <w:r>
              <w:rPr/>
              <w:t>Доставка Продукции/Изданий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center"/>
              <w:rPr/>
            </w:pPr>
            <w:r>
              <w:rPr/>
              <w:t>с 20.01.2027</w:t>
            </w:r>
          </w:p>
        </w:tc>
        <w:tc>
          <w:tcPr>
            <w:tcW w:w="3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  <w:t>Период подписки (подписной период) по 31.12.2027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  <w:t>Доставка Продукции/Изданий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  <w:t>по 30.12.2027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  <w:tab w:val="left" w:pos="1276" w:leader="none"/>
                <w:tab w:val="left" w:pos="1418" w:leader="none"/>
                <w:tab w:val="left" w:pos="1560" w:leader="none"/>
              </w:tabs>
              <w:jc w:val="both"/>
              <w:rPr/>
            </w:pPr>
            <w:r>
              <w:rPr/>
            </w:r>
          </w:p>
          <w:p>
            <w:pPr>
              <w:pStyle w:val="31"/>
              <w:widowControl w:val="false"/>
              <w:spacing w:before="0" w:after="0"/>
              <w:ind w:left="0" w:right="23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highlight w:val="yellow"/>
              </w:rPr>
            </w:r>
          </w:p>
        </w:tc>
      </w:tr>
    </w:tbl>
    <w:p>
      <w:pPr>
        <w:sectPr>
          <w:type w:val="nextPage"/>
          <w:pgSz w:w="11906" w:h="16838"/>
          <w:pgMar w:left="1134" w:right="851" w:gutter="0" w:header="0" w:top="992" w:footer="0" w:bottom="992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eading3"/>
        <w:numPr>
          <w:ilvl w:val="2"/>
          <w:numId w:val="2"/>
        </w:numPr>
        <w:rPr>
          <w:rFonts w:eastAsia="Times New Roman"/>
          <w:sz w:val="26"/>
          <w:szCs w:val="26"/>
        </w:rPr>
      </w:pPr>
      <w:r>
        <w:rPr>
          <w:sz w:val="26"/>
          <w:szCs w:val="26"/>
          <w:lang w:val="ru-RU"/>
        </w:rPr>
        <w:t>2.2. Т</w:t>
      </w:r>
      <w:r>
        <w:rPr>
          <w:sz w:val="26"/>
          <w:szCs w:val="26"/>
        </w:rPr>
        <w:t xml:space="preserve">ребования к </w:t>
      </w:r>
      <w:r>
        <w:rPr>
          <w:sz w:val="26"/>
          <w:szCs w:val="26"/>
          <w:lang w:val="ru-RU"/>
        </w:rPr>
        <w:t>качеству продукции</w:t>
      </w:r>
    </w:p>
    <w:p>
      <w:pPr>
        <w:pStyle w:val="Heading1"/>
        <w:numPr>
          <w:ilvl w:val="0"/>
          <w:numId w:val="2"/>
        </w:numPr>
        <w:rPr>
          <w:bCs/>
          <w:sz w:val="24"/>
          <w:szCs w:val="24"/>
        </w:rPr>
      </w:pPr>
      <w:r>
        <w:rPr>
          <w:rFonts w:eastAsia="Times New Roman"/>
          <w:sz w:val="26"/>
          <w:szCs w:val="26"/>
        </w:rPr>
        <w:t xml:space="preserve"> </w:t>
      </w:r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№3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качест</w:t>
      </w:r>
      <w:r>
        <w:rPr>
          <w:b/>
          <w:bCs/>
          <w:sz w:val="24"/>
          <w:szCs w:val="24"/>
          <w:lang w:val="ru-RU"/>
        </w:rPr>
        <w:t>ву прод</w:t>
      </w:r>
      <w:r>
        <w:rPr>
          <w:sz w:val="24"/>
          <w:szCs w:val="24"/>
          <w:lang w:val="ru-RU"/>
        </w:rPr>
        <w:t>укции</w:t>
      </w:r>
    </w:p>
    <w:p>
      <w:pPr>
        <w:pStyle w:val="Heading1"/>
        <w:numPr>
          <w:ilvl w:val="0"/>
          <w:numId w:val="2"/>
        </w:numPr>
        <w:rPr>
          <w:b/>
          <w:bCs/>
        </w:rPr>
      </w:pPr>
      <w:r>
        <w:rPr>
          <w:bCs/>
          <w:sz w:val="24"/>
          <w:szCs w:val="24"/>
        </w:rPr>
        <w:t xml:space="preserve">Наименование: ОКПД2 58.14.1 Подписка и доставка периодических </w:t>
      </w:r>
      <w:r>
        <w:rPr>
          <w:bCs/>
          <w:sz w:val="24"/>
          <w:szCs w:val="24"/>
          <w:highlight w:val="white"/>
        </w:rPr>
        <w:t>печатных</w:t>
      </w:r>
      <w:r>
        <w:rPr>
          <w:bCs/>
          <w:sz w:val="24"/>
          <w:szCs w:val="24"/>
        </w:rPr>
        <w:t xml:space="preserve"> изданий (журналов) для нужд АО "Ленгидропроект"</w:t>
      </w:r>
    </w:p>
    <w:tbl>
      <w:tblPr>
        <w:tblW w:w="15599" w:type="dxa"/>
        <w:jc w:val="left"/>
        <w:tblInd w:w="-160" w:type="dxa"/>
        <w:tblLayout w:type="fixed"/>
        <w:tblCellMar>
          <w:top w:w="0" w:type="dxa"/>
          <w:left w:w="113" w:type="dxa"/>
          <w:bottom w:w="0" w:type="dxa"/>
          <w:right w:w="108" w:type="dxa"/>
        </w:tblCellMar>
      </w:tblPr>
      <w:tblGrid>
        <w:gridCol w:w="976"/>
        <w:gridCol w:w="2582"/>
        <w:gridCol w:w="7483"/>
        <w:gridCol w:w="2215"/>
        <w:gridCol w:w="2342"/>
      </w:tblGrid>
      <w:tr>
        <w:trPr>
          <w:trHeight w:val="857" w:hRule="atLeast"/>
          <w:cantSplit w:val="true"/>
        </w:trPr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5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748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</w:tr>
      <w:tr>
        <w:trPr>
          <w:trHeight w:val="845" w:hRule="atLeast"/>
          <w:cantSplit w:val="true"/>
        </w:trPr>
        <w:tc>
          <w:tcPr>
            <w:tcW w:w="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748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Согласие с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требованием характеристик</w:t>
            </w:r>
          </w:p>
        </w:tc>
        <w:tc>
          <w:tcPr>
            <w:tcW w:w="2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Предоставление подтверждающего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документа или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иной способ подтверждения</w:t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2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>
        <w:trPr>
          <w:trHeight w:val="525" w:hRule="atLeast"/>
        </w:trPr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</w:rPr>
              <w:t>1.</w:t>
            </w:r>
          </w:p>
        </w:tc>
        <w:tc>
          <w:tcPr>
            <w:tcW w:w="100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  <w:t>Требования к качеству продукции</w:t>
            </w:r>
          </w:p>
        </w:tc>
        <w:tc>
          <w:tcPr>
            <w:tcW w:w="45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95" w:hRule="atLeast"/>
        </w:trPr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0" w:after="0"/>
              <w:ind w:left="1224" w:right="0" w:hanging="0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1.1.</w:t>
            </w:r>
          </w:p>
          <w:p>
            <w:pPr>
              <w:pStyle w:val="ListParagraph"/>
              <w:widowControl w:val="false"/>
              <w:spacing w:before="0" w:after="0"/>
              <w:ind w:left="1224" w:right="0" w:hanging="0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1.2.</w:t>
            </w:r>
          </w:p>
        </w:tc>
        <w:tc>
          <w:tcPr>
            <w:tcW w:w="25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Общие требования</w:t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Продукция должна быть новой.</w:t>
            </w:r>
          </w:p>
        </w:tc>
        <w:tc>
          <w:tcPr>
            <w:tcW w:w="22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</w:numPr>
              <w:suppressAutoHyphens w:val="true"/>
              <w:spacing w:before="0" w:after="0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kern w:val="0"/>
                <w:sz w:val="24"/>
                <w:szCs w:val="24"/>
                <w:lang w:val="ru-RU" w:bidi="ar-SA"/>
              </w:rPr>
              <w:t>Согласие с требованием</w:t>
            </w:r>
          </w:p>
        </w:tc>
        <w:tc>
          <w:tcPr>
            <w:tcW w:w="23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Предоставление ответа на запрос ТКП по форме Приложения № 1 к настоящим техническим требованиям.</w:t>
            </w:r>
          </w:p>
        </w:tc>
      </w:tr>
      <w:tr>
        <w:trPr>
          <w:trHeight w:val="401" w:hRule="atLeast"/>
        </w:trPr>
        <w:tc>
          <w:tcPr>
            <w:tcW w:w="976" w:type="dxa"/>
            <w:vMerge w:val="continue"/>
            <w:tcBorders>
              <w:top w:val="single" w:sz="4" w:space="0" w:color="00000A"/>
              <w:lef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1224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8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Поставщик гарантирует качество поставляемой Продукции.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>
          <w:trHeight w:val="699" w:hRule="atLeast"/>
        </w:trPr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</w:rPr>
              <w:t>2.</w:t>
            </w:r>
          </w:p>
        </w:tc>
        <w:tc>
          <w:tcPr>
            <w:tcW w:w="100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2.1.</w:t>
            </w: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Место  доставки продукции</w:t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197349, г. Санкт-Петербург, пр. Испытателей, д. 22, литера А, склад Заказчика (1 этаж).</w:t>
            </w:r>
          </w:p>
          <w:p>
            <w:pPr>
              <w:pStyle w:val="Normal"/>
              <w:widowControl w:val="false"/>
              <w:rPr>
                <w:rFonts w:eastAsia="Calibri"/>
              </w:rPr>
            </w:pPr>
            <w:r>
              <w:rPr/>
              <w:t>Часы работы склада Заказчика: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 понедельника по четверг с 9 ч 00 мин до 16 ч 00 мин, в пятницу с 9 ч 00 мин до 15 ч 00 мин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vMerge w:val="restart"/>
            <w:tcBorders>
              <w:lef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2.2.</w:t>
            </w:r>
          </w:p>
        </w:tc>
        <w:tc>
          <w:tcPr>
            <w:tcW w:w="2582" w:type="dxa"/>
            <w:vMerge w:val="restart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Требования к доставке продукции</w:t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Доставка Продукции осуществляется  с периодичностью, указанной в Таблице №1 Технических требований, но не позднее 10 (десяти) календарных дней, следующих после выпуска издателем соответствующего тиража.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vMerge w:val="continue"/>
            <w:tcBorders>
              <w:lef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582" w:type="dxa"/>
            <w:vMerge w:val="continue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1134" w:leader="none"/>
              </w:tabs>
              <w:spacing w:lineRule="auto" w:line="252" w:before="0" w:after="0"/>
              <w:ind w:left="0" w:right="0" w:hanging="0"/>
              <w:contextualSpacing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Поставщик передает Продукцию в собственность Заказчику в ассортименте, количестве и по цене в соответствии с Приложением № 1 «Спецификация» к Договору и на указанных в Договоре условиях.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>
          <w:trHeight w:val="615" w:hRule="atLeast"/>
        </w:trPr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00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0"/>
              <w:jc w:val="both"/>
              <w:rPr>
                <w:b/>
              </w:rPr>
            </w:pPr>
            <w:r>
              <w:rPr>
                <w:b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275" w:hRule="atLeast"/>
        </w:trPr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3.1.</w:t>
            </w:r>
          </w:p>
        </w:tc>
        <w:tc>
          <w:tcPr>
            <w:tcW w:w="2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Передать одновременно с продукцией непосредственно Покупателю следующие документы</w:t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120" w:after="0"/>
              <w:contextualSpacing/>
              <w:jc w:val="both"/>
              <w:rPr/>
            </w:pPr>
            <w:r>
              <w:rPr/>
              <w:t>а) счёт-фактура;</w:t>
            </w:r>
          </w:p>
          <w:p>
            <w:pPr>
              <w:pStyle w:val="Normal"/>
              <w:widowControl w:val="false"/>
              <w:spacing w:before="120" w:after="0"/>
              <w:contextualSpacing/>
              <w:jc w:val="both"/>
              <w:rPr/>
            </w:pPr>
            <w:r>
              <w:rPr/>
              <w:t>б) товарная-накладная (ТОРГ-12)/универсальный передаточный документ (УПД), акт оказания услуг;</w:t>
            </w:r>
          </w:p>
          <w:p>
            <w:pPr>
              <w:pStyle w:val="Normal"/>
              <w:widowControl w:val="false"/>
              <w:spacing w:before="120" w:after="0"/>
              <w:contextualSpacing/>
              <w:jc w:val="both"/>
              <w:rPr/>
            </w:pPr>
            <w:r>
              <w:rPr/>
              <w:t>в) акт приема-передачи.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779" w:hRule="atLeast"/>
        </w:trPr>
        <w:tc>
          <w:tcPr>
            <w:tcW w:w="976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3.2.</w:t>
            </w:r>
          </w:p>
        </w:tc>
        <w:tc>
          <w:tcPr>
            <w:tcW w:w="2582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Комплектация продукции</w:t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В соответствии с Таблицей №1 Технических требований «Перечень и объем Продукции»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745" w:hRule="atLeast"/>
        </w:trPr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</w:rPr>
              <w:t>4.</w:t>
            </w:r>
          </w:p>
        </w:tc>
        <w:tc>
          <w:tcPr>
            <w:tcW w:w="100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  <w:t>Требования к соблюдению положений нормативной и иной обязательной для Исполнителя документации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4.1.</w:t>
            </w:r>
          </w:p>
        </w:tc>
        <w:tc>
          <w:tcPr>
            <w:tcW w:w="25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</w:rPr>
              <w:t xml:space="preserve"> </w:t>
            </w:r>
            <w:r>
              <w:rPr/>
              <w:t>Соответствие стандартам</w:t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Постановления Правительства РФ от 01.11.2001 года № 759 «Об утверждении Правил распространения периодических печатных изданий по подписке»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4.2</w:t>
            </w:r>
          </w:p>
        </w:tc>
        <w:tc>
          <w:tcPr>
            <w:tcW w:w="258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«ГОСТ 5773-90. Межгосударственный стандарт. Издания книжные и журнальные. Форматы»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4.3</w:t>
            </w:r>
          </w:p>
        </w:tc>
        <w:tc>
          <w:tcPr>
            <w:tcW w:w="258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«ГОСТ 7.89-2005. Межгосударственный стандарт. Система стандартов по информации, библиотечному и издательскому делу. Оригиналы текстовые авторские и издательские. Общие требования»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4.4.</w:t>
            </w:r>
          </w:p>
        </w:tc>
        <w:tc>
          <w:tcPr>
            <w:tcW w:w="258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7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«ОСТ 29.130-97. Стандарт отрасли. Издания. Термины и определения»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0"/>
              <w:ind w:left="360" w:right="0" w:hanging="0"/>
              <w:contextualSpacing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</w:rPr>
              <w:t>5.</w:t>
            </w:r>
          </w:p>
        </w:tc>
        <w:tc>
          <w:tcPr>
            <w:tcW w:w="10065" w:type="dxa"/>
            <w:gridSpan w:val="2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0"/>
              <w:rPr>
                <w:b/>
              </w:rPr>
            </w:pPr>
            <w:r>
              <w:rPr>
                <w:b/>
              </w:rPr>
              <w:t>Прочие (дополнительные) требования к продукции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1024" w:hRule="atLeast"/>
        </w:trPr>
        <w:tc>
          <w:tcPr>
            <w:tcW w:w="976" w:type="dxa"/>
            <w:tcBorders>
              <w:lef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-121" w:leader="none"/>
              </w:tabs>
              <w:spacing w:before="60" w:after="0"/>
              <w:ind w:left="740" w:right="0" w:hanging="861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</w:rPr>
              <w:t>5.1.</w:t>
            </w:r>
          </w:p>
          <w:p>
            <w:pPr>
              <w:pStyle w:val="ListParagraph"/>
              <w:widowControl w:val="false"/>
              <w:spacing w:before="60" w:after="0"/>
              <w:ind w:left="740" w:right="0" w:hanging="0"/>
              <w:contextualSpacing/>
              <w:jc w:val="center"/>
              <w:rPr>
                <w:rFonts w:ascii="Times New Roman" w:hAnsi="Times New Roman" w:eastAsia="Times New Roman" w:cs="Times New Roman"/>
              </w:rPr>
            </w:pPr>
            <w:r>
              <w:rPr/>
            </w:r>
          </w:p>
        </w:tc>
        <w:tc>
          <w:tcPr>
            <w:tcW w:w="2582" w:type="dxa"/>
            <w:vMerge w:val="restart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Иные требования</w:t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Продукция должна быть в чистой, не имеющей повреждений и обеспечивающей защиту Продукции от повреждений или порчи во время транспортировки и хранения упаковке фирмы-изготовителя.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681" w:hRule="atLeast"/>
        </w:trPr>
        <w:tc>
          <w:tcPr>
            <w:tcW w:w="976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0"/>
              <w:ind w:left="21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5.2.</w:t>
            </w:r>
          </w:p>
        </w:tc>
        <w:tc>
          <w:tcPr>
            <w:tcW w:w="2582" w:type="dxa"/>
            <w:vMerge w:val="continue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Продукция должна иметь необходимые маркировки, наклейки в соответствии с законодательством Российской Федерации.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976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0"/>
              <w:ind w:left="21" w:right="0" w:hanging="0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6</w:t>
            </w:r>
          </w:p>
        </w:tc>
        <w:tc>
          <w:tcPr>
            <w:tcW w:w="10065" w:type="dxa"/>
            <w:gridSpan w:val="2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lef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Условия оплаты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>
          <w:trHeight w:val="511" w:hRule="atLeast"/>
        </w:trPr>
        <w:tc>
          <w:tcPr>
            <w:tcW w:w="976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0"/>
              <w:ind w:left="21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6.1.</w:t>
            </w:r>
          </w:p>
        </w:tc>
        <w:tc>
          <w:tcPr>
            <w:tcW w:w="2582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Условия оплаты</w:t>
            </w:r>
          </w:p>
        </w:tc>
        <w:tc>
          <w:tcPr>
            <w:tcW w:w="748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Авансирование не предусмотрено</w:t>
            </w:r>
          </w:p>
        </w:tc>
        <w:tc>
          <w:tcPr>
            <w:tcW w:w="22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spacing w:before="0" w:after="60"/>
        <w:ind w:hanging="0"/>
        <w:jc w:val="left"/>
        <w:rPr>
          <w:b/>
          <w:iCs/>
        </w:rPr>
      </w:pPr>
      <w:r>
        <w:rPr/>
      </w:r>
    </w:p>
    <w:p>
      <w:pPr>
        <w:pStyle w:val="Normal"/>
        <w:spacing w:before="0" w:after="60"/>
        <w:ind w:hanging="0"/>
        <w:jc w:val="left"/>
        <w:rPr/>
      </w:pPr>
      <w:r>
        <w:rPr>
          <w:b/>
          <w:iCs/>
        </w:rPr>
        <w:t>2.2.1 В составе заявки необходимо предоставить:</w:t>
      </w:r>
    </w:p>
    <w:p>
      <w:pPr>
        <w:pStyle w:val="Normal"/>
        <w:spacing w:before="0" w:after="6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 xml:space="preserve">Участник в составе своей заявки для подтверждения соответствия заявленных характеристик предложенной к поставке продукции  требованиям настоящих ТТ, предоставляет следующие документы: </w:t>
      </w:r>
    </w:p>
    <w:p>
      <w:pPr>
        <w:pStyle w:val="ListParagraph"/>
        <w:numPr>
          <w:ilvl w:val="0"/>
          <w:numId w:val="0"/>
        </w:numPr>
        <w:spacing w:before="0" w:after="60"/>
        <w:ind w:left="426" w:hanging="0"/>
        <w:contextualSpacing w:val="false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1. Техническое предложение, подготовленное в соответствии с настоящими ТТ по форме, представленной в документации о закупке.</w:t>
      </w:r>
    </w:p>
    <w:p>
      <w:pPr>
        <w:pStyle w:val="Heading1"/>
        <w:keepLines/>
        <w:numPr>
          <w:ilvl w:val="0"/>
          <w:numId w:val="2"/>
        </w:numPr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sectPr>
          <w:type w:val="nextPage"/>
          <w:pgSz w:orient="landscape" w:w="16838" w:h="11906"/>
          <w:pgMar w:left="992" w:right="992" w:gutter="0" w:header="0" w:top="1134" w:footer="0" w:bottom="851"/>
          <w:pgNumType w:fmt="decimal"/>
          <w:formProt w:val="false"/>
          <w:textDirection w:val="lrTb"/>
          <w:docGrid w:type="default" w:linePitch="360" w:charSpace="0"/>
        </w:sectPr>
        <w:pStyle w:val="Normal"/>
        <w:tabs>
          <w:tab w:val="clear" w:pos="720"/>
          <w:tab w:val="left" w:pos="3473" w:leader="none"/>
        </w:tabs>
        <w:rPr>
          <w:b/>
          <w:bCs/>
        </w:rPr>
      </w:pPr>
      <w:r>
        <w:rPr/>
      </w:r>
    </w:p>
    <w:p>
      <w:pPr>
        <w:pStyle w:val="Standard"/>
        <w:numPr>
          <w:ilvl w:val="0"/>
          <w:numId w:val="0"/>
        </w:numPr>
        <w:tabs>
          <w:tab w:val="clear" w:pos="720"/>
          <w:tab w:val="left" w:pos="0" w:leader="none"/>
          <w:tab w:val="left" w:pos="1560" w:leader="none"/>
        </w:tabs>
        <w:ind w:left="0" w:hanging="0"/>
        <w:jc w:val="right"/>
        <w:outlineLvl w:val="0"/>
        <w:rPr/>
      </w:pPr>
      <w:r>
        <w:rPr>
          <w:rFonts w:ascii="Nimbus Roman [UKWN]" w:hAnsi="Nimbus Roman [UKWN]"/>
          <w:sz w:val="26"/>
          <w:szCs w:val="26"/>
        </w:rPr>
        <w:t xml:space="preserve">Приложение №1 </w:t>
      </w:r>
    </w:p>
    <w:p>
      <w:pPr>
        <w:pStyle w:val="Standard"/>
        <w:numPr>
          <w:ilvl w:val="0"/>
          <w:numId w:val="0"/>
        </w:numPr>
        <w:tabs>
          <w:tab w:val="clear" w:pos="720"/>
          <w:tab w:val="left" w:pos="0" w:leader="none"/>
          <w:tab w:val="left" w:pos="1560" w:leader="none"/>
        </w:tabs>
        <w:ind w:left="0" w:hanging="0"/>
        <w:jc w:val="right"/>
        <w:outlineLvl w:val="0"/>
        <w:rPr/>
      </w:pPr>
      <w:r>
        <w:rPr>
          <w:rFonts w:ascii="Nimbus Roman [UKWN]" w:hAnsi="Nimbus Roman [UKWN]"/>
          <w:sz w:val="26"/>
          <w:szCs w:val="26"/>
        </w:rPr>
        <w:t>к Техническим требованиям</w:t>
      </w:r>
    </w:p>
    <w:tbl>
      <w:tblPr>
        <w:tblW w:w="10035" w:type="dxa"/>
        <w:jc w:val="left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35"/>
      </w:tblGrid>
      <w:tr>
        <w:trPr/>
        <w:tc>
          <w:tcPr>
            <w:tcW w:w="10035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Форма «Технико-коммерческое предложение»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начало формы</w:t>
            </w:r>
          </w:p>
        </w:tc>
      </w:tr>
    </w:tbl>
    <w:p>
      <w:pPr>
        <w:pStyle w:val="Normal"/>
        <w:tabs>
          <w:tab w:val="clear" w:pos="720"/>
          <w:tab w:val="left" w:pos="5812" w:leader="none"/>
        </w:tabs>
        <w:jc w:val="center"/>
        <w:rPr>
          <w:i/>
          <w:i/>
        </w:rPr>
      </w:pPr>
      <w:r>
        <w:rPr>
          <w:i/>
        </w:rPr>
        <w:t>На официальном бланке участника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Технико-коммерческое предложение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3639" w:type="dxa"/>
        <w:jc w:val="left"/>
        <w:tblInd w:w="-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0"/>
        <w:gridCol w:w="1140"/>
        <w:gridCol w:w="1688"/>
      </w:tblGrid>
      <w:tr>
        <w:trPr/>
        <w:tc>
          <w:tcPr>
            <w:tcW w:w="195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Исходящий №</w:t>
            </w:r>
          </w:p>
        </w:tc>
        <w:tc>
          <w:tcPr>
            <w:tcW w:w="1688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от</w:t>
            </w:r>
          </w:p>
        </w:tc>
        <w:tc>
          <w:tcPr>
            <w:tcW w:w="2828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10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</w:r>
          </w:p>
        </w:tc>
        <w:tc>
          <w:tcPr>
            <w:tcW w:w="2828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(дата)</w:t>
            </w:r>
          </w:p>
        </w:tc>
      </w:tr>
    </w:tbl>
    <w:p>
      <w:pPr>
        <w:pStyle w:val="Normal"/>
        <w:jc w:val="center"/>
        <w:rPr>
          <w:b/>
          <w:lang w:val="en-US"/>
        </w:rPr>
      </w:pPr>
      <w:r>
        <w:rPr>
          <w:b/>
          <w:lang w:val="en-US"/>
        </w:rPr>
      </w:r>
    </w:p>
    <w:tbl>
      <w:tblPr>
        <w:tblW w:w="10065" w:type="dxa"/>
        <w:jc w:val="left"/>
        <w:tblInd w:w="-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799"/>
        <w:gridCol w:w="265"/>
      </w:tblGrid>
      <w:tr>
        <w:trPr/>
        <w:tc>
          <w:tcPr>
            <w:tcW w:w="10064" w:type="dxa"/>
            <w:gridSpan w:val="2"/>
            <w:tcBorders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</w:tabs>
              <w:ind w:left="-105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Изучив Технические требования Заказчика в рамках настоящего мониторинга  </w:t>
            </w:r>
            <w:r>
              <w:rPr>
                <w:sz w:val="22"/>
                <w:szCs w:val="22"/>
                <w:lang w:val="en-US"/>
              </w:rPr>
              <w:t>ОКПД2 58.14.1 Подписка и доставка периодических печатных изданий (журналов) для нужд АО “Ленгидропроект”.</w:t>
            </w:r>
          </w:p>
        </w:tc>
      </w:tr>
      <w:tr>
        <w:trPr/>
        <w:tc>
          <w:tcPr>
            <w:tcW w:w="9799" w:type="dxa"/>
            <w:tcBorders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(полное наименование организации с указанием организационно-правой формы и ИНН)</w:t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9799" w:type="dxa"/>
            <w:tcBorders>
              <w:bottom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,</w:t>
            </w:r>
          </w:p>
        </w:tc>
      </w:tr>
      <w:tr>
        <w:trPr/>
        <w:tc>
          <w:tcPr>
            <w:tcW w:w="9799" w:type="dxa"/>
            <w:tcBorders>
              <w:top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vertAlign w:val="superscript"/>
              </w:rPr>
              <w:t>(юридический адрес)</w:t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9799" w:type="dxa"/>
            <w:tcBorders>
              <w:bottom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,</w:t>
            </w:r>
          </w:p>
        </w:tc>
      </w:tr>
      <w:tr>
        <w:trPr/>
        <w:tc>
          <w:tcPr>
            <w:tcW w:w="9799" w:type="dxa"/>
            <w:tcBorders>
              <w:top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vertAlign w:val="superscript"/>
              </w:rPr>
              <w:t>(почтовый адрес)</w:t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9799" w:type="dxa"/>
            <w:tcBorders>
              <w:bottom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/>
            </w:pPr>
            <w:r>
              <w:rPr/>
              <w:t>,</w:t>
            </w:r>
          </w:p>
        </w:tc>
      </w:tr>
    </w:tbl>
    <w:p>
      <w:pPr>
        <w:pStyle w:val="Normal"/>
        <w:spacing w:before="0" w:after="0"/>
        <w:contextualSpacing/>
        <w:jc w:val="center"/>
        <w:rPr/>
      </w:pPr>
      <w:r>
        <w:rPr>
          <w:vertAlign w:val="superscript"/>
        </w:rPr>
        <w:t>(контактные данные номер телефона, e-mail, ФИО контактного лица)</w:t>
      </w:r>
    </w:p>
    <w:p>
      <w:pPr>
        <w:pStyle w:val="Normal"/>
        <w:widowControl/>
        <w:bidi w:val="0"/>
        <w:spacing w:lineRule="auto" w:line="240" w:before="0" w:after="0"/>
        <w:ind w:left="-113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согласен </w:t>
      </w:r>
      <w:r>
        <w:rPr>
          <w:kern w:val="2"/>
          <w:sz w:val="20"/>
          <w:szCs w:val="20"/>
        </w:rPr>
        <w:t xml:space="preserve">со всеми условиями Технических требований, включая установленные (предложенные Заказчиком) сроки изготовления и поставки Товара, условия оплаты </w:t>
      </w:r>
      <w:r>
        <w:rPr>
          <w:sz w:val="20"/>
          <w:szCs w:val="20"/>
        </w:rPr>
        <w:t>и сообщаю следующее:</w:t>
      </w:r>
    </w:p>
    <w:p>
      <w:pPr>
        <w:pStyle w:val="Normal"/>
        <w:spacing w:before="0" w:after="0"/>
        <w:contextualSpacing/>
        <w:jc w:val="both"/>
        <w:rPr>
          <w:kern w:val="2"/>
        </w:rPr>
      </w:pPr>
      <w:r>
        <w:rPr>
          <w:kern w:val="2"/>
        </w:rPr>
      </w:r>
    </w:p>
    <w:p>
      <w:pPr>
        <w:pStyle w:val="Normal"/>
        <w:shd w:val="clear" w:color="auto" w:fill="FFFFFF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Сводная таблица стоимости продукции</w:t>
      </w:r>
    </w:p>
    <w:tbl>
      <w:tblPr>
        <w:tblW w:w="10035" w:type="dxa"/>
        <w:jc w:val="left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60"/>
        <w:gridCol w:w="4754"/>
        <w:gridCol w:w="920"/>
        <w:gridCol w:w="840"/>
        <w:gridCol w:w="1241"/>
        <w:gridCol w:w="1319"/>
      </w:tblGrid>
      <w:tr>
        <w:trPr>
          <w:trHeight w:val="100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Наименование услуг 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Ед. </w:t>
            </w:r>
          </w:p>
          <w:p>
            <w:pPr>
              <w:pStyle w:val="Normal"/>
              <w:keepNext w:val="true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изм-я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Цена за единицу без учета НДС, руб. коп.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Стоимость без учета НДС, руб. коп.</w:t>
            </w:r>
          </w:p>
        </w:tc>
      </w:tr>
      <w:tr>
        <w:trPr>
          <w:trHeight w:val="149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>
        <w:trPr>
          <w:trHeight w:val="221" w:hRule="atLeast"/>
        </w:trPr>
        <w:tc>
          <w:tcPr>
            <w:tcW w:w="100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1134" w:leader="none"/>
              </w:tabs>
              <w:ind w:left="-105" w:hanging="0"/>
              <w:jc w:val="both"/>
              <w:rPr>
                <w:b/>
                <w:bCs/>
              </w:rPr>
            </w:pPr>
            <w:r>
              <w:rPr>
                <w:rFonts w:eastAsia="Calibri"/>
                <w:b/>
                <w:bCs/>
                <w:i w:val="false"/>
                <w:iCs w:val="false"/>
                <w:caps/>
                <w:sz w:val="22"/>
                <w:szCs w:val="22"/>
                <w:lang w:val="en-US"/>
              </w:rPr>
              <w:t xml:space="preserve">ОКПД2 58.14.1 </w:t>
            </w:r>
            <w:r>
              <w:rPr>
                <w:rFonts w:eastAsia="Calibri" w:ascii="Times New Roman" w:hAnsi="Times New Roman"/>
                <w:b/>
                <w:bCs/>
                <w:i w:val="false"/>
                <w:iCs w:val="false"/>
                <w:caps/>
                <w:sz w:val="20"/>
                <w:szCs w:val="20"/>
                <w:lang w:val="en-US"/>
              </w:rPr>
              <w:t>Подписка и доставка периодических печатных изданий (журналов) для нужд АО “Ленгидропроект”.</w:t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Информационный бюллетень о нормативной, методической и типовой проектной документации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Берг-Коллегия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Финансовый директор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Справочник специалиста по охране труда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Экология производства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404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851" w:leader="none"/>
                <w:tab w:val="left" w:pos="993" w:leader="none"/>
              </w:tabs>
              <w:spacing w:before="0" w:after="0"/>
              <w:ind w:left="360" w:right="142" w:hanging="0"/>
              <w:contextualSpacing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Справочник экономиста</w:t>
            </w:r>
          </w:p>
        </w:tc>
        <w:tc>
          <w:tcPr>
            <w:tcW w:w="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Nimbus Roman [UKWN]" w:hAnsi="Nimbus Roman [UKWN]"/>
                <w:sz w:val="22"/>
                <w:szCs w:val="22"/>
              </w:rPr>
            </w:pPr>
            <w:r>
              <w:rPr>
                <w:rFonts w:ascii="Nimbus Roman [UKWN]" w:hAnsi="Nimbus Roman [UKWN]"/>
                <w:sz w:val="22"/>
                <w:szCs w:val="22"/>
              </w:rPr>
            </w:r>
          </w:p>
        </w:tc>
      </w:tr>
      <w:tr>
        <w:trPr>
          <w:trHeight w:val="221" w:hRule="atLeast"/>
        </w:trPr>
        <w:tc>
          <w:tcPr>
            <w:tcW w:w="747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Итого, без НДС, руб. коп.: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color w:val="000000" w:themeColor="text1"/>
        </w:rPr>
      </w:pPr>
      <w:r>
        <w:rPr>
          <w:color w:val="000000" w:themeColor="text1"/>
        </w:rPr>
      </w:r>
    </w:p>
    <w:tbl>
      <w:tblPr>
        <w:tblW w:w="10050" w:type="dxa"/>
        <w:jc w:val="left"/>
        <w:tblInd w:w="-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50"/>
      </w:tblGrid>
      <w:tr>
        <w:trPr/>
        <w:tc>
          <w:tcPr>
            <w:tcW w:w="10050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>
        <w:trPr/>
        <w:tc>
          <w:tcPr>
            <w:tcW w:w="10050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 w:themeColor="text1"/>
                <w:vertAlign w:val="superscript"/>
              </w:rPr>
            </w:pPr>
            <w:r>
              <w:rPr>
                <w:color w:val="000000" w:themeColor="text1"/>
                <w:vertAlign w:val="superscript"/>
              </w:rPr>
            </w:r>
          </w:p>
        </w:tc>
      </w:tr>
    </w:tbl>
    <w:p>
      <w:pPr>
        <w:pStyle w:val="Normal"/>
        <w:spacing w:before="0" w:after="0"/>
        <w:contextualSpacing/>
        <w:rPr>
          <w:kern w:val="2"/>
        </w:rPr>
      </w:pPr>
      <w:r>
        <w:rPr>
          <w:kern w:val="2"/>
        </w:rPr>
      </w:r>
    </w:p>
    <w:tbl>
      <w:tblPr>
        <w:tblW w:w="4830" w:type="dxa"/>
        <w:jc w:val="left"/>
        <w:tblInd w:w="-6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279"/>
        <w:gridCol w:w="2550"/>
      </w:tblGrid>
      <w:tr>
        <w:trPr/>
        <w:tc>
          <w:tcPr>
            <w:tcW w:w="4829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4829" w:type="dxa"/>
            <w:gridSpan w:val="2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vertAlign w:val="superscript"/>
              </w:rPr>
              <w:t>(должность)</w:t>
            </w:r>
          </w:p>
        </w:tc>
      </w:tr>
      <w:tr>
        <w:trPr/>
        <w:tc>
          <w:tcPr>
            <w:tcW w:w="2279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2550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>
          <w:trHeight w:val="53" w:hRule="atLeast"/>
        </w:trPr>
        <w:tc>
          <w:tcPr>
            <w:tcW w:w="2279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(подпись)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(расшифровка подписи)</w:t>
            </w:r>
          </w:p>
          <w:p>
            <w:pPr>
              <w:pStyle w:val="Normal"/>
              <w:widowControl w:val="false"/>
              <w:rPr>
                <w:vertAlign w:val="superscript"/>
              </w:rPr>
            </w:pPr>
            <w:r>
              <w:rPr>
                <w:vertAlign w:val="superscript"/>
              </w:rPr>
              <w:t>М..П.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078" w:type="dxa"/>
        <w:jc w:val="left"/>
        <w:tblInd w:w="-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78"/>
      </w:tblGrid>
      <w:tr>
        <w:trPr/>
        <w:tc>
          <w:tcPr>
            <w:tcW w:w="100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конец формы</w:t>
            </w:r>
          </w:p>
        </w:tc>
      </w:tr>
    </w:tbl>
    <w:p>
      <w:pPr>
        <w:pStyle w:val="Normal"/>
        <w:numPr>
          <w:ilvl w:val="0"/>
          <w:numId w:val="0"/>
        </w:numPr>
        <w:ind w:left="0" w:hanging="0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/>
      </w:r>
    </w:p>
    <w:sectPr>
      <w:type w:val="nextPage"/>
      <w:pgSz w:w="11906" w:h="16838"/>
      <w:pgMar w:left="1134" w:right="851" w:gutter="0" w:header="0" w:top="992" w:footer="0" w:bottom="99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i Light">
    <w:charset w:val="01"/>
    <w:family w:val="roman"/>
    <w:pitch w:val="variable"/>
  </w:font>
  <w:font w:name="Calibri">
    <w:charset w:val="01"/>
    <w:family w:val="roman"/>
    <w:pitch w:val="variable"/>
  </w:font>
  <w:font w:name="Helvetica Neue">
    <w:altName w:val="Helvetica"/>
    <w:charset w:val="01"/>
    <w:family w:val="roman"/>
    <w:pitch w:val="variable"/>
  </w:font>
  <w:font w:name="Nimbus Roman [UKWN]">
    <w:charset w:val="01"/>
    <w:family w:val="roman"/>
    <w:pitch w:val="variable"/>
  </w:font>
  <w:font w:name="Nimbus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sz w:val="26"/>
        <w:szCs w:val="26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92" w:hanging="432"/>
      </w:pPr>
      <w:rPr>
        <w:sz w:val="26"/>
        <w:szCs w:val="26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6"/>
  <w:displayBackgroundShape/>
  <w:defaultTabStop w:val="720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rlito" w:hAnsi="Carlito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paragraph" w:styleId="Heading1">
    <w:name w:val="Heading 1"/>
    <w:basedOn w:val="Heading3"/>
    <w:next w:val="BodyText"/>
    <w:qFormat/>
    <w:pPr>
      <w:numPr>
        <w:ilvl w:val="0"/>
        <w:numId w:val="2"/>
      </w:numPr>
      <w:outlineLvl w:val="0"/>
    </w:pPr>
    <w:rPr>
      <w:sz w:val="28"/>
      <w:szCs w:val="28"/>
    </w:rPr>
  </w:style>
  <w:style w:type="paragraph" w:styleId="Heading3">
    <w:name w:val="Heading 3"/>
    <w:basedOn w:val="Normal"/>
    <w:next w:val="BodyText"/>
    <w:qFormat/>
    <w:pPr>
      <w:keepNext w:val="true"/>
      <w:numPr>
        <w:ilvl w:val="2"/>
        <w:numId w:val="2"/>
      </w:numPr>
      <w:spacing w:before="120" w:after="60"/>
      <w:jc w:val="both"/>
      <w:outlineLvl w:val="2"/>
    </w:pPr>
    <w:rPr>
      <w:rFonts w:eastAsia="Calibri"/>
      <w:b/>
      <w:lang w:val="ru-RU"/>
    </w:rPr>
  </w:style>
  <w:style w:type="paragraph" w:styleId="Heading4">
    <w:name w:val="Heading 4"/>
    <w:basedOn w:val="Heading3"/>
    <w:next w:val="BodyText"/>
    <w:qFormat/>
    <w:pPr>
      <w:numPr>
        <w:ilvl w:val="3"/>
        <w:numId w:val="2"/>
      </w:numPr>
      <w:outlineLvl w:val="3"/>
    </w:pPr>
    <w:rPr>
      <w:bCs/>
    </w:rPr>
  </w:style>
  <w:style w:type="character" w:styleId="WW8Num3z1">
    <w:name w:val="WW8Num3z1"/>
    <w:qFormat/>
    <w:rPr>
      <w:sz w:val="26"/>
      <w:szCs w:val="26"/>
      <w:lang w:val="ru-RU"/>
    </w:rPr>
  </w:style>
  <w:style w:type="character" w:styleId="WW8Num4z0">
    <w:name w:val="WW8Num4z0"/>
    <w:qFormat/>
    <w:rPr>
      <w:b/>
    </w:rPr>
  </w:style>
  <w:style w:type="character" w:styleId="WW8Num4z1">
    <w:name w:val="WW8Num4z1"/>
    <w:qFormat/>
    <w:rPr>
      <w:sz w:val="26"/>
      <w:szCs w:val="26"/>
      <w:lang w:val="ru-RU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>
      <w:b w:val="false"/>
      <w:bCs w:val="false"/>
    </w:rPr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Style6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7">
    <w:name w:val="ДТ. Текст"/>
    <w:qFormat/>
    <w:rPr/>
  </w:style>
  <w:style w:type="character" w:styleId="Annotationreference">
    <w:name w:val="annotation reference"/>
    <w:qFormat/>
    <w:rPr>
      <w:sz w:val="16"/>
      <w:szCs w:val="16"/>
    </w:rPr>
  </w:style>
  <w:style w:type="character" w:styleId="Doctitleimportant1">
    <w:name w:val="doc__title_important1"/>
    <w:qFormat/>
    <w:rPr>
      <w:vanish w:val="false"/>
      <w:color w:val="000000"/>
    </w:rPr>
  </w:style>
  <w:style w:type="character" w:styleId="Strong">
    <w:name w:val="Strong"/>
    <w:qFormat/>
    <w:rPr>
      <w:b/>
      <w:bCs/>
    </w:rPr>
  </w:style>
  <w:style w:type="character" w:styleId="Style8">
    <w:name w:val="Текст примечания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9">
    <w:name w:val="Тема примечания Знак"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Style10">
    <w:name w:val="Текст выноски Знак"/>
    <w:qFormat/>
    <w:rPr>
      <w:rFonts w:ascii="Segoe UI" w:hAnsi="Segoe UI" w:eastAsia="Times New Roman" w:cs="Segoe UI"/>
      <w:sz w:val="18"/>
      <w:szCs w:val="18"/>
    </w:rPr>
  </w:style>
  <w:style w:type="character" w:styleId="Style11">
    <w:name w:val="комментарий"/>
    <w:qFormat/>
    <w:rPr>
      <w:i/>
      <w:shd w:fill="FFFF99" w:val="clear"/>
    </w:rPr>
  </w:style>
  <w:style w:type="character" w:styleId="1">
    <w:name w:val="Заголовок 1 Знак"/>
    <w:qFormat/>
    <w:rPr>
      <w:rFonts w:ascii="Times New Roman" w:hAnsi="Times New Roman" w:eastAsia="Calibri" w:cs="Times New Roman"/>
      <w:b/>
      <w:sz w:val="28"/>
      <w:szCs w:val="28"/>
      <w:lang w:val="ru-RU"/>
    </w:rPr>
  </w:style>
  <w:style w:type="character" w:styleId="3">
    <w:name w:val="Заголовок 3 Знак"/>
    <w:qFormat/>
    <w:rPr>
      <w:rFonts w:ascii="Times New Roman" w:hAnsi="Times New Roman" w:eastAsia="Calibri" w:cs="Times New Roman"/>
      <w:b/>
      <w:sz w:val="24"/>
      <w:szCs w:val="24"/>
      <w:lang w:val="ru-RU"/>
    </w:rPr>
  </w:style>
  <w:style w:type="character" w:styleId="4">
    <w:name w:val="Заголовок 4 Знак"/>
    <w:qFormat/>
    <w:rPr>
      <w:rFonts w:ascii="Times New Roman" w:hAnsi="Times New Roman" w:eastAsia="Calibri" w:cs="Times New Roman"/>
      <w:b/>
      <w:bCs/>
      <w:sz w:val="24"/>
      <w:szCs w:val="24"/>
      <w:lang w:val="ru-RU"/>
    </w:rPr>
  </w:style>
  <w:style w:type="character" w:styleId="Style12">
    <w:name w:val="Абзац списка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Style13">
    <w:name w:val="Текст сноски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4">
    <w:name w:val="Символ сноски"/>
    <w:qFormat/>
    <w:rPr>
      <w:vertAlign w:val="superscript"/>
    </w:rPr>
  </w:style>
  <w:style w:type="character" w:styleId="Style15">
    <w:name w:val="Знак сноски"/>
    <w:qFormat/>
    <w:rPr>
      <w:vertAlign w:val="superscript"/>
    </w:rPr>
  </w:style>
  <w:style w:type="character" w:styleId="Markedcontent">
    <w:name w:val="markedcontent"/>
    <w:basedOn w:val="DefaultParagraphFont"/>
    <w:qFormat/>
    <w:rPr/>
  </w:style>
  <w:style w:type="character" w:styleId="Emphasis">
    <w:name w:val="Emphasis"/>
    <w:qFormat/>
    <w:rPr>
      <w:i/>
      <w:iCs/>
    </w:rPr>
  </w:style>
  <w:style w:type="character" w:styleId="Style16">
    <w:name w:val="Основной текст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Style17">
    <w:name w:val="Основной текст_"/>
    <w:qFormat/>
    <w:rPr>
      <w:shd w:fill="FFFFFF" w:val="clear"/>
    </w:rPr>
  </w:style>
  <w:style w:type="character" w:styleId="Style18">
    <w:name w:val="Ссылка указателя"/>
    <w:qFormat/>
    <w:rPr/>
  </w:style>
  <w:style w:type="character" w:styleId="LineNumber">
    <w:name w:val="Line Number"/>
    <w:rPr/>
  </w:style>
  <w:style w:type="character" w:styleId="11">
    <w:name w:val="Текст выноски Знак1"/>
    <w:qFormat/>
    <w:rPr>
      <w:rFonts w:ascii="Segoe UI" w:hAnsi="Segoe UI" w:cs="Segoe UI"/>
      <w:color w:val="00000A"/>
      <w:sz w:val="18"/>
      <w:szCs w:val="18"/>
    </w:rPr>
  </w:style>
  <w:style w:type="character" w:styleId="Style19">
    <w:name w:val="Знак примечания"/>
    <w:qFormat/>
    <w:rPr>
      <w:sz w:val="16"/>
      <w:szCs w:val="16"/>
    </w:rPr>
  </w:style>
  <w:style w:type="character" w:styleId="12">
    <w:name w:val="Текст примечания Знак1"/>
    <w:qFormat/>
    <w:rPr>
      <w:color w:val="00000A"/>
    </w:rPr>
  </w:style>
  <w:style w:type="character" w:styleId="13">
    <w:name w:val="Тема примечания Знак1"/>
    <w:qFormat/>
    <w:rPr>
      <w:b/>
      <w:bCs/>
      <w:color w:val="00000A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sz w:val="28"/>
      <w:szCs w:val="28"/>
    </w:rPr>
  </w:style>
  <w:style w:type="paragraph" w:styleId="List">
    <w:name w:val="List"/>
    <w:basedOn w:val="BodyText"/>
    <w:pPr/>
    <w:rPr>
      <w:rFonts w:cs="Lohit Devanagari;MS Minch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4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 Sharp" w:cs="Lohit Devanagari;MS Mincho"/>
      <w:sz w:val="28"/>
      <w:szCs w:val="28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Lohit Devanagari;MS Mincho"/>
      <w:i/>
      <w:iCs/>
      <w:sz w:val="24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Lohit Devanagari;MS Mincho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ohit Devanagari;MS Mincho"/>
      <w:i/>
      <w:iCs/>
    </w:rPr>
  </w:style>
  <w:style w:type="paragraph" w:styleId="Indexheading1">
    <w:name w:val="index heading1"/>
    <w:basedOn w:val="14"/>
    <w:qFormat/>
    <w:pPr/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>
      <w:rFonts w:ascii="Arial" w:hAnsi="Arial" w:eastAsia="Arial" w:cs="Arial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2">
    <w:name w:val="Заголовок 2 КВВ"/>
    <w:basedOn w:val="Normal"/>
    <w:qFormat/>
    <w:pPr>
      <w:keepNext w:val="true"/>
      <w:spacing w:before="120" w:after="120"/>
      <w:jc w:val="both"/>
    </w:pPr>
    <w:rPr>
      <w:b/>
      <w:szCs w:val="20"/>
    </w:rPr>
  </w:style>
  <w:style w:type="paragraph" w:styleId="Style23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TOC1">
    <w:name w:val="TOC 1"/>
    <w:basedOn w:val="Normal"/>
    <w:pPr>
      <w:tabs>
        <w:tab w:val="clear" w:pos="720"/>
        <w:tab w:val="right" w:pos="9912" w:leader="dot"/>
      </w:tabs>
      <w:spacing w:before="120" w:after="0"/>
      <w:jc w:val="center"/>
    </w:pPr>
    <w:rPr>
      <w:rFonts w:cs="Calibri Light (Заголовки)"/>
      <w:b/>
      <w:bCs/>
    </w:rPr>
  </w:style>
  <w:style w:type="paragraph" w:styleId="TOC3">
    <w:name w:val="TOC 3"/>
    <w:basedOn w:val="Normal"/>
    <w:pPr>
      <w:tabs>
        <w:tab w:val="clear" w:pos="720"/>
        <w:tab w:val="left" w:pos="1100" w:leader="none"/>
        <w:tab w:val="right" w:pos="9912" w:leader="dot"/>
      </w:tabs>
    </w:pPr>
    <w:rPr>
      <w:rFonts w:cs="Calibri"/>
      <w:sz w:val="20"/>
      <w:szCs w:val="20"/>
    </w:rPr>
  </w:style>
  <w:style w:type="paragraph" w:styleId="TOC4">
    <w:name w:val="TOC 4"/>
    <w:basedOn w:val="Normal"/>
    <w:pPr>
      <w:ind w:left="560" w:right="0" w:hanging="0"/>
    </w:pPr>
    <w:rPr>
      <w:rFonts w:cs="Calibri"/>
      <w:sz w:val="20"/>
      <w:szCs w:val="20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Style24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lang w:val="ru-RU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IndexHeading">
    <w:name w:val="Index Heading"/>
    <w:basedOn w:val="14"/>
    <w:pPr/>
    <w:rPr/>
  </w:style>
  <w:style w:type="paragraph" w:styleId="TOCHeading">
    <w:name w:val="TOC Heading"/>
    <w:basedOn w:val="Heading1"/>
    <w:qFormat/>
    <w:pPr>
      <w:keepLines/>
      <w:numPr>
        <w:ilvl w:val="0"/>
        <w:numId w:val="0"/>
      </w:numPr>
      <w:spacing w:lineRule="auto" w:line="252" w:before="240" w:after="0"/>
      <w:ind w:left="0" w:right="0" w:hanging="0"/>
      <w:outlineLvl w:val="9"/>
    </w:pPr>
    <w:rPr>
      <w:rFonts w:ascii="Calibri Light" w:hAnsi="Calibri Light" w:eastAsia="" w:cs=""/>
      <w:b w:val="false"/>
      <w:color w:val="2E74B5"/>
      <w:sz w:val="32"/>
      <w:szCs w:val="32"/>
      <w:lang w:val="ru-RU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zh-CN" w:bidi="ar-SA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paragraph" w:styleId="Style25">
    <w:name w:val="[РГ] Текст"/>
    <w:basedOn w:val="Normal"/>
    <w:qFormat/>
    <w:pPr>
      <w:spacing w:before="120" w:after="0"/>
      <w:jc w:val="both"/>
    </w:pPr>
    <w:rPr>
      <w:rFonts w:cs="Times New Roman (???????? ?????;Times New Roman"/>
      <w:color w:val="000000"/>
      <w:sz w:val="26"/>
    </w:rPr>
  </w:style>
  <w:style w:type="paragraph" w:styleId="16">
    <w:name w:val="Обычный (веб)1"/>
    <w:basedOn w:val="Normal"/>
    <w:qFormat/>
    <w:pPr>
      <w:spacing w:before="280" w:after="280"/>
      <w:ind w:left="1724" w:right="0" w:hanging="0"/>
      <w:jc w:val="both"/>
    </w:pPr>
    <w:rPr>
      <w:color w:val="000000"/>
    </w:rPr>
  </w:style>
  <w:style w:type="paragraph" w:styleId="31">
    <w:name w:val="Основной текст3"/>
    <w:basedOn w:val="Normal"/>
    <w:qFormat/>
    <w:pPr>
      <w:shd w:val="clear" w:fill="FFFFFF"/>
      <w:spacing w:before="0" w:after="120"/>
      <w:ind w:left="0" w:right="0" w:hanging="4780"/>
    </w:pPr>
    <w:rPr>
      <w:rFonts w:ascii="Calibri" w:hAnsi="Calibri" w:eastAsia="Calibri" w:cs=""/>
      <w:sz w:val="22"/>
      <w:szCs w:val="22"/>
    </w:rPr>
  </w:style>
  <w:style w:type="paragraph" w:styleId="Style26">
    <w:name w:val="Содержимое таблицы"/>
    <w:basedOn w:val="Normal"/>
    <w:qFormat/>
    <w:pPr/>
    <w:rPr/>
  </w:style>
  <w:style w:type="paragraph" w:styleId="Style27">
    <w:name w:val="Заголовок таблицы"/>
    <w:basedOn w:val="Style26"/>
    <w:qFormat/>
    <w:pPr/>
    <w:rPr/>
  </w:style>
  <w:style w:type="paragraph" w:styleId="Style28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9">
    <w:name w:val="Текст примечания"/>
    <w:basedOn w:val="Normal"/>
    <w:qFormat/>
    <w:pPr/>
    <w:rPr>
      <w:sz w:val="20"/>
      <w:szCs w:val="20"/>
    </w:rPr>
  </w:style>
  <w:style w:type="paragraph" w:styleId="Style30">
    <w:name w:val="Тема примечания"/>
    <w:basedOn w:val="Style29"/>
    <w:next w:val="Style29"/>
    <w:qFormat/>
    <w:pPr/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59" w:before="0" w:after="0"/>
      <w:jc w:val="left"/>
      <w:textAlignment w:val="baseline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AlterOffice/2025.3.0.0$Linux_X86_64 LibreOffice_project/4ba31b6a4271509a884f95065d0a726e9cb2bdbb</Application>
  <AppVersion>15.0000</AppVersion>
  <Pages>8</Pages>
  <Words>1093</Words>
  <Characters>7505</Characters>
  <CharactersWithSpaces>8410</CharactersWithSpaces>
  <Paragraphs>222</Paragraphs>
  <Company>ОАО Ленгидропроект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2024-11-14T13:42:00Z</dcterms:created>
  <dc:creator>Крестьянова Александра Николаевна</dc:creator>
  <dc:description/>
  <dc:language>ru-RU</dc:language>
  <cp:lastModifiedBy>seligerskaiagiu</cp:lastModifiedBy>
  <cp:lastPrinted>2024-11-14T14:04:00Z</cp:lastPrinted>
  <dcterms:modified xsi:type="dcterms:W3CDTF">2026-06-03T14:41:58Z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