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240" w:after="60"/>
        <w:ind w:left="0" w:hanging="0"/>
        <w:jc w:val="center"/>
        <w:outlineLvl w:val="2"/>
        <w:rPr>
          <w:rFonts w:ascii="Arial" w:hAnsi="Arial" w:eastAsia="Times New Roman" w:cs="Arial"/>
          <w:bCs/>
          <w:sz w:val="26"/>
          <w:szCs w:val="26"/>
          <w:lang w:eastAsia="ru-RU"/>
        </w:rPr>
      </w:pPr>
      <w:r>
        <w:rPr>
          <w:rFonts w:eastAsia="Times New Roman" w:cs="Arial" w:ascii="Arial" w:hAnsi="Arial"/>
          <w:bCs/>
          <w:sz w:val="26"/>
          <w:szCs w:val="26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240" w:after="60"/>
        <w:ind w:left="0" w:hanging="0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16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16"/>
          <w:szCs w:val="24"/>
          <w:lang w:eastAsia="ru-RU"/>
        </w:rPr>
      </w:r>
    </w:p>
    <w:p>
      <w:pPr>
        <w:pStyle w:val="Normal"/>
        <w:tabs>
          <w:tab w:val="clear" w:pos="708"/>
          <w:tab w:val="left" w:pos="6060" w:leader="none"/>
        </w:tabs>
        <w:spacing w:lineRule="auto" w:line="240" w:before="0" w:after="0"/>
        <w:rPr>
          <w:rFonts w:ascii="Franklin Gothic Medium" w:hAnsi="Franklin Gothic Medium" w:eastAsia="Times New Roman" w:cs="Times New Roman"/>
          <w:b/>
          <w:color w:val="000000"/>
          <w:sz w:val="16"/>
          <w:szCs w:val="24"/>
          <w:lang w:eastAsia="ru-RU"/>
        </w:rPr>
      </w:pPr>
      <w:r>
        <w:rPr>
          <w:rFonts w:eastAsia="Times New Roman" w:cs="Times New Roman" w:ascii="Franklin Gothic Medium" w:hAnsi="Franklin Gothic Medium"/>
          <w:b/>
          <w:color w:val="000000"/>
          <w:sz w:val="16"/>
          <w:szCs w:val="24"/>
          <w:lang w:eastAsia="ru-RU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cs="Times New Roman" w:ascii="Times New Roman" w:hAnsi="Times New Roman"/>
          <w:b/>
          <w:sz w:val="24"/>
          <w:szCs w:val="26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cs="Times New Roman" w:ascii="Times New Roman" w:hAnsi="Times New Roman"/>
          <w:b/>
          <w:sz w:val="24"/>
          <w:szCs w:val="26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cs="Times New Roman" w:ascii="Times New Roman" w:hAnsi="Times New Roman"/>
          <w:b/>
          <w:sz w:val="24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cs="Times New Roman" w:ascii="Times New Roman" w:hAnsi="Times New Roman"/>
          <w:b/>
          <w:sz w:val="24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cs="Times New Roman" w:ascii="Times New Roman" w:hAnsi="Times New Roman"/>
          <w:b/>
          <w:sz w:val="24"/>
          <w:szCs w:val="26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cs="Times New Roman" w:ascii="Times New Roman" w:hAnsi="Times New Roman"/>
          <w:b/>
          <w:sz w:val="24"/>
          <w:szCs w:val="26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cs="Times New Roman" w:ascii="Times New Roman" w:hAnsi="Times New Roman"/>
          <w:b/>
          <w:sz w:val="24"/>
          <w:szCs w:val="26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Технические требования на выполнение работ</w:t>
      </w:r>
    </w:p>
    <w:p>
      <w:pPr>
        <w:pStyle w:val="Normal"/>
        <w:shd w:val="clear" w:fill="FFFFFF"/>
        <w:tabs>
          <w:tab w:val="clear" w:pos="708"/>
          <w:tab w:val="left" w:pos="284" w:leader="none"/>
        </w:tabs>
        <w:spacing w:lineRule="auto" w:line="240" w:before="0"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hd w:val="clear" w:fill="FFFFFF"/>
        <w:tabs>
          <w:tab w:val="clear" w:pos="708"/>
          <w:tab w:val="left" w:pos="284" w:leader="none"/>
        </w:tabs>
        <w:spacing w:lineRule="auto" w:line="240" w:before="0" w:after="0"/>
        <w:jc w:val="center"/>
        <w:rPr>
          <w:highlight w:val="none"/>
          <w:shd w:fill="FFFFFF" w:val="clear"/>
        </w:rPr>
      </w:pPr>
      <w:r>
        <w:rPr>
          <w:rFonts w:cs="Times New Roman" w:ascii="Times New Roman" w:hAnsi="Times New Roman"/>
          <w:b/>
          <w:bCs/>
          <w:sz w:val="26"/>
          <w:szCs w:val="26"/>
          <w:shd w:fill="FFFFFF" w:val="clear"/>
        </w:rPr>
        <w:t>«</w:t>
      </w:r>
      <w:r>
        <w:rPr>
          <w:rFonts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FFFFFF" w:val="clear"/>
          <w:em w:val="none"/>
        </w:rPr>
        <w:t>ОКПД2 42.22.22.140. Выполнение работ по ремонту металлической опоры ВЛ 35кВ  структурного подразделения "Северные электрические сети", филиала "Хабаровские электрические сети"»</w:t>
      </w:r>
    </w:p>
    <w:p>
      <w:pPr>
        <w:pStyle w:val="Normal"/>
        <w:shd w:val="clear" w:fill="FFFFFF"/>
        <w:tabs>
          <w:tab w:val="clear" w:pos="708"/>
          <w:tab w:val="left" w:pos="284" w:leader="none"/>
        </w:tabs>
        <w:spacing w:lineRule="auto" w:line="240" w:before="0" w:after="0"/>
        <w:jc w:val="center"/>
        <w:rPr>
          <w:highlight w:val="none"/>
          <w:shd w:fill="FFFFFF" w:val="clear"/>
        </w:rPr>
      </w:pPr>
      <w:r>
        <w:rPr>
          <w:rFonts w:cs="Times New Roman" w:ascii="Times New Roman" w:hAnsi="Times New Roman"/>
          <w:b/>
          <w:bCs/>
          <w:sz w:val="26"/>
          <w:szCs w:val="26"/>
          <w:shd w:fill="FFFFFF" w:val="clear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shd w:fill="FFFFFF" w:val="clear"/>
        </w:rPr>
        <w:t>(ЛОТ №           -РЕМ ПРОД-2025-ДРСК-ХЭС)</w:t>
      </w:r>
    </w:p>
    <w:p>
      <w:pPr>
        <w:pStyle w:val="Normal"/>
        <w:rPr>
          <w:rFonts w:ascii="Times New Roman" w:hAnsi="Times New Roman" w:cs="Times New Roman"/>
          <w:b/>
          <w:sz w:val="26"/>
          <w:szCs w:val="26"/>
          <w:highlight w:val="none"/>
          <w:shd w:fill="FFFFFF" w:val="clear"/>
        </w:rPr>
      </w:pPr>
      <w:r>
        <w:rPr>
          <w:rFonts w:cs="Times New Roman" w:ascii="Times New Roman" w:hAnsi="Times New Roman"/>
          <w:b/>
          <w:sz w:val="26"/>
          <w:szCs w:val="26"/>
          <w:shd w:fill="FFFFFF" w:val="clear"/>
        </w:rPr>
      </w:r>
    </w:p>
    <w:p>
      <w:pPr>
        <w:pStyle w:val="Normal"/>
        <w:rPr>
          <w:rFonts w:ascii="Times New Roman" w:hAnsi="Times New Roman" w:cs="Times New Roman"/>
          <w:b/>
          <w:sz w:val="26"/>
          <w:szCs w:val="26"/>
          <w:highlight w:val="none"/>
          <w:shd w:fill="FFFFFF" w:val="clear"/>
        </w:rPr>
      </w:pPr>
      <w:r>
        <w:rPr>
          <w:rFonts w:cs="Times New Roman" w:ascii="Times New Roman" w:hAnsi="Times New Roman"/>
          <w:b/>
          <w:sz w:val="26"/>
          <w:szCs w:val="26"/>
          <w:shd w:fill="FFFFFF" w:val="clear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СОДЕРЖАНИЕ</w:t>
      </w:r>
    </w:p>
    <w:p>
      <w:pPr>
        <w:pStyle w:val="Normal"/>
        <w:jc w:val="center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left" w:pos="284" w:leader="none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iCs w:val="false"/>
              <w:color w:val="00000A"/>
              <w:sz w:val="22"/>
              <w:szCs w:val="22"/>
            </w:rPr>
          </w:pPr>
          <w:r>
            <w:fldChar w:fldCharType="begin"/>
          </w:r>
          <w:r>
            <w:rPr>
              <w:rStyle w:val="Style9"/>
              <w:b w:val="false"/>
            </w:rPr>
            <w:instrText xml:space="preserve"> TOC \o "1-4" \h</w:instrText>
          </w:r>
          <w:r>
            <w:rPr>
              <w:rStyle w:val="Style9"/>
              <w:b w:val="false"/>
            </w:rPr>
            <w:fldChar w:fldCharType="separate"/>
          </w:r>
          <w:hyperlink w:anchor="_Toc154561866">
            <w:r>
              <w:rPr>
                <w:rStyle w:val="Style9"/>
                <w:b w:val="false"/>
              </w:rPr>
              <w:t>1.</w:t>
            </w:r>
            <w:r>
              <w:rPr>
                <w:rStyle w:val="Style9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Cs w:val="false"/>
                <w:color w:val="00000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_Toc154561866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9"/>
                <w:b w:val="false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color w:val="00000A"/>
              <w:sz w:val="22"/>
              <w:szCs w:val="22"/>
            </w:rPr>
          </w:pPr>
          <w:hyperlink w:anchor="_Toc154561867">
            <w:r>
              <w:rPr>
                <w:rStyle w:val="Style9"/>
              </w:rPr>
              <w:t>1.1.</w:t>
            </w:r>
            <w:r>
              <w:rPr>
                <w:rStyle w:val="Style9"/>
                <w:rFonts w:eastAsia="" w:cs="" w:ascii="Calibri" w:hAnsi="Calibri" w:asciiTheme="minorHAnsi" w:cstheme="minorBidi" w:eastAsiaTheme="minorEastAsia" w:hAnsiTheme="minorHAnsi"/>
                <w:color w:val="00000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_Toc154561867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9"/>
              </w:rPr>
              <w:t>Наименование закупаемых работ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left" w:pos="284" w:leader="none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iCs w:val="false"/>
              <w:color w:val="00000A"/>
              <w:sz w:val="22"/>
              <w:szCs w:val="22"/>
            </w:rPr>
          </w:pPr>
          <w:hyperlink w:anchor="_Toc154561868">
            <w:r>
              <w:rPr>
                <w:rStyle w:val="Style9"/>
                <w:b w:val="false"/>
              </w:rPr>
              <w:t>2.</w:t>
            </w:r>
            <w:r>
              <w:rPr>
                <w:rStyle w:val="Style9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Cs w:val="false"/>
                <w:color w:val="00000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_Toc154561868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9"/>
                <w:b w:val="false"/>
              </w:rPr>
              <w:t>Требования к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color w:val="00000A"/>
              <w:sz w:val="22"/>
              <w:szCs w:val="22"/>
            </w:rPr>
          </w:pPr>
          <w:hyperlink w:anchor="_Toc154561869">
            <w:r>
              <w:rPr>
                <w:rStyle w:val="Style9"/>
              </w:rPr>
              <w:t>2.1.</w:t>
            </w:r>
            <w:r>
              <w:rPr>
                <w:rStyle w:val="Style9"/>
                <w:rFonts w:eastAsia="" w:cs="" w:ascii="Calibri" w:hAnsi="Calibri" w:asciiTheme="minorHAnsi" w:cstheme="minorBidi" w:eastAsiaTheme="minorEastAsia" w:hAnsiTheme="minorHAnsi"/>
                <w:color w:val="00000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_Toc154561869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9"/>
              </w:rPr>
              <w:t>Требования к объемам и срокам выполнения работ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ind w:firstLine="454"/>
            <w:rPr>
              <w:rFonts w:ascii="Calibri" w:hAnsi="Calibri" w:eastAsia="" w:cs="" w:asciiTheme="minorHAnsi" w:cstheme="minorBidi" w:eastAsiaTheme="minorEastAsia" w:hAnsiTheme="minorHAnsi"/>
              <w:color w:val="00000A"/>
              <w:sz w:val="22"/>
              <w:szCs w:val="22"/>
            </w:rPr>
          </w:pPr>
          <w:hyperlink w:anchor="_Toc154561870">
            <w:r>
              <w:rPr>
                <w:rStyle w:val="Style9"/>
              </w:rPr>
              <w:t>2.1.1</w:t>
            </w:r>
            <w:r>
              <w:rPr>
                <w:rStyle w:val="Style9"/>
                <w:rFonts w:eastAsia="" w:cs="" w:ascii="Calibri" w:hAnsi="Calibri" w:asciiTheme="minorHAnsi" w:cstheme="minorBidi" w:eastAsiaTheme="minorEastAsia" w:hAnsiTheme="minorHAnsi"/>
                <w:color w:val="00000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_Toc154561870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9"/>
              </w:rPr>
              <w:t>Требования к видам и объемам работ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spacing w:lineRule="auto" w:line="360"/>
            <w:ind w:firstLine="454"/>
            <w:rPr>
              <w:rFonts w:ascii="Calibri" w:hAnsi="Calibri" w:eastAsia="" w:cs="" w:asciiTheme="minorHAnsi" w:cstheme="minorBidi" w:eastAsiaTheme="minorEastAsia" w:hAnsiTheme="minorHAnsi"/>
              <w:color w:val="00000A"/>
            </w:rPr>
          </w:pPr>
          <w:hyperlink w:anchor="_Toc154561871">
            <w:r>
              <w:rPr>
                <w:rStyle w:val="Style9"/>
              </w:rPr>
              <w:t>2.1.2.</w:t>
            </w:r>
            <w:r>
              <w:rPr>
                <w:rStyle w:val="Style9"/>
                <w:rFonts w:eastAsia="" w:cs="" w:ascii="Calibri" w:hAnsi="Calibri" w:asciiTheme="minorHAnsi" w:cstheme="minorBidi" w:eastAsiaTheme="minorEastAsia" w:hAnsiTheme="minorHAnsi"/>
                <w:color w:val="00000A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_Toc154561871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9"/>
              </w:rPr>
              <w:t>Требования к срокам выполнения работ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color w:val="00000A"/>
              <w:sz w:val="22"/>
              <w:szCs w:val="22"/>
            </w:rPr>
          </w:pPr>
          <w:hyperlink w:anchor="_Toc154561872">
            <w:r>
              <w:rPr>
                <w:rStyle w:val="Style9"/>
              </w:rPr>
              <w:t>2.2.</w:t>
            </w:r>
            <w:r>
              <w:rPr>
                <w:rStyle w:val="Style9"/>
                <w:rFonts w:eastAsia="" w:cs="" w:ascii="Calibri" w:hAnsi="Calibri" w:asciiTheme="minorHAnsi" w:cstheme="minorBidi" w:eastAsiaTheme="minorEastAsia" w:hAnsiTheme="minorHAnsi"/>
                <w:color w:val="00000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_Toc154561872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9"/>
              </w:rPr>
              <w:t>Требования к качеству работ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left" w:pos="284" w:leader="none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iCs w:val="false"/>
              <w:color w:val="00000A"/>
              <w:sz w:val="22"/>
              <w:szCs w:val="22"/>
            </w:rPr>
          </w:pPr>
          <w:hyperlink w:anchor="_Toc154561873">
            <w:r>
              <w:rPr>
                <w:rStyle w:val="Style9"/>
                <w:b w:val="false"/>
              </w:rPr>
              <w:t>3.</w:t>
            </w:r>
            <w:r>
              <w:rPr>
                <w:rStyle w:val="Style9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Cs w:val="false"/>
                <w:color w:val="00000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_Toc154561873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9"/>
                <w:b w:val="false"/>
              </w:rPr>
              <w:t>Требования к документации по ценообразованию на этапе закупки</w:t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left" w:pos="284" w:leader="none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iCs w:val="false"/>
              <w:color w:val="00000A"/>
              <w:sz w:val="22"/>
              <w:szCs w:val="22"/>
            </w:rPr>
          </w:pPr>
          <w:hyperlink w:anchor="_Toc154561874">
            <w:r>
              <w:rPr>
                <w:rStyle w:val="Style9"/>
                <w:b w:val="false"/>
              </w:rPr>
              <w:t>4.</w:t>
            </w:r>
            <w:r>
              <w:rPr>
                <w:rStyle w:val="Style9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Cs w:val="false"/>
                <w:color w:val="00000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_Toc154561874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9"/>
                <w:b w:val="false"/>
              </w:rPr>
              <w:t>Требования к документации по ценообразованию на этапе заключения договора</w:t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left" w:pos="284" w:leader="none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iCs w:val="false"/>
              <w:color w:val="00000A"/>
              <w:sz w:val="22"/>
              <w:szCs w:val="22"/>
            </w:rPr>
          </w:pPr>
          <w:hyperlink w:anchor="_Toc154561875">
            <w:r>
              <w:rPr>
                <w:rStyle w:val="Style9"/>
                <w:b w:val="false"/>
              </w:rPr>
              <w:t>5.</w:t>
            </w:r>
            <w:r>
              <w:rPr>
                <w:rStyle w:val="Style9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Cs w:val="false"/>
                <w:color w:val="00000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_Toc154561875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9"/>
                <w:b w:val="false"/>
              </w:rPr>
              <w:t>Приложения:</w:t>
              <w:tab/>
              <w:t>8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9"/>
              <w:b w:val="false"/>
            </w:rPr>
            <w:fldChar w:fldCharType="end"/>
          </w:r>
        </w:p>
      </w:sdtContent>
    </w:sdt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  <w:r>
        <w:br w:type="page"/>
      </w:r>
    </w:p>
    <w:p>
      <w:pPr>
        <w:pStyle w:val="Heading1"/>
        <w:numPr>
          <w:ilvl w:val="0"/>
          <w:numId w:val="9"/>
        </w:numPr>
        <w:jc w:val="center"/>
        <w:rPr/>
      </w:pPr>
      <w:bookmarkStart w:id="0" w:name="_Toc154561866"/>
      <w:bookmarkEnd w:id="0"/>
      <w:r>
        <w:rPr/>
        <w:t>Общие сведения</w:t>
      </w:r>
    </w:p>
    <w:p>
      <w:pPr>
        <w:pStyle w:val="Heading4"/>
        <w:numPr>
          <w:ilvl w:val="1"/>
          <w:numId w:val="9"/>
        </w:numPr>
        <w:ind w:firstLine="27"/>
        <w:rPr/>
      </w:pPr>
      <w:bookmarkStart w:id="1" w:name="_Toc154561867"/>
      <w:bookmarkEnd w:id="1"/>
      <w:r>
        <w:rPr/>
        <w:t>Наименование закупаемых работ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426" w:hanging="0"/>
        <w:jc w:val="both"/>
        <w:rPr>
          <w:rFonts w:ascii="Times New Roman" w:hAnsi="Times New Roman" w:cs="Times New Roman"/>
          <w:bCs/>
          <w:i/>
          <w:i/>
          <w:sz w:val="24"/>
          <w:szCs w:val="24"/>
        </w:rPr>
      </w:pPr>
      <w:r>
        <w:rPr>
          <w:rFonts w:cs="Times New Roman" w:ascii="Times New Roman" w:hAnsi="Times New Roman"/>
          <w:bCs/>
          <w:i/>
          <w:sz w:val="24"/>
          <w:szCs w:val="24"/>
        </w:rPr>
        <w:t>«ОКПД2 42.22.22.140. Выполнение работ по ремонту металлической опоры ВЛ 35кВ  структурного подразделения "Северные электрические сети", филиала "Хабаровские электрические сети"»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firstLine="426"/>
        <w:jc w:val="both"/>
        <w:rPr>
          <w:rFonts w:ascii="Times New Roman" w:hAnsi="Times New Roman" w:cs="Times New Roman"/>
          <w:bCs/>
          <w:i/>
          <w:i/>
          <w:sz w:val="24"/>
          <w:szCs w:val="24"/>
        </w:rPr>
      </w:pPr>
      <w:r>
        <w:rPr>
          <w:rFonts w:cs="Times New Roman" w:ascii="Times New Roman" w:hAnsi="Times New Roman"/>
          <w:bCs/>
          <w:i/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firstLine="426"/>
        <w:jc w:val="both"/>
        <w:rPr>
          <w:sz w:val="24"/>
          <w:szCs w:val="24"/>
        </w:rPr>
      </w:pPr>
      <w:bookmarkStart w:id="2" w:name="_Toc54643126"/>
      <w:r>
        <w:rPr>
          <w:rFonts w:eastAsia="Times New Roman" w:cs="Times New Roman" w:ascii="Times New Roman" w:hAnsi="Times New Roman"/>
          <w:b/>
          <w:sz w:val="24"/>
          <w:szCs w:val="24"/>
          <w:lang w:val="x-none" w:eastAsia="ru-RU"/>
        </w:rPr>
        <w:t xml:space="preserve">Таблица 1. Перечень объектов </w:t>
      </w:r>
      <w:bookmarkEnd w:id="2"/>
      <w:r>
        <w:rPr>
          <w:rFonts w:eastAsia="Times New Roman" w:cs="Times New Roman" w:ascii="Times New Roman" w:hAnsi="Times New Roman"/>
          <w:b/>
          <w:sz w:val="24"/>
          <w:szCs w:val="24"/>
          <w:lang w:val="x-none" w:eastAsia="ru-RU"/>
        </w:rPr>
        <w:t>заказчика</w:t>
      </w:r>
    </w:p>
    <w:tbl>
      <w:tblPr>
        <w:tblW w:w="9688" w:type="dxa"/>
        <w:jc w:val="left"/>
        <w:tblInd w:w="445" w:type="dxa"/>
        <w:tblLayout w:type="fixed"/>
        <w:tblCellMar>
          <w:top w:w="0" w:type="dxa"/>
          <w:left w:w="7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"/>
        <w:gridCol w:w="2554"/>
        <w:gridCol w:w="2288"/>
        <w:gridCol w:w="3083"/>
        <w:gridCol w:w="1243"/>
      </w:tblGrid>
      <w:tr>
        <w:trPr/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Расположение объекта </w:t>
              <w:br/>
              <w:t>(место производства работ)</w:t>
            </w:r>
          </w:p>
        </w:tc>
        <w:tc>
          <w:tcPr>
            <w:tcW w:w="3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>
        <w:trPr/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>
        <w:trPr>
          <w:trHeight w:val="876" w:hRule="atLeast"/>
        </w:trPr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ВЛ 35кВ Комсомольская ТЭЦ-1 – Западная (Т-163/174)</w:t>
            </w:r>
          </w:p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lang w:eastAsia="ru-RU"/>
              </w:rPr>
              <w:t>681000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Хабаровский край, </w:t>
            </w:r>
            <w:r>
              <w:rPr>
                <w:rFonts w:eastAsia="Times New Roman"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lang w:eastAsia="ru-RU"/>
              </w:rPr>
              <w:t>г. Комсомольск-на-Амуре</w:t>
            </w:r>
          </w:p>
        </w:tc>
        <w:tc>
          <w:tcPr>
            <w:tcW w:w="3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ВЛ 35кВ Т-163/174 «ТЭЦ-1 – Западная»,</w:t>
            </w:r>
          </w:p>
          <w:p>
            <w:pPr>
              <w:pStyle w:val="Normal"/>
              <w:widowControl w:val="false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Инв. № НВ007689</w:t>
            </w:r>
          </w:p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rFonts w:ascii="Times New Roman" w:hAnsi="Times New Roman" w:eastAsia="Times New Roman" w:cs="Times New Roman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СП «Северные электри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ческие сети» филиала АО «ДРСК» «ХЭС»</w:t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Работы производятся в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охранной зоне высоковольтных линий электропередачи, в населенной местности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вследствие чего Подрядчику необходимо проводить согласованные действия и мероприятия по охране труда согласно требованиям Правил по охране труда при эксплуатации электроустановок по (Приказ Минтруда РФ от 15.12.2020г. № 903н), СНиП 12-01-2004 п.4, СНиП 12-03-2001. ч.1, СНиП 12-04-2002. ч.2, СНиП 3.02.01-87, СНиП 3.05.06-85.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lang w:eastAsia="ru-RU"/>
        </w:rPr>
      </w:r>
    </w:p>
    <w:p>
      <w:pPr>
        <w:pStyle w:val="Heading1"/>
        <w:numPr>
          <w:ilvl w:val="0"/>
          <w:numId w:val="9"/>
        </w:numPr>
        <w:ind w:left="540" w:hanging="114"/>
        <w:jc w:val="center"/>
        <w:rPr/>
      </w:pPr>
      <w:bookmarkStart w:id="3" w:name="_Toc154561868"/>
      <w:bookmarkEnd w:id="3"/>
      <w:r>
        <w:rPr/>
        <w:t>Требования к продукции</w:t>
      </w:r>
    </w:p>
    <w:p>
      <w:pPr>
        <w:pStyle w:val="Heading4"/>
        <w:numPr>
          <w:ilvl w:val="1"/>
          <w:numId w:val="7"/>
        </w:numPr>
        <w:ind w:left="1418" w:hanging="992"/>
        <w:rPr/>
      </w:pPr>
      <w:bookmarkStart w:id="4" w:name="_Toc154561869"/>
      <w:bookmarkEnd w:id="4"/>
      <w:r>
        <w:rPr/>
        <w:t>Требования к объемам и срокам выполнения работ</w:t>
      </w:r>
    </w:p>
    <w:p>
      <w:pPr>
        <w:pStyle w:val="Heading4"/>
        <w:numPr>
          <w:ilvl w:val="2"/>
          <w:numId w:val="8"/>
        </w:numPr>
        <w:ind w:left="851" w:hanging="436"/>
        <w:rPr/>
      </w:pPr>
      <w:bookmarkStart w:id="5" w:name="_Toc154561870"/>
      <w:bookmarkEnd w:id="5"/>
      <w:r>
        <w:rPr/>
        <w:t>Требования к видам и объемам работ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Таблица 2. Перечень и объем выполняемых работ</w:t>
      </w:r>
    </w:p>
    <w:tbl>
      <w:tblPr>
        <w:tblW w:w="10206" w:type="dxa"/>
        <w:jc w:val="left"/>
        <w:tblInd w:w="48" w:type="dxa"/>
        <w:tblLayout w:type="fixed"/>
        <w:tblCellMar>
          <w:top w:w="0" w:type="dxa"/>
          <w:left w:w="7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8"/>
        <w:gridCol w:w="5073"/>
        <w:gridCol w:w="2158"/>
        <w:gridCol w:w="2406"/>
      </w:tblGrid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работ / этапа работ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>
          <w:trHeight w:val="1281" w:hRule="atLeast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tcW w:w="5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ВЛ 35кВ Комсомольская ТЭЦ-1 – Западная (Т-163/174)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contextualSpacing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сборка, монтаж металлоконструкций опоры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contextualSpacing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Антикоррозийное покрытие установленных стальных конструкций опор</w:t>
            </w:r>
          </w:p>
        </w:tc>
        <w:tc>
          <w:tcPr>
            <w:tcW w:w="45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В соответствии с ведомостью дефектов и объемов работ (Приложения №1 к настоящим Техническим требованиям)</w:t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Heading3"/>
        <w:numPr>
          <w:ilvl w:val="2"/>
          <w:numId w:val="9"/>
        </w:numPr>
        <w:rPr>
          <w:lang w:val="x-none"/>
        </w:rPr>
      </w:pPr>
      <w:bookmarkStart w:id="6" w:name="_Toc51339696"/>
      <w:bookmarkStart w:id="7" w:name="_Toc154561871"/>
      <w:r>
        <w:rPr/>
        <w:t xml:space="preserve">Требования </w:t>
      </w:r>
      <w:bookmarkEnd w:id="6"/>
      <w:bookmarkEnd w:id="7"/>
      <w:r>
        <w:rPr/>
        <w:t>к срокам выполнения работ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Таблица 3. Требования по срокам выполнения работ</w:t>
      </w:r>
    </w:p>
    <w:tbl>
      <w:tblPr>
        <w:tblW w:w="10201" w:type="dxa"/>
        <w:jc w:val="left"/>
        <w:tblInd w:w="19" w:type="dxa"/>
        <w:tblLayout w:type="fixed"/>
        <w:tblCellMar>
          <w:top w:w="0" w:type="dxa"/>
          <w:left w:w="7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7"/>
        <w:gridCol w:w="4988"/>
        <w:gridCol w:w="2314"/>
        <w:gridCol w:w="2261"/>
      </w:tblGrid>
      <w:tr>
        <w:trPr/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работ/ этапа работ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выполнения работ/ этапа работ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выполнения работ / этапа работ</w:t>
            </w:r>
          </w:p>
        </w:tc>
      </w:tr>
      <w:tr>
        <w:trPr/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334" w:leader="none"/>
              </w:tabs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eastAsia="ru-RU"/>
              </w:rPr>
            </w:r>
          </w:p>
        </w:tc>
        <w:tc>
          <w:tcPr>
            <w:tcW w:w="4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ВЛ 35кВ Комсомольская ТЭЦ-1 – Западная (Т-163/174)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С момента заключения договора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31.12.2026</w:t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6"/>
          <w:szCs w:val="26"/>
          <w:lang w:val="en-US"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en-US" w:eastAsia="ru-RU"/>
        </w:rPr>
      </w:r>
    </w:p>
    <w:p>
      <w:pPr>
        <w:pStyle w:val="Heading4"/>
        <w:numPr>
          <w:ilvl w:val="1"/>
          <w:numId w:val="9"/>
        </w:numPr>
        <w:rPr/>
      </w:pPr>
      <w:bookmarkStart w:id="8" w:name="_Toc154561872"/>
      <w:bookmarkEnd w:id="8"/>
      <w:r>
        <w:rPr/>
        <w:t>Требования к качеству работ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Таблица 4. Требования к качеству работ</w:t>
      </w:r>
    </w:p>
    <w:tbl>
      <w:tblPr>
        <w:tblW w:w="10206" w:type="dxa"/>
        <w:jc w:val="left"/>
        <w:tblInd w:w="48" w:type="dxa"/>
        <w:tblLayout w:type="fixed"/>
        <w:tblCellMar>
          <w:top w:w="0" w:type="dxa"/>
          <w:left w:w="7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0"/>
        <w:gridCol w:w="2888"/>
        <w:gridCol w:w="3354"/>
        <w:gridCol w:w="3003"/>
      </w:tblGrid>
      <w:tr>
        <w:trPr/>
        <w:tc>
          <w:tcPr>
            <w:tcW w:w="9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33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Требование заказчика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9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Согласие с требованием/ указание характеристик</w:t>
            </w:r>
          </w:p>
        </w:tc>
      </w:tr>
      <w:tr>
        <w:trPr/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6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выполнению работ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</w:tr>
      <w:tr>
        <w:trPr/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pacing w:lineRule="auto" w:line="240" w:before="60" w:after="0"/>
              <w:ind w:left="-117" w:firstLine="142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6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Общие требования к выполнению работ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6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420" w:hRule="atLeast"/>
        </w:trPr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ind w:hanging="0"/>
              <w:contextualSpacing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1.1.1</w:t>
            </w:r>
          </w:p>
        </w:tc>
        <w:tc>
          <w:tcPr>
            <w:tcW w:w="6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Подрядчик создает условия для проживания своего персонала на объекте.</w:t>
            </w:r>
          </w:p>
        </w:tc>
        <w:tc>
          <w:tcPr>
            <w:tcW w:w="30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1.1.2</w:t>
            </w:r>
          </w:p>
        </w:tc>
        <w:tc>
          <w:tcPr>
            <w:tcW w:w="6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После выполнения полного объема работ Подрядчик: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- производит уборку рабочего места от посторонних предметов, механизмов, приспособлений, отходов;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- подписывает акт приемки объекта из ремонта</w:t>
            </w:r>
          </w:p>
        </w:tc>
        <w:tc>
          <w:tcPr>
            <w:tcW w:w="30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66" w:hRule="atLeast"/>
        </w:trPr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1.1.3</w:t>
            </w:r>
          </w:p>
        </w:tc>
        <w:tc>
          <w:tcPr>
            <w:tcW w:w="6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Материалы и оборудование, высвобождаемые после демонтажа, передаются Заказчику с оформлением акта передачи на склад базы соответствующего РЭС Заказчика.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Демонтируемых материалов нет</w:t>
            </w:r>
          </w:p>
        </w:tc>
        <w:tc>
          <w:tcPr>
            <w:tcW w:w="30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pacing w:lineRule="auto" w:line="240" w:before="60" w:after="0"/>
              <w:ind w:left="-117" w:firstLine="142"/>
              <w:contextualSpacing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6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Требования к организации работ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  <w:t>-//-</w:t>
            </w:r>
          </w:p>
        </w:tc>
      </w:tr>
      <w:tr>
        <w:trPr>
          <w:trHeight w:val="705" w:hRule="atLeast"/>
        </w:trPr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ind w:hanging="0"/>
              <w:contextualSpacing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6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6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Работы выполняются по проекту производства работ (ППР) и графику их выполнения, разработанных Подрядчиком и согласованных с Заказчиком. ППР выполняется с требованиями к разработке, указанными в (Приложение №3 к техническому требованию). ППР необходимо предоставить на согласование и утверждение главному инженеру СП в двух экземплярах за 15 (пятнадцать) дней до начала выполнения работ.</w:t>
            </w:r>
          </w:p>
        </w:tc>
        <w:tc>
          <w:tcPr>
            <w:tcW w:w="30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</w:tr>
      <w:tr>
        <w:trPr>
          <w:trHeight w:val="706" w:hRule="atLeast"/>
        </w:trPr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ind w:hanging="0"/>
              <w:contextualSpacing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6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6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Заявка на вывод оборудования в ремонт подается Подрядчиком не позднее 10 дней до начала производства работ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pacing w:lineRule="auto" w:line="240" w:before="60" w:after="0"/>
              <w:ind w:left="-117" w:firstLine="142"/>
              <w:contextualSpacing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6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</w:tr>
      <w:tr>
        <w:trPr/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ind w:hanging="0"/>
              <w:contextualSpacing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1.3.1</w:t>
            </w:r>
          </w:p>
        </w:tc>
        <w:tc>
          <w:tcPr>
            <w:tcW w:w="6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 xml:space="preserve">Поставка материалов и техники, необходимых для выполнения работ – 100% Подрядчика. Материалы, предоставляемые Подрядчиком должны соответствовать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государственным стандартам, техническим условиям и иметь соответствующие сертификаты, технические паспорта или другие документы, удостоверяющие их качество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. Подготовка и хранение материалов производится вне рабочей зоны. Оборудование и материалы доставляются к месту производства работ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Подрядчиком самостоятельно готовыми к применению.</w:t>
            </w:r>
          </w:p>
        </w:tc>
        <w:tc>
          <w:tcPr>
            <w:tcW w:w="30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</w:tr>
      <w:tr>
        <w:trPr/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ind w:hanging="0"/>
              <w:contextualSpacing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1.3.2</w:t>
            </w:r>
          </w:p>
        </w:tc>
        <w:tc>
          <w:tcPr>
            <w:tcW w:w="6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Цветовые, текстурные решения материалов, эскизы предупреждающих плакатов и др. перед применением согласуются с Заказчиком.</w:t>
            </w:r>
          </w:p>
        </w:tc>
        <w:tc>
          <w:tcPr>
            <w:tcW w:w="30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contextualSpacing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6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  <w:t>Требования к контролю качества работ и материалов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  <w:t>-//-</w:t>
            </w:r>
          </w:p>
        </w:tc>
      </w:tr>
      <w:tr>
        <w:trPr/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1.4.1.</w:t>
            </w:r>
          </w:p>
        </w:tc>
        <w:tc>
          <w:tcPr>
            <w:tcW w:w="6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Обеспечение Подрядчиком внутреннего строительного контроля в соответствие с требованиями Постановления Правительства РФ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строительства».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</w:tr>
      <w:tr>
        <w:trPr/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ind w:left="360" w:hanging="330"/>
              <w:contextualSpacing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eastAsia="ru-RU"/>
              </w:rPr>
              <w:t>1.5</w:t>
            </w:r>
          </w:p>
        </w:tc>
        <w:tc>
          <w:tcPr>
            <w:tcW w:w="6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  <w:t>Требования к безопасности работ и охране труда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  <w:t>-//-</w:t>
            </w:r>
          </w:p>
        </w:tc>
      </w:tr>
      <w:tr>
        <w:trPr/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ind w:left="360" w:hanging="330"/>
              <w:contextualSpacing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  <w:t>1.5.1.</w:t>
            </w:r>
          </w:p>
        </w:tc>
        <w:tc>
          <w:tcPr>
            <w:tcW w:w="6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>Работы необходимо выполнять в соответствии с действующими государственными нормами, правилами, техническими регламентами: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>- Правила технической эксплуатации электрических станций и сетей РФ;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>- СНиП 12-01-2004 «Организация строительства»;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>- ГОСТ Р 59053-2020 «Охрана окружающей среды. Охрана и рациональное использование вод. Термины и определения»;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>- ГОСТ Р 59061-2020 «Охрана окружающей среды. Загрязнение атмосферного воздуха. Термины и определения»;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>- Правила противопожарного режима в РФ, утвержденные Постановлением Правительства РФ от 16.09.2020 №1479 «О противопожарном режиме».</w:t>
            </w:r>
          </w:p>
        </w:tc>
        <w:tc>
          <w:tcPr>
            <w:tcW w:w="30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</w:tr>
      <w:tr>
        <w:trPr/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ind w:left="360" w:hanging="330"/>
              <w:contextualSpacing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  <w:t>1.5.2.</w:t>
            </w:r>
          </w:p>
        </w:tc>
        <w:tc>
          <w:tcPr>
            <w:tcW w:w="6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>Обеспечить выполнение требований Правил по охране труда при эксплуатации электроустановок (Приказ от 15 декабря 2020 г. № 930н)</w:t>
            </w:r>
          </w:p>
        </w:tc>
        <w:tc>
          <w:tcPr>
            <w:tcW w:w="30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ind w:left="360" w:hanging="330"/>
              <w:contextualSpacing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  <w:t>1.5.3.</w:t>
            </w:r>
          </w:p>
        </w:tc>
        <w:tc>
          <w:tcPr>
            <w:tcW w:w="6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Выполнять следующие виды работ с использованием комплектов для защиты от термических рисков электрической дуги (далее СИЗ):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- без снятия напряжения с электроустановки, выполняемых с прикосновением к токоведущим частям, находящимся под напряжением или на расстоянии от этих токоведущих частей, менее указанных в п.3.3 и п.47.15 ПОТ ЭЭУ;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- испытаниях оборудования повышенным напряжением;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- выполняемых со снятием рабочего напряжения с электроустановки или ее части с прикосновением к токоведущим частям, находящимся под наведенным напряжением более 25 В на рабочем месте или на расстоянии от этих токоведущих частей менее допустимого;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- иных работ, разрешенных к выполнению под напряжением на токоведущих частях в электроустановках, в соответствии с утвержденным перечнем работ в филиале АО «ДРСК» с учетом требований ПОТ ЭЭУ</w:t>
            </w:r>
          </w:p>
        </w:tc>
        <w:tc>
          <w:tcPr>
            <w:tcW w:w="30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ind w:left="360" w:hanging="330"/>
              <w:contextualSpacing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  <w:t>1.5.4.</w:t>
            </w:r>
          </w:p>
        </w:tc>
        <w:tc>
          <w:tcPr>
            <w:tcW w:w="6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Подрядчик: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- обеспечивает участие своего персонала в получении вводного и первичного на рабочем месте инструктажей, проводимых персоналом Заказчика с применением видеофиксации;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- обеспечивает участие своего персонала, допускаемого в электроустановки Заказчика в качестве командированного персонала или в качестве персонала строительно-монтажных (ремонтных, наладочных) организаций, в проводимой персоналом Заказчика видеофиксации допусков персонала Подрядчика к работе в электроустановках Заказчика;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- обеспечивает участие своего персонала, выполняющего работы на объектах Общества в составе бригад, в проводимых персоналом Заказчика проверках данных бригад с применением видеофиксации;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- совместно с уведомлением о допуске(сопроводительным письмом) обеспечивает предоставление согласий вышеуказанного персонала на обработку персональных данных (Приложение В к Порядку работы с переносными средствами видеофиксации в АО «ДРСК» Прк-СМОЗиОБТ-9.1-01/09-26).</w:t>
            </w:r>
          </w:p>
        </w:tc>
        <w:tc>
          <w:tcPr>
            <w:tcW w:w="30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60" w:after="0"/>
              <w:contextualSpacing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6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  <w:lang w:eastAsia="ru-RU"/>
              </w:rPr>
              <w:t>Требования к результатам работ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  <w:t>-//-</w:t>
            </w:r>
          </w:p>
        </w:tc>
      </w:tr>
      <w:tr>
        <w:trPr/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pacing w:lineRule="auto" w:line="240" w:before="60" w:after="0"/>
              <w:ind w:left="-117" w:firstLine="142"/>
              <w:contextualSpacing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6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  <w:lang w:eastAsia="ru-RU"/>
              </w:rPr>
              <w:t>Требования к порядку приемки результатов работ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  <w:t>-//-</w:t>
            </w:r>
          </w:p>
        </w:tc>
      </w:tr>
      <w:tr>
        <w:trPr/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ind w:hanging="0"/>
              <w:contextualSpacing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2.1.1</w:t>
            </w:r>
          </w:p>
        </w:tc>
        <w:tc>
          <w:tcPr>
            <w:tcW w:w="6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Ежемесячная приемка объемов выполненных работ производится в срок до 25 числа отчетного месяца в соответствии с требованиями постановления Российского статистического агентства от 11 ноября 1999 г. N 100 «Об утверждении унифицированных форм первичного учета документации по учету работ в капитальном строительстве и ремонтно-строительных работ» (в том числе предоставляются акты освидетельствования скрытых работ).</w:t>
            </w:r>
          </w:p>
        </w:tc>
        <w:tc>
          <w:tcPr>
            <w:tcW w:w="30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</w:tr>
      <w:tr>
        <w:trPr/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ind w:hanging="0"/>
              <w:contextualSpacing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2.1.2</w:t>
            </w:r>
          </w:p>
        </w:tc>
        <w:tc>
          <w:tcPr>
            <w:tcW w:w="6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Приёмка объекта из ремонта осуществляется в соответствии с «Правилами организации технического обслуживания и ремонта объектов электроэнергетики», утвержденных приказом Минэнерго России от 25.10.2017 № 1013, с оформлением и передачей Заказчику Акта приемки объекта из ремонта, актов освидетельствования скрытых работ и фотоотчета в электронном виде о выполненных работах (в т.ч. скрытых).</w:t>
            </w:r>
          </w:p>
        </w:tc>
        <w:tc>
          <w:tcPr>
            <w:tcW w:w="30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ind w:hanging="0"/>
              <w:contextualSpacing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2.1.3</w:t>
            </w:r>
          </w:p>
        </w:tc>
        <w:tc>
          <w:tcPr>
            <w:tcW w:w="6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6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Приемка объемов выполненных работ производится при предъявлении подтверждающей справки по выполнению физических объемов, схемы выполненных работ, согласованных с представителем РЭС, и фотоотчета в эл. виде о выполненных работах (в т. ч. скрытых).</w:t>
            </w:r>
          </w:p>
        </w:tc>
        <w:tc>
          <w:tcPr>
            <w:tcW w:w="30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47" w:hRule="atLeast"/>
        </w:trPr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ind w:left="30" w:hanging="0"/>
              <w:contextualSpacing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6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6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оформлению документации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  <w:t>-//-</w:t>
            </w:r>
          </w:p>
        </w:tc>
      </w:tr>
      <w:tr>
        <w:trPr>
          <w:trHeight w:val="2976" w:hRule="atLeast"/>
        </w:trPr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ind w:hanging="0"/>
              <w:contextualSpacing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2.2.1</w:t>
            </w:r>
          </w:p>
        </w:tc>
        <w:tc>
          <w:tcPr>
            <w:tcW w:w="6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При выполнении работ по расчистке просек «Участник» самостоятельно оформляет и осуществляет сдачу мест расчисток органам лесного хозяйства (лесничествам), и предоставляет документ, подтверждающий отсутствие претензий с их стороны. На основе данного документа «Участник» самостоятельно осуществляет оформление и предоставление документов от глав администраций, на территории которых расположены места расчисток, об отсутствии претензий с их стороны</w:t>
            </w: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</w:tr>
      <w:tr>
        <w:trPr/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397" w:hanging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ответственности и гарантиям подрядчика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  <w:t>-//-</w:t>
            </w:r>
          </w:p>
        </w:tc>
      </w:tr>
      <w:tr>
        <w:trPr>
          <w:trHeight w:val="556" w:hRule="atLeast"/>
        </w:trPr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contextualSpacing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3.1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6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Гарантия исполнителя оговаривается в Договоре подряда на работы. Подрядчик (исполнитель) гарантирует своевременное и качественное выполнение работ, а также устранение дефектов, возникших по его вине в течение не менее 24-х месяцев с момента приёмки выполненных работ. Гарантия на материалы, поставляемые Подрядчиком не менее 24-х месяцев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</w:tr>
    </w:tbl>
    <w:p>
      <w:pPr>
        <w:pStyle w:val="Heading1"/>
        <w:numPr>
          <w:ilvl w:val="0"/>
          <w:numId w:val="0"/>
        </w:numPr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6"/>
        </w:numPr>
        <w:jc w:val="center"/>
        <w:rPr>
          <w:sz w:val="26"/>
          <w:szCs w:val="26"/>
        </w:rPr>
      </w:pPr>
      <w:bookmarkStart w:id="9" w:name="_Toc154561875"/>
      <w:bookmarkEnd w:id="9"/>
      <w:r>
        <w:rPr>
          <w:sz w:val="26"/>
          <w:szCs w:val="26"/>
        </w:rPr>
        <w:t>Приложения:</w:t>
      </w:r>
    </w:p>
    <w:p>
      <w:pPr>
        <w:pStyle w:val="ListParagraph"/>
        <w:widowControl w:val="false"/>
        <w:tabs>
          <w:tab w:val="clear" w:pos="708"/>
          <w:tab w:val="left" w:pos="284" w:leader="none"/>
        </w:tabs>
        <w:suppressAutoHyphens w:val="true"/>
        <w:spacing w:lineRule="auto" w:line="240" w:before="0" w:after="0"/>
        <w:ind w:left="360" w:hanging="0"/>
        <w:contextualSpacing/>
        <w:rPr>
          <w:rFonts w:ascii="Times New Roman" w:hAnsi="Times New Roman" w:eastAsia="Times New Roman" w:cs="Times New Roman"/>
          <w:b/>
          <w:bCs/>
          <w:sz w:val="28"/>
          <w:szCs w:val="28"/>
          <w:lang w:val="x-none"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x-none" w:eastAsia="ar-SA"/>
        </w:rPr>
      </w:r>
    </w:p>
    <w:p>
      <w:pPr>
        <w:pStyle w:val="ListParagraph"/>
        <w:widowControl w:val="false"/>
        <w:tabs>
          <w:tab w:val="clear" w:pos="708"/>
          <w:tab w:val="left" w:pos="284" w:leader="none"/>
        </w:tabs>
        <w:suppressAutoHyphens w:val="true"/>
        <w:spacing w:lineRule="auto" w:line="276" w:before="0" w:after="0"/>
        <w:ind w:left="142" w:hanging="0"/>
        <w:contextualSpacing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Приложение № 1: Ведомость дефектов и объемов работ.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before="60" w:after="0"/>
        <w:jc w:val="right"/>
        <w:rPr>
          <w:rFonts w:ascii="Liberation Serif" w:hAnsi="Liberation Serif" w:cs="Times New Roman"/>
          <w:b w:val="false"/>
          <w:bCs w:val="false"/>
          <w:i/>
          <w:i/>
          <w:iCs/>
          <w:sz w:val="22"/>
          <w:szCs w:val="22"/>
        </w:rPr>
      </w:pPr>
      <w:r>
        <w:rPr>
          <w:rFonts w:cs="Times New Roman" w:ascii="Liberation Serif" w:hAnsi="Liberation Serif"/>
          <w:b w:val="false"/>
          <w:bCs w:val="false"/>
          <w:i/>
          <w:iCs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60" w:after="0"/>
        <w:jc w:val="right"/>
        <w:rPr>
          <w:rFonts w:ascii="Liberation Serif" w:hAnsi="Liberation Serif" w:cs="Times New Roman"/>
          <w:b w:val="false"/>
          <w:bCs w:val="false"/>
          <w:i/>
          <w:i/>
          <w:iCs/>
          <w:sz w:val="22"/>
          <w:szCs w:val="22"/>
        </w:rPr>
      </w:pPr>
      <w:r>
        <w:rPr>
          <w:rFonts w:cs="Times New Roman" w:ascii="Liberation Serif" w:hAnsi="Liberation Serif"/>
          <w:b w:val="false"/>
          <w:bCs w:val="false"/>
          <w:i/>
          <w:iCs/>
          <w:sz w:val="22"/>
          <w:szCs w:val="22"/>
        </w:rPr>
      </w:r>
    </w:p>
    <w:p>
      <w:pPr>
        <w:pStyle w:val="Normal"/>
        <w:spacing w:before="60" w:after="0"/>
        <w:jc w:val="right"/>
        <w:rPr>
          <w:rFonts w:ascii="Liberation Serif" w:hAnsi="Liberation Serif" w:cs="Times New Roman"/>
          <w:b w:val="false"/>
          <w:bCs w:val="false"/>
          <w:i/>
          <w:i/>
          <w:iCs/>
          <w:sz w:val="22"/>
          <w:szCs w:val="22"/>
        </w:rPr>
      </w:pPr>
      <w:r>
        <w:rPr>
          <w:rFonts w:cs="Times New Roman" w:ascii="Liberation Serif" w:hAnsi="Liberation Serif"/>
          <w:b w:val="false"/>
          <w:bCs w:val="false"/>
          <w:i/>
          <w:iCs/>
          <w:sz w:val="22"/>
          <w:szCs w:val="22"/>
        </w:rPr>
        <w:t xml:space="preserve">Приложение № 1-6/9 к Приказу </w:t>
      </w:r>
    </w:p>
    <w:p>
      <w:pPr>
        <w:pStyle w:val="Normal"/>
        <w:spacing w:before="60" w:after="0"/>
        <w:jc w:val="right"/>
        <w:rPr>
          <w:rFonts w:cs="Times New Roman"/>
          <w:i/>
          <w:i/>
          <w:sz w:val="24"/>
          <w:szCs w:val="24"/>
        </w:rPr>
      </w:pPr>
      <w:r>
        <w:rPr>
          <w:rFonts w:eastAsia="Times New Roman" w:cs="Times New Roman" w:ascii="Liberation Serif" w:hAnsi="Liberation Serif"/>
          <w:b w:val="false"/>
          <w:bCs w:val="false"/>
          <w:i/>
          <w:iCs/>
          <w:sz w:val="22"/>
          <w:szCs w:val="22"/>
          <w:lang w:eastAsia="ru-RU"/>
        </w:rPr>
        <w:t>"Об учетной политике АО "ДРСК"</w:t>
      </w:r>
    </w:p>
    <w:p>
      <w:pPr>
        <w:pStyle w:val="Normal"/>
        <w:spacing w:before="60" w:after="0"/>
        <w:jc w:val="right"/>
        <w:rPr>
          <w:rFonts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</w:r>
    </w:p>
    <w:p>
      <w:pPr>
        <w:pStyle w:val="ConsPlusNormal"/>
        <w:widowControl/>
        <w:tabs>
          <w:tab w:val="clear" w:pos="708"/>
          <w:tab w:val="right" w:pos="10483" w:leader="none"/>
        </w:tabs>
        <w:suppressAutoHyphens w:val="true"/>
        <w:bidi w:val="0"/>
        <w:spacing w:lineRule="auto" w:line="360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Liberation Serif;Times New Roman" w:ascii="Liberation Serif" w:hAnsi="Liberation Serif"/>
          <w:b/>
          <w:bCs/>
          <w:i w:val="false"/>
          <w:iCs w:val="false"/>
          <w:sz w:val="26"/>
          <w:szCs w:val="26"/>
        </w:rPr>
        <w:t>Организация</w:t>
      </w:r>
      <w:r>
        <w:rPr>
          <w:rFonts w:cs="Liberation Serif;Times New Roman" w:ascii="Liberation Serif" w:hAnsi="Liberation Serif"/>
          <w:b w:val="false"/>
          <w:bCs w:val="false"/>
          <w:i w:val="false"/>
          <w:iCs w:val="false"/>
          <w:sz w:val="26"/>
          <w:szCs w:val="26"/>
        </w:rPr>
        <w:t xml:space="preserve">  АО «Дальневосточная распределительная сетевая компания»</w:t>
      </w:r>
    </w:p>
    <w:p>
      <w:pPr>
        <w:pStyle w:val="ConsPlusNormal"/>
        <w:widowControl/>
        <w:suppressAutoHyphens w:val="true"/>
        <w:bidi w:val="0"/>
        <w:spacing w:lineRule="auto" w:line="360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Liberation Serif;Times New Roman" w:ascii="Liberation Serif" w:hAnsi="Liberation Serif"/>
          <w:b/>
          <w:bCs/>
          <w:i w:val="false"/>
          <w:iCs w:val="false"/>
          <w:sz w:val="26"/>
          <w:szCs w:val="26"/>
        </w:rPr>
        <w:t>Филиал</w:t>
      </w:r>
      <w:r>
        <w:rPr>
          <w:rFonts w:cs="Liberation Serif;Times New Roman" w:ascii="Liberation Serif" w:hAnsi="Liberation Serif"/>
          <w:b w:val="false"/>
          <w:bCs w:val="false"/>
          <w:i w:val="false"/>
          <w:iCs w:val="false"/>
          <w:sz w:val="26"/>
          <w:szCs w:val="26"/>
        </w:rPr>
        <w:t xml:space="preserve">          «Хабаровские электрические сети»</w:t>
      </w:r>
    </w:p>
    <w:p>
      <w:pPr>
        <w:pStyle w:val="ConsPlusTitle"/>
        <w:widowControl/>
        <w:suppressAutoHyphens w:val="true"/>
        <w:bidi w:val="0"/>
        <w:spacing w:lineRule="auto" w:line="360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Liberation Serif;Times New Roman" w:ascii="Liberation Serif" w:hAnsi="Liberation Serif"/>
          <w:b/>
          <w:bCs/>
          <w:i w:val="false"/>
          <w:iCs w:val="false"/>
          <w:sz w:val="26"/>
          <w:szCs w:val="26"/>
        </w:rPr>
        <w:t>СП</w:t>
      </w:r>
      <w:r>
        <w:rPr>
          <w:rFonts w:cs="Liberation Serif;Times New Roman" w:ascii="Liberation Serif" w:hAnsi="Liberation Serif"/>
          <w:b w:val="false"/>
          <w:bCs w:val="false"/>
          <w:i w:val="false"/>
          <w:iCs w:val="false"/>
          <w:sz w:val="26"/>
          <w:szCs w:val="26"/>
        </w:rPr>
        <w:t xml:space="preserve">                «Северные электрические сети», Служба линий</w:t>
      </w:r>
    </w:p>
    <w:p>
      <w:pPr>
        <w:pStyle w:val="ConsPlusTitle"/>
        <w:widowControl/>
        <w:suppressAutoHyphens w:val="true"/>
        <w:bidi w:val="0"/>
        <w:spacing w:lineRule="auto" w:line="360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eastAsia="Times New Roman" w:cs="Liberation Serif;Times New Roman" w:ascii="Liberation Serif" w:hAnsi="Liberation Serif"/>
          <w:b/>
          <w:bCs/>
          <w:i w:val="false"/>
          <w:iCs w:val="false"/>
          <w:sz w:val="26"/>
          <w:szCs w:val="26"/>
          <w:lang w:eastAsia="ru-RU"/>
        </w:rPr>
        <w:t>Объект</w:t>
      </w:r>
      <w:r>
        <w:rPr>
          <w:rFonts w:eastAsia="Times New Roman" w:cs="Liberation Serif;Times New Roman" w:ascii="Liberation Serif" w:hAnsi="Liberation Serif"/>
          <w:b w:val="false"/>
          <w:bCs w:val="false"/>
          <w:i w:val="false"/>
          <w:iCs w:val="false"/>
          <w:sz w:val="26"/>
          <w:szCs w:val="26"/>
          <w:lang w:eastAsia="ru-RU"/>
        </w:rPr>
        <w:t xml:space="preserve">         ВЛ 35кВ Т-163/174 «ТЭЦ-1 – Западная», Инв. № НВ007689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sz w:val="26"/>
          <w:szCs w:val="26"/>
          <w:lang w:eastAsia="ru-RU"/>
        </w:rPr>
        <w:t xml:space="preserve"> </w:t>
      </w:r>
    </w:p>
    <w:p>
      <w:pPr>
        <w:pStyle w:val="ConsPlusTitle"/>
        <w:widowControl/>
        <w:suppressAutoHyphens w:val="true"/>
        <w:bidi w:val="0"/>
        <w:spacing w:lineRule="auto" w:line="360" w:before="0" w:after="0"/>
        <w:ind w:left="0" w:right="0" w:hanging="0"/>
        <w:jc w:val="left"/>
        <w:rPr>
          <w:rFonts w:eastAsia="Times New Roman" w:cs="Times New Roman"/>
          <w:lang w:eastAsia="ru-RU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jc w:val="center"/>
        <w:rPr>
          <w:rFonts w:ascii="Liberation Serif;Times New Roman" w:hAnsi="Liberation Serif;Times New Roman" w:cs="Liberation Serif;Times New Roman"/>
          <w:b/>
          <w:sz w:val="28"/>
          <w:szCs w:val="28"/>
        </w:rPr>
      </w:pPr>
      <w:r>
        <w:rPr>
          <w:rFonts w:eastAsia="Times New Roman" w:cs="Times New Roman" w:ascii="Liberation Serif;Times New Roman" w:hAnsi="Liberation Serif;Times New Roman"/>
          <w:b/>
          <w:sz w:val="28"/>
          <w:szCs w:val="28"/>
          <w:lang w:eastAsia="ru-RU"/>
        </w:rPr>
        <w:t>ВЕДОМОСТЬ ДЕФЕКТОВ И ОБЪЕМОВ РАБОТ</w:t>
      </w:r>
    </w:p>
    <w:p>
      <w:pPr>
        <w:pStyle w:val="Normal"/>
        <w:jc w:val="both"/>
        <w:rPr>
          <w:rFonts w:ascii="Liberation Serif" w:hAnsi="Liberation Serif" w:cs="Liberation Serif;Times New Roman"/>
          <w:b w:val="false"/>
          <w:bCs w:val="false"/>
          <w:sz w:val="26"/>
          <w:szCs w:val="26"/>
        </w:rPr>
      </w:pPr>
      <w:r>
        <w:rPr>
          <w:rFonts w:eastAsia="Times New Roman" w:cs="Liberation Serif;Times New Roman" w:ascii="Liberation Serif" w:hAnsi="Liberation Serif"/>
          <w:b w:val="false"/>
          <w:bCs w:val="false"/>
          <w:sz w:val="26"/>
          <w:szCs w:val="26"/>
          <w:lang w:eastAsia="ru-RU"/>
        </w:rPr>
        <w:t xml:space="preserve">Комиссия провела </w:t>
      </w:r>
      <w:bookmarkStart w:id="10" w:name="_GoBack"/>
      <w:r>
        <w:rPr>
          <w:rFonts w:eastAsia="Times New Roman" w:cs="Liberation Serif;Times New Roman" w:ascii="Liberation Serif" w:hAnsi="Liberation Serif"/>
          <w:b w:val="false"/>
          <w:bCs w:val="false"/>
          <w:sz w:val="26"/>
          <w:szCs w:val="26"/>
          <w:lang w:eastAsia="ru-RU"/>
        </w:rPr>
        <w:t xml:space="preserve">обследование </w:t>
      </w:r>
      <w:bookmarkEnd w:id="10"/>
      <w:r>
        <w:rPr>
          <w:rFonts w:eastAsia="Times New Roman" w:cs="Liberation Serif;Times New Roman" w:ascii="Liberation Serif" w:hAnsi="Liberation Serif"/>
          <w:b w:val="false"/>
          <w:bCs w:val="false"/>
          <w:sz w:val="26"/>
          <w:szCs w:val="26"/>
          <w:lang w:eastAsia="ru-RU"/>
        </w:rPr>
        <w:t>ВЛ 35кВ Комсомольская ТЭЦ-1 – Западная (Т-163/174), вследствие чего приняла решение о необходимости  проведения следующего объема  работ по ремонту подрядом:</w:t>
      </w:r>
    </w:p>
    <w:tbl>
      <w:tblPr>
        <w:tblW w:w="105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417"/>
        <w:gridCol w:w="1080"/>
        <w:gridCol w:w="483"/>
        <w:gridCol w:w="537"/>
        <w:gridCol w:w="4323"/>
      </w:tblGrid>
      <w:tr>
        <w:trPr>
          <w:trHeight w:val="495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№</w:t>
            </w:r>
            <w:r>
              <w:rPr>
                <w:rFonts w:eastAsia="Liberation Serif;Times New Roman" w:cs="Liberation Serif;Times New Roman" w:ascii="Liberation Serif" w:hAnsi="Liberation Serif"/>
                <w:sz w:val="22"/>
                <w:szCs w:val="22"/>
              </w:rPr>
              <w:t xml:space="preserve"> </w:t>
            </w:r>
            <w:r>
              <w:rPr>
                <w:rFonts w:cs="Liberation Serif;Times New Roman" w:ascii="Liberation Serif" w:hAnsi="Liberation Serif"/>
                <w:sz w:val="22"/>
                <w:szCs w:val="22"/>
              </w:rPr>
              <w:t>п/п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Liberation Serif;Times New Roman" w:cs="Liberation Serif;Times New Roman" w:ascii="Liberation Serif" w:hAnsi="Liberation Serif"/>
                <w:sz w:val="22"/>
                <w:szCs w:val="22"/>
              </w:rPr>
              <w:t xml:space="preserve">             </w:t>
            </w:r>
            <w:r>
              <w:rPr>
                <w:rFonts w:cs="Liberation Serif;Times New Roman" w:ascii="Liberation Serif" w:hAnsi="Liberation Serif"/>
                <w:sz w:val="22"/>
                <w:szCs w:val="22"/>
              </w:rPr>
              <w:t>Обнаруженные дефекты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Ед. изм.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Кол-во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Liberation Serif;Times New Roman" w:cs="Liberation Serif;Times New Roman" w:ascii="Liberation Serif" w:hAnsi="Liberation Serif"/>
                <w:sz w:val="22"/>
                <w:szCs w:val="22"/>
              </w:rPr>
              <w:t xml:space="preserve">             </w:t>
            </w:r>
            <w:r>
              <w:rPr>
                <w:rFonts w:cs="Liberation Serif;Times New Roman" w:ascii="Liberation Serif" w:hAnsi="Liberation Serif"/>
                <w:sz w:val="22"/>
                <w:szCs w:val="22"/>
              </w:rPr>
              <w:t>Наименование работ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1.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Отсутствует обрешетка анкерной металлической опоры № 4              (тип ЛПА 2/4)</w:t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43" w:leader="none"/>
              </w:tabs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ab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jc w:val="center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шт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jc w:val="center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  <w:u w:val="single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  <w:u w:val="single"/>
              </w:rPr>
              <w:t>Ремонт металлической опоры    № 4.</w:t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i/>
                <w:i/>
                <w:iCs/>
                <w:sz w:val="22"/>
                <w:szCs w:val="22"/>
                <w:u w:val="single"/>
              </w:rPr>
            </w:pPr>
            <w:r>
              <w:rPr>
                <w:rFonts w:cs="Liberation Serif;Times New Roman" w:ascii="Liberation Serif" w:hAnsi="Liberation Serif"/>
                <w:i/>
                <w:iCs/>
                <w:sz w:val="22"/>
                <w:szCs w:val="22"/>
                <w:u w:val="single"/>
              </w:rPr>
              <w:t>Сборка металлоконструкций опор — 0,146 т:</w:t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-Распорка – 1штука длиной 2,24м</w:t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(90*90*8);</w:t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-распорка – 1штука длиной 2,18м</w:t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(90*90*8);</w:t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-распорка – 1штука длиной 1,36м</w:t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(90*90*8);</w:t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-распорка – 1штука длиной 1,57м</w:t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(90*90*8);</w:t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-распорка – 1штука длиной 1,53м</w:t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(90*90*8);</w:t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-распорка – 1штука длиной 0,41м</w:t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(63*63*4);</w:t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-распорка – 1штука длиной 0,56м</w:t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(63*63*4);</w:t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-распорка–1штука длиной 0,287м</w:t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(63*63*4);</w:t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-распорка – 2штуки длиной 0,65м</w:t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каждая, (63*63*4);</w:t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-распорка – 2штуки длиной 0,55м</w:t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каждая (63*63*4);</w:t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-распорка – 2штуки длиной 0,4м</w:t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каждая (63*63*4);</w:t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-распорка–1штука длиной 0,5м</w:t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(63*63*4);</w:t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-распорка – 2штуки длиной 0,7м</w:t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каждая (63*63*4);</w:t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-распорка–1штука длиной 1,05м</w:t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(63*63*4).</w:t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Фасонка -5шт (110*220*6).</w:t>
            </w:r>
          </w:p>
          <w:p>
            <w:pPr>
              <w:pStyle w:val="Normal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2.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jc w:val="center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т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jc w:val="center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0,146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Монтаж металлоконструкций опоры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3.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jc w:val="center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т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jc w:val="center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0,146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Антикоррозийное покрытие (окраска за два раза краской) установленных стальных конструкций опор</w:t>
            </w:r>
          </w:p>
        </w:tc>
      </w:tr>
      <w:tr>
        <w:trPr/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jc w:val="center"/>
              <w:rPr>
                <w:rFonts w:ascii="Liberation Serif" w:hAnsi="Liberation Serif" w:cs="Liberation Serif;Times New Roman"/>
                <w:b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b/>
                <w:sz w:val="22"/>
                <w:szCs w:val="22"/>
              </w:rPr>
              <w:t>Материалы: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4.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Уголок стальной горячекатаный равнополочный, марки стали Ст3сп, Ст3пс, ширина полок 90 мм, толщина полки 8 мм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т/м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0,097/</w:t>
            </w:r>
          </w:p>
          <w:p>
            <w:pPr>
              <w:pStyle w:val="Normal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8,88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Материалы подрядчика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5.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Уголок стальной горячекатаный равнополочный, марки стали Ст3сп, Ст3пс, ширина полок 63 мм, толщина полки 4 мм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т/м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0,029/</w:t>
            </w:r>
          </w:p>
          <w:p>
            <w:pPr>
              <w:pStyle w:val="Normal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7,407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Материалы подрядчика</w:t>
            </w:r>
          </w:p>
        </w:tc>
      </w:tr>
      <w:tr>
        <w:trPr/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6.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Швеллер гнутый 220х110х6 Ст3 6 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т/м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0,02/1</w:t>
            </w:r>
          </w:p>
        </w:tc>
        <w:tc>
          <w:tcPr>
            <w:tcW w:w="4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Материалы подрядчика</w:t>
            </w:r>
          </w:p>
        </w:tc>
      </w:tr>
      <w:tr>
        <w:trPr/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jc w:val="center"/>
              <w:rPr>
                <w:rFonts w:ascii="Liberation Serif" w:hAnsi="Liberation Serif" w:cs="Liberation Serif;Times New Roman"/>
                <w:b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b/>
                <w:sz w:val="22"/>
                <w:szCs w:val="22"/>
              </w:rPr>
              <w:t>Транспортная схема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7.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Среднее расстояние от Базы СП СЭС до ремонтируемого участка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jc w:val="center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км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jc w:val="center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</w:r>
          </w:p>
        </w:tc>
      </w:tr>
      <w:tr>
        <w:trPr/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jc w:val="center"/>
              <w:rPr>
                <w:rFonts w:ascii="Liberation Serif" w:hAnsi="Liberation Serif" w:cs="Liberation Serif;Times New Roman"/>
                <w:b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b/>
                <w:sz w:val="22"/>
                <w:szCs w:val="22"/>
              </w:rPr>
              <w:t>Погрузо-разгрузочные работы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8.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Сталь угловая, швеллер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jc w:val="center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т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Liberation Serif;Times New Roman" w:cs="Liberation Serif;Times New Roman" w:ascii="Liberation Serif" w:hAnsi="Liberation Serif"/>
                <w:sz w:val="22"/>
                <w:szCs w:val="22"/>
              </w:rPr>
              <w:t xml:space="preserve">    </w:t>
            </w:r>
            <w:r>
              <w:rPr>
                <w:rFonts w:cs="Liberation Serif;Times New Roman" w:ascii="Liberation Serif" w:hAnsi="Liberation Serif"/>
                <w:sz w:val="22"/>
                <w:szCs w:val="22"/>
              </w:rPr>
              <w:t>0,146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</w:r>
          </w:p>
        </w:tc>
      </w:tr>
      <w:tr>
        <w:trPr/>
        <w:tc>
          <w:tcPr>
            <w:tcW w:w="1054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Liberation Serif" w:hAnsi="Liberation Serif" w:cs="Liberation Serif;Times New Roman"/>
                <w:b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b/>
                <w:sz w:val="22"/>
                <w:szCs w:val="22"/>
              </w:rPr>
              <w:t>Примечания:</w:t>
            </w:r>
          </w:p>
        </w:tc>
      </w:tr>
      <w:tr>
        <w:trPr/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1.</w:t>
            </w:r>
          </w:p>
        </w:tc>
        <w:tc>
          <w:tcPr>
            <w:tcW w:w="98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Территория городов, поселков</w:t>
            </w:r>
          </w:p>
        </w:tc>
      </w:tr>
      <w:tr>
        <w:trPr/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Liberation Serif" w:hAnsi="Liberation Serif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>2.</w:t>
            </w:r>
          </w:p>
        </w:tc>
        <w:tc>
          <w:tcPr>
            <w:tcW w:w="98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;Times New Roman" w:ascii="Liberation Serif" w:hAnsi="Liberation Serif"/>
                <w:sz w:val="22"/>
                <w:szCs w:val="22"/>
              </w:rPr>
              <w:t xml:space="preserve">Работа 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производится</w:t>
            </w:r>
            <w:r>
              <w:rPr>
                <w:rFonts w:cs="Liberation Serif;Times New Roman" w:ascii="Liberation Serif" w:hAnsi="Liberation Serif"/>
                <w:sz w:val="22"/>
                <w:szCs w:val="22"/>
              </w:rPr>
              <w:t xml:space="preserve"> в охранной зоне ВЛ.</w:t>
            </w:r>
          </w:p>
        </w:tc>
      </w:tr>
    </w:tbl>
    <w:p>
      <w:pPr>
        <w:pStyle w:val="Normal"/>
        <w:spacing w:before="0" w:after="160"/>
        <w:jc w:val="center"/>
        <w:rPr>
          <w:rFonts w:eastAsia="Times New Roman" w:cs="Times New Roman"/>
          <w:lang w:eastAsia="ru-RU"/>
        </w:rPr>
      </w:pPr>
      <w:r>
        <w:rPr>
          <w:rFonts w:cs="Liberation Serif;Times New Roman" w:ascii="Liberation Serif;Times New Roman" w:hAnsi="Liberation Serif;Times New Roman"/>
          <w:b/>
          <w:sz w:val="28"/>
          <w:szCs w:val="28"/>
        </w:rPr>
      </w:r>
    </w:p>
    <w:sectPr>
      <w:footerReference w:type="default" r:id="rId2"/>
      <w:type w:val="nextPage"/>
      <w:pgSz w:w="11906" w:h="16838"/>
      <w:pgMar w:left="1134" w:right="851" w:gutter="0" w:header="0" w:top="567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Franklin Gothic Medium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Sylfaen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0"/>
        </w:tabs>
        <w:ind w:left="540" w:hanging="540"/>
      </w:pPr>
      <w:rPr/>
    </w:lvl>
    <w:lvl w:ilvl="1">
      <w:start w:val="1"/>
      <w:pStyle w:val="Heading4"/>
      <w:numFmt w:val="decimal"/>
      <w:lvlText w:val="%1.%2."/>
      <w:lvlJc w:val="left"/>
      <w:pPr>
        <w:tabs>
          <w:tab w:val="num" w:pos="0"/>
        </w:tabs>
        <w:ind w:left="682" w:hanging="540"/>
      </w:pPr>
      <w:rPr/>
    </w:lvl>
    <w:lvl w:ilvl="2">
      <w:start w:val="2"/>
      <w:pStyle w:val="Heading3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i/>
        <w:iCs/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67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1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35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39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43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47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51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527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76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8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6"/>
        <w:b/>
        <w:szCs w:val="24"/>
        <w:bCs w:val="false"/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6"/>
        <w:b/>
        <w:szCs w:val="24"/>
        <w:bCs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6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6"/>
        <w:b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b/>
        <w:rFonts w:ascii="Times New Roman;serif" w:hAnsi="Times New Roman;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7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0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3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64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56" w:hanging="1800"/>
      </w:pPr>
      <w:rPr/>
    </w:lvl>
  </w:abstractNum>
  <w:abstractNum w:abstractNumId="8">
    <w:lvl w:ilvl="0">
      <w:start w:val="2"/>
      <w:numFmt w:val="decimal"/>
      <w:lvlText w:val="%1"/>
      <w:lvlJc w:val="left"/>
      <w:pPr>
        <w:tabs>
          <w:tab w:val="num" w:pos="0"/>
        </w:tabs>
        <w:ind w:left="480" w:hanging="48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480" w:hanging="48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682" w:hanging="540"/>
      </w:pPr>
      <w:rPr/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0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lfaen" w:hAnsi="Sylfaen" w:cs="Sylfaen" w:hint="default"/>
        <w:sz w:val="24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Heading3"/>
    <w:qFormat/>
    <w:pPr>
      <w:numPr>
        <w:ilvl w:val="0"/>
        <w:numId w:val="1"/>
      </w:numPr>
      <w:outlineLvl w:val="0"/>
    </w:pPr>
    <w:rPr>
      <w:sz w:val="28"/>
      <w:szCs w:val="28"/>
    </w:rPr>
  </w:style>
  <w:style w:type="paragraph" w:styleId="Heading3">
    <w:name w:val="Heading 3"/>
    <w:basedOn w:val="Normal"/>
    <w:autoRedefine/>
    <w:qFormat/>
    <w:pPr>
      <w:keepNext w:val="true"/>
      <w:numPr>
        <w:ilvl w:val="2"/>
        <w:numId w:val="1"/>
      </w:numPr>
      <w:spacing w:lineRule="auto" w:line="240" w:before="120" w:after="60"/>
      <w:outlineLvl w:val="2"/>
    </w:pPr>
    <w:rPr>
      <w:rFonts w:ascii="Times New Roman" w:hAnsi="Times New Roman" w:cs="Times New Roman"/>
      <w:b/>
      <w:sz w:val="24"/>
      <w:szCs w:val="24"/>
      <w:lang w:eastAsia="x-none"/>
    </w:rPr>
  </w:style>
  <w:style w:type="paragraph" w:styleId="Heading4">
    <w:name w:val="Heading 4"/>
    <w:basedOn w:val="Heading3"/>
    <w:qFormat/>
    <w:pPr>
      <w:numPr>
        <w:ilvl w:val="1"/>
        <w:numId w:val="1"/>
      </w:numPr>
      <w:outlineLvl w:val="1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Нижний колонтитул Знак"/>
    <w:basedOn w:val="DefaultParagraphFont"/>
    <w:qFormat/>
    <w:rPr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yle7" w:customStyle="1">
    <w:name w:val="Верхний колонтитул Знак"/>
    <w:basedOn w:val="DefaultParagraphFont"/>
    <w:qFormat/>
    <w:rPr/>
  </w:style>
  <w:style w:type="character" w:styleId="2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9" w:customStyle="1">
    <w:name w:val="Ссылка указателя"/>
    <w:qFormat/>
    <w:rPr/>
  </w:style>
  <w:style w:type="character" w:styleId="Strong">
    <w:name w:val="Strong"/>
    <w:qFormat/>
    <w:rPr>
      <w:b/>
      <w:bCs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2">
    <w:name w:val="Колонтитул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TOC1">
    <w:name w:val="TOC 1"/>
    <w:basedOn w:val="Normal"/>
    <w:autoRedefine/>
    <w:uiPriority w:val="39"/>
    <w:pPr>
      <w:tabs>
        <w:tab w:val="clear" w:pos="708"/>
        <w:tab w:val="left" w:pos="560" w:leader="none"/>
        <w:tab w:val="right" w:pos="9911" w:leader="dot"/>
      </w:tabs>
      <w:spacing w:lineRule="auto" w:line="360" w:before="0" w:after="0"/>
    </w:pPr>
    <w:rPr>
      <w:rFonts w:ascii="Times New Roman" w:hAnsi="Times New Roman" w:eastAsia="Times New Roman" w:cs="Calibri"/>
      <w:b/>
      <w:bCs/>
      <w:iCs/>
      <w:sz w:val="24"/>
      <w:szCs w:val="24"/>
      <w:lang w:eastAsia="ru-RU"/>
    </w:rPr>
  </w:style>
  <w:style w:type="paragraph" w:styleId="TOC3">
    <w:name w:val="TOC 3"/>
    <w:basedOn w:val="Normal"/>
    <w:autoRedefine/>
    <w:uiPriority w:val="39"/>
    <w:pPr>
      <w:tabs>
        <w:tab w:val="clear" w:pos="708"/>
        <w:tab w:val="left" w:pos="284" w:leader="none"/>
        <w:tab w:val="left" w:pos="1134" w:leader="none"/>
        <w:tab w:val="right" w:pos="9911" w:leader="dot"/>
      </w:tabs>
      <w:spacing w:lineRule="auto" w:line="240" w:before="0" w:after="0"/>
      <w:ind w:firstLine="426"/>
    </w:pPr>
    <w:rPr>
      <w:rFonts w:ascii="Times New Roman" w:hAnsi="Times New Roman" w:eastAsia="Times New Roman" w:cs="Calibri"/>
      <w:sz w:val="24"/>
      <w:szCs w:val="24"/>
      <w:lang w:val="x-none" w:eastAsia="ru-RU"/>
    </w:rPr>
  </w:style>
  <w:style w:type="paragraph" w:styleId="TOC4">
    <w:name w:val="TOC 4"/>
    <w:basedOn w:val="Normal"/>
    <w:autoRedefine/>
    <w:uiPriority w:val="39"/>
    <w:pPr>
      <w:tabs>
        <w:tab w:val="clear" w:pos="708"/>
        <w:tab w:val="left" w:pos="851" w:leader="none"/>
        <w:tab w:val="left" w:pos="1120" w:leader="none"/>
        <w:tab w:val="left" w:pos="1400" w:leader="none"/>
        <w:tab w:val="right" w:pos="9911" w:leader="dot"/>
      </w:tabs>
      <w:spacing w:lineRule="auto" w:line="360" w:before="0" w:after="0"/>
      <w:ind w:firstLine="284"/>
    </w:pPr>
    <w:rPr>
      <w:rFonts w:ascii="Times New Roman" w:hAnsi="Times New Roman" w:eastAsia="Times New Roman" w:cs="Calibri"/>
      <w:sz w:val="24"/>
      <w:szCs w:val="24"/>
      <w:lang w:eastAsia="ru-RU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odyText2">
    <w:name w:val="Body Text 2"/>
    <w:basedOn w:val="Normal"/>
    <w:qFormat/>
    <w:pPr>
      <w:shd w:val="clear" w:color="auto" w:fill="FFFFFF"/>
      <w:tabs>
        <w:tab w:val="clear" w:pos="708"/>
        <w:tab w:val="left" w:pos="-3240" w:leader="none"/>
      </w:tabs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3" w:customStyle="1">
    <w:name w:val="Знак"/>
    <w:basedOn w:val="Normal"/>
    <w:qFormat/>
    <w:pPr>
      <w:tabs>
        <w:tab w:val="clear" w:pos="708"/>
        <w:tab w:val="left" w:pos="360" w:leader="none"/>
      </w:tabs>
      <w:spacing w:lineRule="exact" w:line="240"/>
    </w:pPr>
    <w:rPr>
      <w:rFonts w:ascii="Verdana" w:hAnsi="Verdana" w:eastAsia="Times New Roman" w:cs="Verdana"/>
      <w:color w:val="00000A"/>
      <w:sz w:val="20"/>
      <w:szCs w:val="20"/>
      <w:lang w:val="en-U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Содержимое таблицы"/>
    <w:basedOn w:val="Normal"/>
    <w:qFormat/>
    <w:pPr/>
    <w:rPr/>
  </w:style>
  <w:style w:type="paragraph" w:styleId="TOC2">
    <w:name w:val="TOC 2"/>
    <w:basedOn w:val="Style11"/>
    <w:pPr/>
    <w:rPr/>
  </w:style>
  <w:style w:type="paragraph" w:styleId="Style15">
    <w:name w:val="Заголовок таблицы"/>
    <w:basedOn w:val="Style14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B00AB-1851-448A-948D-A2F838FE1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Application>AlterOffice/2025.3.1.0$Linux_X86_64 LibreOffice_project/431cd1b79110582f53535c95ed0a2449aadc8bf9</Application>
  <AppVersion>15.0000</AppVersion>
  <Pages>9</Pages>
  <Words>1712</Words>
  <Characters>11802</Characters>
  <CharactersWithSpaces>13362</CharactersWithSpaces>
  <Paragraphs>260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2023-12-26T23:42:00Z</dcterms:created>
  <dc:creator>Доронина Наталья Дмитриевна</dc:creator>
  <dc:description/>
  <dc:language>ru-RU</dc:language>
  <cp:lastModifiedBy>doronina_nd</cp:lastModifiedBy>
  <cp:lastPrinted>2025-08-13T09:01:39Z</cp:lastPrinted>
  <dcterms:modified xsi:type="dcterms:W3CDTF">2026-06-04T10:02:12Z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