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3.xml" ContentType="application/vnd.openxmlformats-officedocument.wordprocessingml.header+xml"/>
  <Override PartName="/word/vbaProject.bin" ContentType="application/vnd.ms-office.vbaProject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  <w:sz w:val="32"/>
          <w:szCs w:val="32"/>
        </w:rPr>
        <w:t>Т</w:t>
      </w:r>
      <w:r>
        <w:rPr>
          <w:rFonts w:eastAsia="Calibri"/>
          <w:b/>
        </w:rPr>
        <w:t>ехнические требования на поставку МТР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shd w:val="clear" w:fill="FFFFFF"/>
        <w:suppressAutoHyphens w:val="false"/>
        <w:spacing w:before="280" w:after="280"/>
        <w:ind w:left="360" w:right="0" w:hanging="0"/>
        <w:jc w:val="center"/>
        <w:rPr/>
      </w:pPr>
      <w:r>
        <w:rPr>
          <w:rFonts w:eastAsia="Times New Roman" w:cs="Times New Roman"/>
          <w:b/>
          <w:i/>
          <w:color w:val="auto"/>
          <w:kern w:val="0"/>
          <w:sz w:val="28"/>
          <w:szCs w:val="28"/>
          <w:lang w:val="ru-RU" w:eastAsia="zh-CN" w:bidi="ar-SA"/>
        </w:rPr>
        <w:t xml:space="preserve">ОКПД2 </w:t>
      </w:r>
      <w:r>
        <w:rPr>
          <w:rFonts w:eastAsia="Times New Roman" w:cs="Times New Roman"/>
          <w:b/>
          <w:i/>
          <w:caps w:val="false"/>
          <w:smallCaps w:val="false"/>
          <w:color w:val="auto"/>
          <w:spacing w:val="0"/>
          <w:kern w:val="0"/>
          <w:sz w:val="28"/>
          <w:szCs w:val="28"/>
          <w:lang w:val="ru-RU" w:eastAsia="zh-CN" w:bidi="ar-SA"/>
        </w:rPr>
        <w:t>26.51.44</w:t>
      </w:r>
      <w:r>
        <w:rPr>
          <w:rFonts w:eastAsia="Times New Roman" w:cs="Times New Roman"/>
          <w:b/>
          <w:i/>
          <w:color w:val="auto"/>
          <w:kern w:val="0"/>
          <w:sz w:val="28"/>
          <w:szCs w:val="28"/>
          <w:lang w:val="ru-RU" w:eastAsia="zh-CN" w:bidi="ar-SA"/>
        </w:rPr>
        <w:t xml:space="preserve">  Вы</w:t>
      </w:r>
      <w:r>
        <w:rPr>
          <w:b/>
          <w:i/>
        </w:rPr>
        <w:t>полнение поставки эксплуатационных материалов и оборудования для нужд ССИиТС филиала ПАО «РусГидро»-Саратовская ГЭС»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i/>
          <w:i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i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i/>
          <w:i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i/>
          <w:color w:val="auto"/>
          <w:kern w:val="0"/>
          <w:sz w:val="28"/>
          <w:szCs w:val="28"/>
          <w:lang w:val="ru-RU" w:eastAsia="zh-CN" w:bidi="ar-SA"/>
        </w:rPr>
        <w:t>2-ЭКСПДИТ-2026-СарГЭС</w:t>
      </w:r>
    </w:p>
    <w:p>
      <w:pPr>
        <w:pStyle w:val="Normal"/>
        <w:tabs>
          <w:tab w:val="clear" w:pos="708"/>
          <w:tab w:val="left" w:pos="5672" w:leader="none"/>
        </w:tabs>
        <w:rPr>
          <w:rFonts w:ascii="Arial" w:hAnsi="Arial" w:eastAsia="Calibri" w:cs="Arial"/>
          <w:b/>
          <w:i/>
          <w:i/>
          <w:color w:val="000000"/>
          <w:sz w:val="32"/>
          <w:szCs w:val="32"/>
        </w:rPr>
      </w:pPr>
      <w:r>
        <w:rPr>
          <w:rFonts w:eastAsia="Calibri" w:cs="Arial" w:ascii="Arial" w:hAnsi="Arial"/>
          <w:b/>
          <w:i/>
          <w:color w:val="000000"/>
          <w:sz w:val="32"/>
          <w:szCs w:val="32"/>
        </w:rPr>
      </w:r>
      <w:r>
        <w:br w:type="page"/>
      </w:r>
    </w:p>
    <w:p>
      <w:pPr>
        <w:pStyle w:val="Normal"/>
        <w:jc w:val="center"/>
        <w:rPr/>
      </w:pPr>
      <w:r>
        <w:rPr/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2"/>
            <w:tabs>
              <w:tab w:val="left" w:pos="708" w:leader="none"/>
              <w:tab w:val="right" w:pos="10204" w:leader="dot"/>
            </w:tabs>
            <w:rPr/>
          </w:pPr>
          <w:r>
            <w:fldChar w:fldCharType="begin"/>
          </w:r>
          <w:r>
            <w:rPr>
              <w:rStyle w:val="Style21"/>
            </w:rPr>
            <w:instrText xml:space="preserve"> TOC \o "1-4" \h</w:instrText>
          </w:r>
          <w:r>
            <w:rPr>
              <w:rStyle w:val="Style21"/>
            </w:rPr>
            <w:fldChar w:fldCharType="separate"/>
          </w:r>
          <w:hyperlink w:anchor="__RefHeading___Toc138070057">
            <w:r>
              <w:rPr>
                <w:rStyle w:val="Style21"/>
              </w:rPr>
              <w:t>1.</w:t>
              <w:tab/>
            </w:r>
            <w:r>
              <w:rPr>
                <w:rStyle w:val="Style21"/>
                <w:i w:val="false"/>
              </w:rPr>
              <w:t>Общие сведения</w:t>
            </w:r>
            <w:r>
              <w:rPr>
                <w:rStyle w:val="Style21"/>
              </w:rPr>
              <w:tab/>
              <w:t>3</w:t>
            </w:r>
          </w:hyperlink>
        </w:p>
        <w:p>
          <w:pPr>
            <w:pStyle w:val="TOC1"/>
            <w:tabs>
              <w:tab w:val="left" w:pos="708" w:leader="none"/>
              <w:tab w:val="right" w:pos="10204" w:leader="dot"/>
            </w:tabs>
            <w:rPr/>
          </w:pPr>
          <w:hyperlink w:anchor="__RefHeading___Toc47395_2069302926">
            <w:r>
              <w:rPr>
                <w:rStyle w:val="Style21"/>
              </w:rPr>
              <w:tab/>
              <w:t>1.2. Наименование закупаемой продукции</w:t>
              <w:tab/>
              <w:t>3</w:t>
            </w:r>
          </w:hyperlink>
        </w:p>
        <w:p>
          <w:pPr>
            <w:pStyle w:val="TOC1"/>
            <w:tabs>
              <w:tab w:val="left" w:pos="708" w:leader="none"/>
              <w:tab w:val="right" w:pos="10204" w:leader="dot"/>
            </w:tabs>
            <w:rPr/>
          </w:pPr>
          <w:hyperlink w:anchor="__RefHeading___Toc47397_2069302926">
            <w:r>
              <w:rPr>
                <w:rStyle w:val="Style21"/>
              </w:rPr>
              <w:tab/>
              <w:t>1.3. Цель использования закупаемой продукции</w:t>
              <w:tab/>
              <w:t>3</w:t>
            </w:r>
          </w:hyperlink>
        </w:p>
        <w:p>
          <w:pPr>
            <w:pStyle w:val="TOC2"/>
            <w:tabs>
              <w:tab w:val="left" w:pos="708" w:leader="none"/>
              <w:tab w:val="right" w:pos="10204" w:leader="dot"/>
            </w:tabs>
            <w:rPr/>
          </w:pPr>
          <w:hyperlink w:anchor="__RefHeading___Toc138070059">
            <w:r>
              <w:rPr>
                <w:rStyle w:val="Style21"/>
              </w:rPr>
              <w:t>2.</w:t>
              <w:tab/>
            </w:r>
            <w:r>
              <w:rPr>
                <w:rStyle w:val="Style21"/>
                <w:i w:val="false"/>
              </w:rPr>
              <w:t>Требования к продукции</w:t>
            </w:r>
            <w:r>
              <w:rPr>
                <w:rStyle w:val="Style21"/>
              </w:rPr>
              <w:tab/>
              <w:t>3</w:t>
            </w:r>
          </w:hyperlink>
        </w:p>
        <w:p>
          <w:pPr>
            <w:pStyle w:val="TOC1"/>
            <w:tabs>
              <w:tab w:val="left" w:pos="708" w:leader="none"/>
              <w:tab w:val="right" w:pos="10204" w:leader="dot"/>
            </w:tabs>
            <w:rPr/>
          </w:pPr>
          <w:hyperlink w:anchor="__RefHeading___Toc138070060">
            <w:r>
              <w:rPr>
                <w:rStyle w:val="Style21"/>
              </w:rPr>
              <w:t>2.1.</w:t>
              <w:tab/>
              <w:t>Требования к объемам и срокам поставки</w:t>
              <w:tab/>
              <w:t>3</w:t>
            </w:r>
          </w:hyperlink>
        </w:p>
        <w:p>
          <w:pPr>
            <w:pStyle w:val="TOC1"/>
            <w:tabs>
              <w:tab w:val="left" w:pos="708" w:leader="none"/>
              <w:tab w:val="right" w:pos="10204" w:leader="dot"/>
            </w:tabs>
            <w:rPr/>
          </w:pPr>
          <w:hyperlink w:anchor="__RefHeading___Toc138070061">
            <w:r>
              <w:rPr>
                <w:rStyle w:val="Style21"/>
              </w:rPr>
              <w:t>2.1.1.</w:t>
              <w:tab/>
              <w:t>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left" w:pos="708" w:leader="none"/>
              <w:tab w:val="right" w:pos="10204" w:leader="dot"/>
            </w:tabs>
            <w:rPr/>
          </w:pPr>
          <w:hyperlink w:anchor="__RefHeading___Toc138070062">
            <w:r>
              <w:rPr>
                <w:rStyle w:val="Style21"/>
              </w:rPr>
              <w:tab/>
              <w:t>Таблица 1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left" w:pos="708" w:leader="none"/>
              <w:tab w:val="right" w:pos="10204" w:leader="dot"/>
            </w:tabs>
            <w:rPr/>
          </w:pPr>
          <w:hyperlink w:anchor="__RefHeading___Toc138070063">
            <w:r>
              <w:rPr>
                <w:rStyle w:val="Style21"/>
              </w:rPr>
              <w:t>3.</w:t>
              <w:tab/>
              <w:t>Требования к срокам поставки продукции</w:t>
              <w:tab/>
              <w:t>5</w:t>
            </w:r>
          </w:hyperlink>
        </w:p>
        <w:p>
          <w:pPr>
            <w:pStyle w:val="TOC1"/>
            <w:tabs>
              <w:tab w:val="left" w:pos="708" w:leader="none"/>
              <w:tab w:val="right" w:pos="10204" w:leader="dot"/>
            </w:tabs>
            <w:rPr/>
          </w:pPr>
          <w:hyperlink w:anchor="__RefHeading___Toc47399_2069302926">
            <w:r>
              <w:rPr>
                <w:rStyle w:val="Style21"/>
              </w:rPr>
              <w:tab/>
              <w:t>Таблица 2 Требования по срокам поставки продукции</w:t>
              <w:tab/>
              <w:t>5</w:t>
            </w:r>
          </w:hyperlink>
        </w:p>
        <w:p>
          <w:pPr>
            <w:pStyle w:val="TOC2"/>
            <w:tabs>
              <w:tab w:val="left" w:pos="708" w:leader="none"/>
              <w:tab w:val="right" w:pos="10204" w:leader="dot"/>
            </w:tabs>
            <w:rPr/>
          </w:pPr>
          <w:hyperlink w:anchor="__RefHeading___Toc138070065">
            <w:r>
              <w:rPr>
                <w:rStyle w:val="Style21"/>
              </w:rPr>
              <w:t>4.</w:t>
              <w:tab/>
            </w:r>
            <w:r>
              <w:rPr>
                <w:rStyle w:val="Style21"/>
                <w:i w:val="false"/>
              </w:rPr>
              <w:t>Требования к качеству продукции</w:t>
            </w:r>
            <w:r>
              <w:rPr>
                <w:rStyle w:val="Style21"/>
              </w:rPr>
              <w:tab/>
              <w:t>6</w:t>
            </w:r>
          </w:hyperlink>
        </w:p>
        <w:p>
          <w:pPr>
            <w:pStyle w:val="TOC1"/>
            <w:tabs>
              <w:tab w:val="left" w:pos="708" w:leader="none"/>
              <w:tab w:val="right" w:pos="10204" w:leader="dot"/>
            </w:tabs>
            <w:rPr/>
          </w:pPr>
          <w:hyperlink w:anchor="__RefHeading___Toc47401_2069302926">
            <w:r>
              <w:rPr>
                <w:rStyle w:val="Style21"/>
              </w:rPr>
              <w:tab/>
              <w:t>Таблица 3. Общие требования к продукции</w:t>
              <w:tab/>
              <w:t>6</w:t>
            </w:r>
          </w:hyperlink>
        </w:p>
        <w:p>
          <w:pPr>
            <w:pStyle w:val="TOC2"/>
            <w:tabs>
              <w:tab w:val="left" w:pos="708" w:leader="none"/>
              <w:tab w:val="right" w:pos="10204" w:leader="dot"/>
            </w:tabs>
            <w:rPr/>
          </w:pPr>
          <w:hyperlink w:anchor="__RefHeading___Toc47403_2069302926">
            <w:r>
              <w:rPr>
                <w:rStyle w:val="Style21"/>
              </w:rPr>
              <w:t>5.</w:t>
              <w:tab/>
            </w:r>
            <w:r>
              <w:rPr>
                <w:rStyle w:val="Style21"/>
                <w:i w:val="false"/>
              </w:rPr>
              <w:t>Требования к документации по ценообразованию</w:t>
            </w:r>
            <w:r>
              <w:rPr>
                <w:rStyle w:val="Style21"/>
              </w:rPr>
              <w:tab/>
              <w:t>10</w:t>
            </w:r>
          </w:hyperlink>
        </w:p>
        <w:p>
          <w:pPr>
            <w:pStyle w:val="TOC2"/>
            <w:tabs>
              <w:tab w:val="left" w:pos="708" w:leader="none"/>
              <w:tab w:val="right" w:pos="10204" w:leader="dot"/>
            </w:tabs>
            <w:rPr/>
          </w:pPr>
          <w:hyperlink w:anchor="__RefHeading___Toc47411_2069302926">
            <w:r>
              <w:rPr>
                <w:rStyle w:val="Style21"/>
              </w:rPr>
              <w:t>6.</w:t>
              <w:tab/>
            </w:r>
            <w:r>
              <w:rPr>
                <w:rStyle w:val="Style21"/>
                <w:i w:val="false"/>
              </w:rPr>
              <w:t>Приложения</w:t>
            </w:r>
            <w:r>
              <w:rPr>
                <w:rStyle w:val="Style21"/>
              </w:rPr>
              <w:tab/>
              <w:t>10</w:t>
            </w:r>
          </w:hyperlink>
        </w:p>
        <w:p>
          <w:pPr>
            <w:pStyle w:val="TOC1"/>
            <w:tabs>
              <w:tab w:val="left" w:pos="708" w:leader="none"/>
              <w:tab w:val="right" w:pos="10204" w:leader="dot"/>
            </w:tabs>
            <w:rPr/>
          </w:pPr>
          <w:hyperlink w:anchor="__RefHeading___Toc138070068">
            <w:r>
              <w:rPr>
                <w:rStyle w:val="Style21"/>
              </w:rPr>
              <w:tab/>
              <w:t>Приложение №1 к Техническим требованиям</w:t>
              <w:tab/>
              <w:t>11</w:t>
            </w:r>
          </w:hyperlink>
          <w:r>
            <w:rPr>
              <w:rStyle w:val="Style21"/>
            </w:rPr>
            <w:fldChar w:fldCharType="end"/>
          </w:r>
        </w:p>
      </w:sdtContent>
    </w:sdt>
    <w:p>
      <w:pPr>
        <w:pStyle w:val="Normal"/>
        <w:rPr>
          <w:rFonts w:ascii="Calibri" w:hAnsi="Calibri" w:eastAsia="Calibri" w:cs="Calibri"/>
          <w:b/>
          <w:i/>
          <w:i/>
          <w:sz w:val="32"/>
          <w:szCs w:val="32"/>
          <w:lang w:val="ru-RU" w:eastAsia="ru-RU"/>
        </w:rPr>
      </w:pPr>
      <w:r>
        <w:rPr>
          <w:rFonts w:eastAsia="Calibri" w:cs="Calibri" w:ascii="Calibri" w:hAnsi="Calibri"/>
          <w:b/>
          <w:i/>
          <w:sz w:val="32"/>
          <w:szCs w:val="32"/>
          <w:lang w:val="ru-RU" w:eastAsia="ru-RU"/>
        </w:rPr>
      </w:r>
      <w:r>
        <w:br w:type="page"/>
      </w:r>
    </w:p>
    <w:p>
      <w:pPr>
        <w:pStyle w:val="Heading2"/>
        <w:numPr>
          <w:ilvl w:val="1"/>
          <w:numId w:val="7"/>
        </w:numPr>
        <w:spacing w:before="120" w:after="120"/>
        <w:jc w:val="center"/>
        <w:rPr/>
      </w:pPr>
      <w:bookmarkStart w:id="0" w:name="__RefHeading___Toc138070057"/>
      <w:bookmarkEnd w:id="0"/>
      <w:r>
        <w:rPr>
          <w:rFonts w:cs="Times New Roman" w:ascii="Times New Roman" w:hAnsi="Times New Roman"/>
          <w:i w:val="false"/>
        </w:rPr>
        <w:t>Общие сведения</w:t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709" w:leader="none"/>
        </w:tabs>
        <w:ind w:left="0" w:right="0" w:hanging="0"/>
        <w:jc w:val="left"/>
        <w:rPr/>
      </w:pPr>
      <w:bookmarkStart w:id="1" w:name="__RefHeading___Toc47395_2069302926"/>
      <w:bookmarkEnd w:id="1"/>
      <w:r>
        <w:rPr/>
        <w:t>1.2</w:t>
      </w:r>
      <w:r>
        <w:rPr>
          <w:lang w:val="ru-RU"/>
        </w:rPr>
        <w:t>.</w:t>
      </w:r>
      <w:r>
        <w:rPr/>
        <w:tab/>
        <w:t>Наименование закупаемой продукции</w:t>
      </w:r>
      <w:r>
        <w:rPr>
          <w:lang w:val="ru-RU"/>
        </w:rPr>
        <w:t xml:space="preserve"> </w:t>
      </w:r>
    </w:p>
    <w:p>
      <w:pPr>
        <w:pStyle w:val="Normal"/>
        <w:spacing w:lineRule="exact" w:line="240"/>
        <w:ind w:left="0" w:right="0" w:firstLine="708"/>
        <w:jc w:val="both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ОКПД2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ru-RU" w:eastAsia="ru-RU" w:bidi="ar-SA"/>
        </w:rPr>
        <w:t>26.51.44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  </w:t>
      </w:r>
      <w:r>
        <w:rPr>
          <w:sz w:val="24"/>
          <w:szCs w:val="24"/>
          <w:lang w:eastAsia="ru-RU"/>
        </w:rPr>
        <w:t>Выполнение поставки эксплуатационных материалов и оборудования для нужд ССИиТС филиала ПАО «РусГидро»-Саратовская ГЭС».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 2-ЭКСПДИТ-2026-СарГЭС.</w:t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709" w:leader="none"/>
        </w:tabs>
        <w:ind w:left="0" w:right="0" w:hanging="0"/>
        <w:jc w:val="left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bookmarkStart w:id="2" w:name="__RefHeading___Toc47397_2069302926"/>
      <w:bookmarkEnd w:id="2"/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1.3.</w:t>
        <w:tab/>
        <w:t>Цель использования закупаемой продукции</w:t>
      </w:r>
    </w:p>
    <w:p>
      <w:pPr>
        <w:pStyle w:val="Normal"/>
        <w:spacing w:lineRule="exact" w:line="240"/>
        <w:ind w:left="0" w:right="0" w:firstLine="708"/>
        <w:jc w:val="both"/>
        <w:rPr/>
      </w:pPr>
      <w:r>
        <w:rPr>
          <w:sz w:val="24"/>
          <w:szCs w:val="24"/>
          <w:lang w:eastAsia="ru-RU"/>
        </w:rPr>
        <w:t xml:space="preserve">Обеспечение требуемого уровня надежности и эффективности эксплуатации основного оборудования во всех режимах его функционирования и минимизация материального ущерба от возможных технологических нарушений на оборудовании за счёт сокращения времени обеспечения запасными частями и/или оборудованием, необходимым для восстановительных или превентивных работ. </w:t>
      </w:r>
    </w:p>
    <w:p>
      <w:pPr>
        <w:pStyle w:val="Heading2"/>
        <w:numPr>
          <w:ilvl w:val="0"/>
          <w:numId w:val="5"/>
        </w:numPr>
        <w:spacing w:before="120" w:after="120"/>
        <w:ind w:left="0" w:right="0" w:hanging="0"/>
        <w:jc w:val="center"/>
        <w:rPr/>
      </w:pPr>
      <w:bookmarkStart w:id="3" w:name="__RefHeading___Toc138070059"/>
      <w:bookmarkEnd w:id="3"/>
      <w:r>
        <w:rPr>
          <w:rFonts w:cs="Times New Roman" w:ascii="Times New Roman" w:hAnsi="Times New Roman"/>
          <w:i w:val="false"/>
          <w:lang w:val="ru-RU"/>
        </w:rPr>
        <w:t>Требования к продукции</w:t>
      </w:r>
    </w:p>
    <w:p>
      <w:pPr>
        <w:pStyle w:val="Heading1"/>
        <w:numPr>
          <w:ilvl w:val="1"/>
          <w:numId w:val="5"/>
        </w:numPr>
        <w:spacing w:before="120" w:after="0"/>
        <w:ind w:left="0" w:right="0" w:hanging="0"/>
        <w:jc w:val="left"/>
        <w:rPr>
          <w:lang w:val="ru-RU"/>
        </w:rPr>
      </w:pPr>
      <w:bookmarkStart w:id="4" w:name="__RefHeading___Toc138070060"/>
      <w:bookmarkEnd w:id="4"/>
      <w:r>
        <w:rPr/>
        <w:t xml:space="preserve">Требования к объемам и срокам </w:t>
      </w:r>
      <w:r>
        <w:rPr>
          <w:lang w:val="ru-RU"/>
        </w:rPr>
        <w:t>поставки</w:t>
      </w:r>
    </w:p>
    <w:p>
      <w:pPr>
        <w:pStyle w:val="Heading1"/>
        <w:numPr>
          <w:ilvl w:val="2"/>
          <w:numId w:val="5"/>
        </w:numPr>
        <w:spacing w:before="120" w:after="0"/>
        <w:ind w:left="0" w:right="0" w:firstLine="284"/>
        <w:jc w:val="left"/>
        <w:rPr>
          <w:szCs w:val="24"/>
          <w:lang w:val="ru-RU"/>
        </w:rPr>
      </w:pPr>
      <w:bookmarkStart w:id="5" w:name="__RefHeading___Toc138070061"/>
      <w:bookmarkEnd w:id="5"/>
      <w:r>
        <w:rPr>
          <w:lang w:val="ru-RU"/>
        </w:rPr>
        <w:t>Перечень и объем закупаемой продукции</w:t>
      </w:r>
    </w:p>
    <w:p>
      <w:pPr>
        <w:pStyle w:val="Heading1"/>
        <w:numPr>
          <w:ilvl w:val="0"/>
          <w:numId w:val="0"/>
        </w:numPr>
        <w:spacing w:before="120" w:after="120"/>
        <w:ind w:left="0" w:right="0" w:hanging="0"/>
        <w:jc w:val="left"/>
        <w:rPr>
          <w:szCs w:val="24"/>
          <w:lang w:val="ru-RU"/>
        </w:rPr>
      </w:pPr>
      <w:bookmarkStart w:id="6" w:name="__RefHeading___Toc138070062"/>
      <w:bookmarkEnd w:id="6"/>
      <w:r>
        <w:rPr>
          <w:szCs w:val="24"/>
          <w:lang w:val="ru-RU"/>
        </w:rPr>
        <w:t xml:space="preserve">Таблица 1 </w:t>
      </w:r>
      <w:r>
        <w:rPr/>
        <w:t>Перечень и объем закупаемой продукции</w:t>
      </w:r>
    </w:p>
    <w:p>
      <w:pPr>
        <w:pStyle w:val="Normal"/>
        <w:spacing w:lineRule="exact" w:line="240"/>
        <w:rPr>
          <w:szCs w:val="24"/>
          <w:lang w:val="ru-RU"/>
        </w:rPr>
      </w:pPr>
      <w:r>
        <w:rPr>
          <w:szCs w:val="24"/>
          <w:lang w:val="ru-RU"/>
        </w:rPr>
      </w:r>
    </w:p>
    <w:tbl>
      <w:tblPr>
        <w:tblW w:w="1034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610"/>
        <w:gridCol w:w="4122"/>
        <w:gridCol w:w="1564"/>
        <w:gridCol w:w="1271"/>
      </w:tblGrid>
      <w:tr>
        <w:trPr/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4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>
        <w:trPr>
          <w:trHeight w:val="1051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numPr>
                <w:ilvl w:val="0"/>
                <w:numId w:val="9"/>
              </w:numPr>
              <w:snapToGrid w:val="false"/>
              <w:ind w:left="360" w:righ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 для телекоммуникационного шкафа, настенный монтаж, 1500 Вт, 220В SNR-ACC-1500-АСH или аналог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301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numPr>
                <w:ilvl w:val="0"/>
                <w:numId w:val="9"/>
              </w:numPr>
              <w:snapToGrid w:val="false"/>
              <w:ind w:left="360" w:righ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Лазерный станок для пластика</w:t>
            </w:r>
          </w:p>
        </w:tc>
        <w:tc>
          <w:tcPr>
            <w:tcW w:w="4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Лазерный станок Elixmate NG 0203 M</w:t>
            </w:r>
            <w:bookmarkStart w:id="7" w:name="__DdeLink__4851_1316347232"/>
            <w:r>
              <w:rPr>
                <w:sz w:val="24"/>
                <w:szCs w:val="24"/>
              </w:rPr>
              <w:t xml:space="preserve"> или аналог</w:t>
            </w:r>
            <w:bookmarkEnd w:id="7"/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301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numPr>
                <w:ilvl w:val="0"/>
                <w:numId w:val="9"/>
              </w:numPr>
              <w:snapToGrid w:val="false"/>
              <w:ind w:left="360" w:right="0" w:hanging="3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питания 12 В</w:t>
            </w:r>
          </w:p>
        </w:tc>
        <w:tc>
          <w:tcPr>
            <w:tcW w:w="4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питания Switching Power Supply, LFVLT130-1101, 12V dc, 6.6A, 130W, 1 Output, 180 → 264 V ac или аналог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301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numPr>
                <w:ilvl w:val="0"/>
                <w:numId w:val="9"/>
              </w:numPr>
              <w:snapToGrid w:val="false"/>
              <w:ind w:left="360" w:righ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F/UTP кат.5е</w:t>
            </w:r>
          </w:p>
        </w:tc>
        <w:tc>
          <w:tcPr>
            <w:tcW w:w="4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витая пара REXANT F/UTP CAT5e LSZH нг(А)-HF 4x2x0,52 мм 24AWG IN SOLID серый 305м РФ 02-0021-R или аналог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упак. (305 м.)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301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numPr>
                <w:ilvl w:val="0"/>
                <w:numId w:val="9"/>
              </w:numPr>
              <w:snapToGrid w:val="false"/>
              <w:ind w:left="360" w:righ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для электрошкафов</w:t>
            </w:r>
          </w:p>
        </w:tc>
        <w:tc>
          <w:tcPr>
            <w:tcW w:w="4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для электрошкафов КВТ КЭШ-5 78068  или аналог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301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numPr>
                <w:ilvl w:val="0"/>
                <w:numId w:val="9"/>
              </w:numPr>
              <w:snapToGrid w:val="false"/>
              <w:ind w:left="360" w:righ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Соединительная клемма 0,14-4 кв.мм</w:t>
            </w:r>
          </w:p>
        </w:tc>
        <w:tc>
          <w:tcPr>
            <w:tcW w:w="4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Соединительная клемма с рычажком WAGO 221-415 5-ти проводная, 0,14-4 кв.мм, 450В, 32А, без пасты, 25 шт.  или аналог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упак. (25 шт.)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01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numPr>
                <w:ilvl w:val="0"/>
                <w:numId w:val="9"/>
              </w:numPr>
              <w:snapToGrid w:val="false"/>
              <w:ind w:left="360" w:righ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Соединительная клемма 0,08-2,5 кв.мм</w:t>
            </w:r>
          </w:p>
        </w:tc>
        <w:tc>
          <w:tcPr>
            <w:tcW w:w="4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Соединительная клемма с рычажком WAGO 222-415 5-ти проводная, 0,08-2,5 кв.мм, 400В, 32А, без пасты, 40 шт.  или аналог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упак.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val="301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numPr>
                <w:ilvl w:val="0"/>
                <w:numId w:val="9"/>
              </w:numPr>
              <w:snapToGrid w:val="false"/>
              <w:ind w:left="360" w:righ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Гофрированная труба 20 мм</w:t>
            </w:r>
          </w:p>
        </w:tc>
        <w:tc>
          <w:tcPr>
            <w:tcW w:w="4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Гофрированная труба УРАЛ ПАК 20мм 100м.FRHF с зондом легкая ГФ-4100020-100  или аналог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упак. (100 м)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301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numPr>
                <w:ilvl w:val="0"/>
                <w:numId w:val="9"/>
              </w:numPr>
              <w:snapToGrid w:val="false"/>
              <w:ind w:left="360" w:righ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Гофрированная труба 25 мм</w:t>
            </w:r>
          </w:p>
        </w:tc>
        <w:tc>
          <w:tcPr>
            <w:tcW w:w="4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Гофрированная труба УРАЛ ПАК 25мм 75м FRHF с зондом легкая ГФ-4100025-075  или аналог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упак. (75 м)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301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numPr>
                <w:ilvl w:val="0"/>
                <w:numId w:val="9"/>
              </w:numPr>
              <w:snapToGrid w:val="false"/>
              <w:ind w:left="360" w:righ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Крепление гофротрубы 20мм</w:t>
            </w:r>
          </w:p>
        </w:tc>
        <w:tc>
          <w:tcPr>
            <w:tcW w:w="4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Комплекты для крепления ОКЛ Промрукав саморез, дюбель, скоба СМО d19-20 мм, 100 шт. PR08.4996  или аналог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упак. (100 шт.)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301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numPr>
                <w:ilvl w:val="0"/>
                <w:numId w:val="9"/>
              </w:numPr>
              <w:snapToGrid w:val="false"/>
              <w:ind w:left="360" w:righ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Крепление гофротрубы 25мм</w:t>
            </w:r>
          </w:p>
        </w:tc>
        <w:tc>
          <w:tcPr>
            <w:tcW w:w="4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Комплекты для крепления ОКЛ Промрукав саморез, дюбель, скоба СМО d25-26 мм, 100 шт.  или аналог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упак. (100 шт.)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301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numPr>
                <w:ilvl w:val="0"/>
                <w:numId w:val="9"/>
              </w:numPr>
              <w:snapToGrid w:val="false"/>
              <w:ind w:left="360" w:righ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Хомут-стяжки 3,6х200мм</w:t>
            </w:r>
          </w:p>
        </w:tc>
        <w:tc>
          <w:tcPr>
            <w:tcW w:w="4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Нейлоновая хомут-стяжка Gigant 3,6х200 черный, 100 шт  или аналог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упак. (100 шт.)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>
          <w:trHeight w:val="301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numPr>
                <w:ilvl w:val="0"/>
                <w:numId w:val="9"/>
              </w:numPr>
              <w:snapToGrid w:val="false"/>
              <w:ind w:left="360" w:righ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Хомуты-стяжки 4,6x200мм</w:t>
            </w:r>
          </w:p>
        </w:tc>
        <w:tc>
          <w:tcPr>
            <w:tcW w:w="4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Стальные хомуты-стяжки Gigant нерж. с полимерным покрытием 4,6x250мм 100шт. 123944  или аналог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упак. (100 шт.)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301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numPr>
                <w:ilvl w:val="0"/>
                <w:numId w:val="9"/>
              </w:numPr>
              <w:snapToGrid w:val="false"/>
              <w:ind w:left="360" w:righ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Хомуты-стяжки 7,9x400мм</w:t>
            </w:r>
          </w:p>
        </w:tc>
        <w:tc>
          <w:tcPr>
            <w:tcW w:w="4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Стальные хомуты-стяжки Gigant нерж. с полимерным покрытием 7,9x400мм 100шт. 123951  или аналог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упак. (100 шт.)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301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numPr>
                <w:ilvl w:val="0"/>
                <w:numId w:val="9"/>
              </w:numPr>
              <w:snapToGrid w:val="false"/>
              <w:ind w:left="360" w:righ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 отрезной</w:t>
            </w:r>
          </w:p>
        </w:tc>
        <w:tc>
          <w:tcPr>
            <w:tcW w:w="4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 отрезной абразивный по металлу 125х1,2х22,2 мм Луга 4603347328064 </w:t>
            </w:r>
            <w:bookmarkStart w:id="8" w:name="__DdeLink__9103_1316347232"/>
            <w:r>
              <w:rPr>
                <w:sz w:val="24"/>
                <w:szCs w:val="24"/>
              </w:rPr>
              <w:t xml:space="preserve">A 54 S BF Pg RPM 12250 </w:t>
            </w:r>
            <w:bookmarkEnd w:id="8"/>
            <w:r>
              <w:rPr>
                <w:sz w:val="24"/>
                <w:szCs w:val="24"/>
              </w:rPr>
              <w:t xml:space="preserve"> или аналог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>
        <w:trPr>
          <w:trHeight w:val="301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numPr>
                <w:ilvl w:val="0"/>
                <w:numId w:val="9"/>
              </w:numPr>
              <w:snapToGrid w:val="false"/>
              <w:ind w:left="360" w:righ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Сверло 2,0 мм</w:t>
            </w:r>
          </w:p>
        </w:tc>
        <w:tc>
          <w:tcPr>
            <w:tcW w:w="4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Сверло по металлу Profi (2х49 мм; Р6М5К5) CUTOP 48-20-10  или аналог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rPr>
          <w:trHeight w:val="301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numPr>
                <w:ilvl w:val="0"/>
                <w:numId w:val="9"/>
              </w:numPr>
              <w:snapToGrid w:val="false"/>
              <w:ind w:left="360" w:righ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Сверло 2,5 мм</w:t>
            </w:r>
          </w:p>
        </w:tc>
        <w:tc>
          <w:tcPr>
            <w:tcW w:w="4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Сверло по металлу КОБАЛЬТ (2.5х30х57 мм; Р6М5К5; класс А1) Gigant GT-132  или аналог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rPr>
          <w:trHeight w:val="301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numPr>
                <w:ilvl w:val="0"/>
                <w:numId w:val="9"/>
              </w:numPr>
              <w:snapToGrid w:val="false"/>
              <w:ind w:left="360" w:righ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Сверло 3,0 мм</w:t>
            </w:r>
          </w:p>
        </w:tc>
        <w:tc>
          <w:tcPr>
            <w:tcW w:w="4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Сверло по металлу КОБАЛЬТ (10 шт; 3х33х61 мм; Р6М5К5; класс А1) Gigant GT-133  или аналог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rPr>
          <w:trHeight w:val="301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numPr>
                <w:ilvl w:val="0"/>
                <w:numId w:val="9"/>
              </w:numPr>
              <w:snapToGrid w:val="false"/>
              <w:ind w:left="360" w:righ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Сверло 3,5 мм</w:t>
            </w:r>
          </w:p>
        </w:tc>
        <w:tc>
          <w:tcPr>
            <w:tcW w:w="4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Сверло по металлу КОБАЛЬТ (3.5х39х70 мм; Р6М5К5; класс А1) Gigant GT-135  или аналог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rPr>
          <w:trHeight w:val="301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widowControl w:val="false"/>
              <w:numPr>
                <w:ilvl w:val="0"/>
                <w:numId w:val="9"/>
              </w:numPr>
              <w:snapToGrid w:val="false"/>
              <w:ind w:left="360" w:right="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Номерная наклейка</w:t>
            </w:r>
          </w:p>
        </w:tc>
        <w:tc>
          <w:tcPr>
            <w:tcW w:w="4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Номерная пломба наклейка ООО Пломба.Ру ширина 20 мм, длина 100 мм, оставляет след, "дата, подпись" красная 1000 шт. или аналог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упак. (1000 шт.)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spacing w:lineRule="exact" w:line="240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spacing w:lineRule="exact" w:line="240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Heading1"/>
        <w:numPr>
          <w:ilvl w:val="0"/>
          <w:numId w:val="5"/>
        </w:numPr>
        <w:jc w:val="left"/>
        <w:rPr>
          <w:rFonts w:ascii="Times New Roman" w:hAnsi="Times New Roman" w:cs="Times New Roman"/>
          <w:szCs w:val="24"/>
        </w:rPr>
      </w:pPr>
      <w:bookmarkStart w:id="9" w:name="__RefHeading___Toc138070063"/>
      <w:bookmarkEnd w:id="9"/>
      <w:r>
        <w:rPr/>
        <w:t>Требования к срокам поставки продукции</w:t>
      </w:r>
    </w:p>
    <w:p>
      <w:pPr>
        <w:pStyle w:val="Normal"/>
        <w:jc w:val="left"/>
        <w:rPr>
          <w:rFonts w:ascii="Times New Roman" w:hAnsi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 </w:t>
      </w:r>
      <w:r>
        <w:rPr>
          <w:rFonts w:cs="Times New Roman"/>
          <w:bCs/>
          <w:sz w:val="24"/>
          <w:szCs w:val="24"/>
        </w:rPr>
        <w:t>Поставка товара осуществляется единовременно.</w:t>
      </w:r>
    </w:p>
    <w:p>
      <w:pPr>
        <w:pStyle w:val="Heading1"/>
        <w:numPr>
          <w:ilvl w:val="0"/>
          <w:numId w:val="0"/>
        </w:numPr>
        <w:spacing w:before="120" w:after="120"/>
        <w:ind w:left="714" w:right="0" w:hanging="357"/>
        <w:jc w:val="left"/>
        <w:rPr>
          <w:rFonts w:ascii="Times New Roman" w:hAnsi="Times New Roman" w:cs="Times New Roman"/>
          <w:szCs w:val="24"/>
        </w:rPr>
      </w:pPr>
      <w:bookmarkStart w:id="10" w:name="__RefHeading___Toc47399_2069302926"/>
      <w:bookmarkEnd w:id="10"/>
      <w:r>
        <w:rPr/>
        <w:t xml:space="preserve">Таблица 2 </w:t>
      </w:r>
      <w:bookmarkStart w:id="11" w:name="_Hlk50465284"/>
      <w:r>
        <w:rPr/>
        <w:t xml:space="preserve">Требования по срокам </w:t>
      </w:r>
      <w:bookmarkEnd w:id="11"/>
      <w:r>
        <w:rPr/>
        <w:t xml:space="preserve">поставки продукции </w:t>
      </w:r>
    </w:p>
    <w:tbl>
      <w:tblPr>
        <w:tblW w:w="1060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953"/>
        <w:gridCol w:w="3230"/>
        <w:gridCol w:w="3402"/>
      </w:tblGrid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8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8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0"/>
                <w:numId w:val="6"/>
              </w:numPr>
              <w:snapToGrid w:val="false"/>
              <w:ind w:left="360" w:right="0" w:hanging="36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</w:t>
            </w:r>
          </w:p>
        </w:tc>
        <w:tc>
          <w:tcPr>
            <w:tcW w:w="3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Не позднее 31.10.2026</w:t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0"/>
                <w:numId w:val="6"/>
              </w:numPr>
              <w:snapToGrid w:val="false"/>
              <w:ind w:left="360" w:right="0" w:hanging="36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Лазерный станок для пластика</w:t>
            </w:r>
          </w:p>
        </w:tc>
        <w:tc>
          <w:tcPr>
            <w:tcW w:w="3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0"/>
                <w:numId w:val="6"/>
              </w:numPr>
              <w:snapToGrid w:val="false"/>
              <w:ind w:left="360" w:right="0" w:hanging="36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питания 12 В</w:t>
            </w:r>
          </w:p>
        </w:tc>
        <w:tc>
          <w:tcPr>
            <w:tcW w:w="3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0"/>
                <w:numId w:val="6"/>
              </w:numPr>
              <w:snapToGrid w:val="false"/>
              <w:ind w:left="360" w:right="0" w:hanging="36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F/UTP кат.5е</w:t>
            </w:r>
          </w:p>
        </w:tc>
        <w:tc>
          <w:tcPr>
            <w:tcW w:w="3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0"/>
                <w:numId w:val="6"/>
              </w:numPr>
              <w:snapToGrid w:val="false"/>
              <w:ind w:left="360" w:right="0" w:hanging="36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для электрошкафов</w:t>
            </w:r>
          </w:p>
        </w:tc>
        <w:tc>
          <w:tcPr>
            <w:tcW w:w="3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0"/>
                <w:numId w:val="6"/>
              </w:numPr>
              <w:snapToGrid w:val="false"/>
              <w:ind w:left="360" w:right="0" w:hanging="36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Соединительная клемма 0,14-4 кв.мм</w:t>
            </w:r>
          </w:p>
        </w:tc>
        <w:tc>
          <w:tcPr>
            <w:tcW w:w="3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0"/>
                <w:numId w:val="6"/>
              </w:numPr>
              <w:snapToGrid w:val="false"/>
              <w:ind w:left="360" w:right="0" w:hanging="36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Соединительная клемма 0,08-2,5 кв.мм</w:t>
            </w:r>
          </w:p>
        </w:tc>
        <w:tc>
          <w:tcPr>
            <w:tcW w:w="3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0"/>
                <w:numId w:val="6"/>
              </w:numPr>
              <w:snapToGrid w:val="false"/>
              <w:ind w:left="360" w:right="0" w:hanging="36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Гофрированная труба 20 мм</w:t>
            </w:r>
          </w:p>
        </w:tc>
        <w:tc>
          <w:tcPr>
            <w:tcW w:w="3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0"/>
                <w:numId w:val="6"/>
              </w:numPr>
              <w:snapToGrid w:val="false"/>
              <w:ind w:left="360" w:right="0" w:hanging="36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Гофрированная труба 25 мм</w:t>
            </w:r>
          </w:p>
        </w:tc>
        <w:tc>
          <w:tcPr>
            <w:tcW w:w="3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0"/>
                <w:numId w:val="6"/>
              </w:numPr>
              <w:snapToGrid w:val="false"/>
              <w:ind w:left="360" w:right="0" w:hanging="36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Крепление гофротрубы 20мм</w:t>
            </w:r>
          </w:p>
        </w:tc>
        <w:tc>
          <w:tcPr>
            <w:tcW w:w="3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0"/>
                <w:numId w:val="6"/>
              </w:numPr>
              <w:snapToGrid w:val="false"/>
              <w:ind w:left="360" w:right="0" w:hanging="36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Крепление гофротрубы 25мм</w:t>
            </w:r>
          </w:p>
        </w:tc>
        <w:tc>
          <w:tcPr>
            <w:tcW w:w="3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0"/>
                <w:numId w:val="6"/>
              </w:numPr>
              <w:snapToGrid w:val="false"/>
              <w:ind w:left="360" w:right="0" w:hanging="36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Хомут-стяжки 3,6х200мм</w:t>
            </w:r>
          </w:p>
        </w:tc>
        <w:tc>
          <w:tcPr>
            <w:tcW w:w="3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0"/>
                <w:numId w:val="6"/>
              </w:numPr>
              <w:snapToGrid w:val="false"/>
              <w:ind w:left="360" w:right="0" w:hanging="36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Хомуты-стяжки 4,6x200мм</w:t>
            </w:r>
          </w:p>
        </w:tc>
        <w:tc>
          <w:tcPr>
            <w:tcW w:w="3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0"/>
                <w:numId w:val="6"/>
              </w:numPr>
              <w:snapToGrid w:val="false"/>
              <w:ind w:left="360" w:right="0" w:hanging="36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Хомуты-стяжки 7,9x400мм</w:t>
            </w:r>
          </w:p>
        </w:tc>
        <w:tc>
          <w:tcPr>
            <w:tcW w:w="3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0"/>
                <w:numId w:val="6"/>
              </w:numPr>
              <w:snapToGrid w:val="false"/>
              <w:ind w:left="360" w:right="0" w:hanging="36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 отрезной</w:t>
            </w:r>
          </w:p>
        </w:tc>
        <w:tc>
          <w:tcPr>
            <w:tcW w:w="3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0"/>
                <w:numId w:val="6"/>
              </w:numPr>
              <w:snapToGrid w:val="false"/>
              <w:ind w:left="360" w:right="0" w:hanging="36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Сверло 2,0 мм</w:t>
            </w:r>
          </w:p>
        </w:tc>
        <w:tc>
          <w:tcPr>
            <w:tcW w:w="3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0"/>
                <w:numId w:val="6"/>
              </w:numPr>
              <w:snapToGrid w:val="false"/>
              <w:ind w:left="360" w:right="0" w:hanging="36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Сверло 2,5 мм</w:t>
            </w:r>
          </w:p>
        </w:tc>
        <w:tc>
          <w:tcPr>
            <w:tcW w:w="3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0"/>
                <w:numId w:val="6"/>
              </w:numPr>
              <w:snapToGrid w:val="false"/>
              <w:ind w:left="360" w:right="0" w:hanging="36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Сверло 3,0 мм</w:t>
            </w:r>
          </w:p>
        </w:tc>
        <w:tc>
          <w:tcPr>
            <w:tcW w:w="3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0"/>
                <w:numId w:val="6"/>
              </w:numPr>
              <w:snapToGrid w:val="false"/>
              <w:ind w:left="360" w:right="0" w:hanging="36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Сверло 3,5 мм</w:t>
            </w:r>
          </w:p>
        </w:tc>
        <w:tc>
          <w:tcPr>
            <w:tcW w:w="3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0"/>
                <w:numId w:val="6"/>
              </w:numPr>
              <w:snapToGrid w:val="false"/>
              <w:ind w:left="360" w:right="0" w:hanging="36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Номерная наклейка</w:t>
            </w:r>
          </w:p>
        </w:tc>
        <w:tc>
          <w:tcPr>
            <w:tcW w:w="3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1906" w:h="16838"/>
          <w:pgMar w:left="851" w:right="851" w:gutter="0" w:header="0" w:top="567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2"/>
        <w:numPr>
          <w:ilvl w:val="0"/>
          <w:numId w:val="5"/>
        </w:numPr>
        <w:spacing w:before="120" w:after="120"/>
        <w:ind w:left="0" w:right="0" w:hanging="0"/>
        <w:rPr>
          <w:szCs w:val="24"/>
        </w:rPr>
      </w:pPr>
      <w:bookmarkStart w:id="12" w:name="__RefHeading___Toc138070065"/>
      <w:bookmarkEnd w:id="12"/>
      <w:r>
        <w:rPr>
          <w:rFonts w:cs="Times New Roman" w:ascii="Times New Roman" w:hAnsi="Times New Roman"/>
          <w:i w:val="false"/>
          <w:lang w:val="ru-RU"/>
        </w:rPr>
        <w:t>Требования к качеству продукции</w:t>
      </w:r>
    </w:p>
    <w:p>
      <w:pPr>
        <w:pStyle w:val="Heading1"/>
        <w:keepLines/>
        <w:numPr>
          <w:ilvl w:val="0"/>
          <w:numId w:val="0"/>
        </w:numPr>
        <w:spacing w:before="240" w:after="0"/>
        <w:ind w:left="0" w:right="0" w:hanging="0"/>
        <w:jc w:val="left"/>
        <w:rPr>
          <w:szCs w:val="24"/>
        </w:rPr>
      </w:pPr>
      <w:bookmarkStart w:id="13" w:name="__RefHeading___Toc47401_2069302926"/>
      <w:bookmarkEnd w:id="13"/>
      <w:r>
        <w:rPr>
          <w:szCs w:val="24"/>
        </w:rPr>
        <w:t>Таблица </w:t>
      </w:r>
      <w:r>
        <w:rPr>
          <w:szCs w:val="24"/>
          <w:lang w:val="ru-RU"/>
        </w:rPr>
        <w:t>3</w:t>
      </w:r>
      <w:r>
        <w:rPr>
          <w:szCs w:val="24"/>
        </w:rPr>
        <w:t xml:space="preserve">. </w:t>
      </w:r>
      <w:r>
        <w:rPr>
          <w:szCs w:val="24"/>
          <w:lang w:val="ru-RU"/>
        </w:rPr>
        <w:t>Общие т</w:t>
      </w:r>
      <w:r>
        <w:rPr>
          <w:szCs w:val="24"/>
        </w:rPr>
        <w:t xml:space="preserve">ребования к </w:t>
      </w:r>
      <w:r>
        <w:rPr>
          <w:szCs w:val="24"/>
          <w:lang w:val="ru-RU"/>
        </w:rPr>
        <w:t>продукции</w:t>
      </w:r>
      <w:r>
        <w:rPr>
          <w:szCs w:val="24"/>
        </w:rPr>
        <w:t xml:space="preserve"> </w:t>
      </w:r>
    </w:p>
    <w:p>
      <w:pPr>
        <w:pStyle w:val="Normal"/>
        <w:spacing w:before="120" w:after="120"/>
        <w:jc w:val="both"/>
        <w:rPr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продукции: </w:t>
      </w:r>
      <w:r>
        <w:rPr>
          <w:b/>
          <w:bCs/>
          <w:i/>
          <w:iCs/>
          <w:sz w:val="24"/>
          <w:szCs w:val="24"/>
        </w:rPr>
        <w:t>э</w:t>
      </w:r>
      <w:r>
        <w:rPr>
          <w:b/>
          <w:bCs/>
          <w:i/>
          <w:iCs/>
          <w:sz w:val="24"/>
          <w:szCs w:val="24"/>
          <w:lang w:eastAsia="ru-RU"/>
        </w:rPr>
        <w:t>ксплуатационны</w:t>
      </w:r>
      <w:r>
        <w:rPr>
          <w:b/>
          <w:bCs/>
          <w:i/>
          <w:iCs/>
          <w:sz w:val="24"/>
          <w:szCs w:val="24"/>
          <w:lang w:eastAsia="ru-RU"/>
        </w:rPr>
        <w:t xml:space="preserve">е </w:t>
      </w:r>
      <w:r>
        <w:rPr>
          <w:b/>
          <w:bCs/>
          <w:i/>
          <w:iCs/>
          <w:sz w:val="24"/>
          <w:szCs w:val="24"/>
          <w:lang w:eastAsia="ru-RU"/>
        </w:rPr>
        <w:t>материал</w:t>
      </w:r>
      <w:r>
        <w:rPr>
          <w:b/>
          <w:bCs/>
          <w:i/>
          <w:iCs/>
          <w:sz w:val="24"/>
          <w:szCs w:val="24"/>
          <w:lang w:eastAsia="ru-RU"/>
        </w:rPr>
        <w:t>ы</w:t>
      </w:r>
      <w:r>
        <w:rPr>
          <w:b/>
          <w:bCs/>
          <w:i/>
          <w:iCs/>
          <w:sz w:val="24"/>
          <w:szCs w:val="24"/>
          <w:lang w:eastAsia="ru-RU"/>
        </w:rPr>
        <w:t xml:space="preserve"> и оборудовани</w:t>
      </w:r>
      <w:r>
        <w:rPr>
          <w:b/>
          <w:bCs/>
          <w:i/>
          <w:iCs/>
          <w:sz w:val="24"/>
          <w:szCs w:val="24"/>
          <w:lang w:eastAsia="ru-RU"/>
        </w:rPr>
        <w:t>е</w:t>
      </w:r>
    </w:p>
    <w:tbl>
      <w:tblPr>
        <w:tblW w:w="49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2331"/>
        <w:gridCol w:w="4798"/>
        <w:gridCol w:w="3098"/>
        <w:gridCol w:w="3809"/>
      </w:tblGrid>
      <w:tr>
        <w:trPr>
          <w:tblHeader w:val="true"/>
        </w:trPr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4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>
        <w:trPr>
          <w:tblHeader w:val="true"/>
        </w:trPr>
        <w:tc>
          <w:tcPr>
            <w:tcW w:w="1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7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0"/>
                <w:numId w:val="4"/>
              </w:numPr>
              <w:suppressAutoHyphens w:val="false"/>
              <w:snapToGrid w:val="false"/>
              <w:spacing w:before="60" w:after="60"/>
              <w:ind w:left="360" w:right="0" w:hanging="36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0"/>
                <w:numId w:val="8"/>
              </w:numPr>
              <w:suppressAutoHyphens w:val="false"/>
              <w:spacing w:before="60" w:after="60"/>
              <w:ind w:left="0" w:right="0" w:firstLine="80"/>
              <w:contextualSpacing/>
              <w:rPr/>
            </w:pPr>
            <w:r>
              <w:rPr/>
              <w:t>1.1.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Требования к техническим и функциональным характеристикам указаны в Таблице 3.1. Приложение №1 к Техническим требованиям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Согласие с требованием в форме таблицы 3.1.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2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0"/>
                <w:numId w:val="4"/>
              </w:numPr>
              <w:suppressAutoHyphens w:val="false"/>
              <w:snapToGrid w:val="false"/>
              <w:spacing w:before="60" w:after="60"/>
              <w:ind w:left="360" w:right="0" w:hanging="36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4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доставке, маркировке, упаковке, транспортировке, приемке</w:t>
            </w:r>
          </w:p>
        </w:tc>
      </w:tr>
      <w:tr>
        <w:trPr>
          <w:trHeight w:val="847" w:hRule="atLeast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1"/>
                <w:numId w:val="4"/>
              </w:numPr>
              <w:suppressAutoHyphens w:val="false"/>
              <w:snapToGrid w:val="false"/>
              <w:spacing w:before="60" w:after="60"/>
              <w:ind w:left="-117" w:right="0" w:firstLine="14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Саратовская область, г. Балаково, Саратовская ГЭС, центральный склад.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1"/>
                <w:numId w:val="4"/>
              </w:numPr>
              <w:suppressAutoHyphens w:val="false"/>
              <w:snapToGrid w:val="false"/>
              <w:spacing w:before="60" w:after="60"/>
              <w:ind w:left="-117" w:right="0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упаковке и доставке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5" w:righ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Вся продукция должна быть упакована, и защищена, надлежащим образом для транспортировки. Способ упаковки продукции должна отвечать требованиям Завода-изготовителя и должен гарантировать, что   продукция не будет повреждена, деформирована или утеряна во время транспортировки.</w:t>
            </w:r>
          </w:p>
          <w:p>
            <w:pPr>
              <w:pStyle w:val="Normal"/>
              <w:widowControl w:val="false"/>
              <w:ind w:left="35" w:righ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Упаковка продукции должна соответствовать способу транспортировки и выдерживать, без каких-либо ограничений, интенсивную подъёмно-транспортную обработку и воздействие экстремальных температур, соли, осадков во время транспортировки, а также открытого хранения. Поставщик несёт ответственность за качество упаковки.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Поставка производится на склад Грузополучателя в г. Балаково в рабочие дни с 8-00 до 12-00 и с 13-00 до 16-00 (по местному времени).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1"/>
                <w:numId w:val="4"/>
              </w:numPr>
              <w:suppressAutoHyphens w:val="false"/>
              <w:snapToGrid w:val="false"/>
              <w:spacing w:before="60" w:after="60"/>
              <w:ind w:left="-117" w:right="0" w:firstLine="142"/>
              <w:contextualSpacing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color w:val="auto"/>
                <w:sz w:val="22"/>
                <w:szCs w:val="22"/>
                <w:highlight w:val="white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highlight w:val="white"/>
                <w:lang w:val="ru-RU" w:eastAsia="zh-CN" w:bidi="ar-SA"/>
              </w:rPr>
              <w:t>Каждая единица поставляемого Товара должна иметь на заводской упаковке четкое указание наименования, типа, номера (артикула).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1"/>
                <w:numId w:val="4"/>
              </w:numPr>
              <w:suppressAutoHyphens w:val="false"/>
              <w:snapToGrid w:val="false"/>
              <w:spacing w:before="60" w:after="60"/>
              <w:ind w:left="-117" w:right="0" w:firstLine="142"/>
              <w:contextualSpacing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4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color w:val="auto"/>
                <w:sz w:val="22"/>
                <w:szCs w:val="22"/>
                <w:highlight w:val="white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highlight w:val="white"/>
                <w:lang w:val="ru-RU" w:eastAsia="zh-CN" w:bidi="ar-SA"/>
              </w:rPr>
              <w:t>Стоимость тары и упаковки включена в Цену Договора. Тара и упаковка возврату не подлежат.</w:t>
            </w:r>
          </w:p>
        </w:tc>
        <w:tc>
          <w:tcPr>
            <w:tcW w:w="3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1"/>
                <w:numId w:val="4"/>
              </w:numPr>
              <w:suppressAutoHyphens w:val="false"/>
              <w:snapToGrid w:val="false"/>
              <w:spacing w:before="60" w:after="60"/>
              <w:ind w:left="-117" w:right="0" w:firstLine="142"/>
              <w:contextualSpacing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продукции и представленных документов договору и техническим требованиям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0"/>
                <w:numId w:val="4"/>
              </w:numPr>
              <w:suppressAutoHyphens w:val="false"/>
              <w:snapToGrid w:val="false"/>
              <w:spacing w:before="60" w:after="60"/>
              <w:ind w:left="360" w:right="0" w:hanging="360"/>
              <w:contextualSpacing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4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1"/>
                <w:numId w:val="4"/>
              </w:numPr>
              <w:suppressAutoHyphens w:val="false"/>
              <w:snapToGrid w:val="false"/>
              <w:spacing w:before="60" w:after="60"/>
              <w:ind w:left="-117" w:right="0" w:firstLine="142"/>
              <w:contextualSpacing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гарантийных обязательств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Участник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принадлежит ему на праве собственности, не является предметом залога, под арестом не состоит, свободен от прав третьих лиц.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Условия выполнения гарантийных обязательств</w:t>
            </w:r>
            <w:r>
              <w:rPr>
                <w:sz w:val="24"/>
                <w:szCs w:val="24"/>
              </w:rPr>
              <w:t xml:space="preserve">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1"/>
                <w:numId w:val="4"/>
              </w:numPr>
              <w:suppressAutoHyphens w:val="false"/>
              <w:snapToGrid w:val="false"/>
              <w:spacing w:before="60" w:after="60"/>
              <w:ind w:left="-117" w:right="0" w:firstLine="142"/>
              <w:contextualSpacing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Гарантия, не менее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5" w:righ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на Товар, должен соответствовать гарантии, заявленной производителем, данного Товара и исчисляется со дня подписания соответствующих Товарных накладных унифицированной формы ТОРГ-12.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0"/>
                <w:numId w:val="4"/>
              </w:numPr>
              <w:suppressAutoHyphens w:val="false"/>
              <w:snapToGrid w:val="false"/>
              <w:spacing w:before="60" w:after="60"/>
              <w:ind w:left="360" w:right="0" w:hanging="360"/>
              <w:contextualSpacing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4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1"/>
                <w:numId w:val="4"/>
              </w:numPr>
              <w:suppressAutoHyphens w:val="false"/>
              <w:snapToGrid w:val="false"/>
              <w:spacing w:before="60" w:after="60"/>
              <w:ind w:left="-117" w:right="0" w:firstLine="142"/>
              <w:contextualSpacing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i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iCs/>
                <w:color w:val="auto"/>
                <w:sz w:val="24"/>
                <w:szCs w:val="24"/>
                <w:lang w:val="ru-RU" w:eastAsia="zh-CN" w:bidi="ar-SA"/>
              </w:rPr>
              <w:t>Документы о качестве продукции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708"/>
                <w:tab w:val="left" w:pos="35" w:leader="none"/>
                <w:tab w:val="left" w:pos="595" w:leader="none"/>
              </w:tabs>
              <w:spacing w:before="0" w:after="0"/>
              <w:ind w:left="34" w:right="0" w:hanging="0"/>
              <w:contextualSpacing/>
              <w:rPr>
                <w:rFonts w:eastAsia="Times New Roman" w:cs="Times New Roman"/>
                <w:i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iCs/>
                <w:color w:val="auto"/>
                <w:sz w:val="24"/>
                <w:szCs w:val="24"/>
                <w:lang w:val="ru-RU" w:eastAsia="zh-CN" w:bidi="ar-SA"/>
              </w:rPr>
              <w:t>1.Товарную накладную унифицированной формы ТОРГ-12 в 2 экз. (или УПД);</w:t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35" w:leader="none"/>
                <w:tab w:val="left" w:pos="176" w:leader="none"/>
              </w:tabs>
              <w:spacing w:before="0" w:after="0"/>
              <w:ind w:left="34" w:right="0" w:hanging="0"/>
              <w:contextualSpacing/>
              <w:rPr>
                <w:rFonts w:eastAsia="Times New Roman" w:cs="Times New Roman"/>
                <w:i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iCs/>
                <w:color w:val="auto"/>
                <w:sz w:val="24"/>
                <w:szCs w:val="24"/>
                <w:lang w:val="ru-RU" w:eastAsia="zh-CN" w:bidi="ar-SA"/>
              </w:rPr>
              <w:t>2. Оригинал счёта</w:t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35" w:leader="none"/>
                <w:tab w:val="left" w:pos="176" w:leader="none"/>
              </w:tabs>
              <w:spacing w:before="0" w:after="0"/>
              <w:ind w:left="34" w:right="0" w:hanging="0"/>
              <w:contextualSpacing/>
              <w:rPr>
                <w:rFonts w:eastAsia="Times New Roman" w:cs="Times New Roman"/>
                <w:i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iCs/>
                <w:color w:val="auto"/>
                <w:sz w:val="24"/>
                <w:szCs w:val="24"/>
                <w:lang w:val="ru-RU" w:eastAsia="zh-CN" w:bidi="ar-SA"/>
              </w:rPr>
              <w:t>3. Сертификаты соответствия продукции.</w:t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35" w:leader="none"/>
                <w:tab w:val="left" w:pos="176" w:leader="none"/>
              </w:tabs>
              <w:spacing w:before="0" w:after="0"/>
              <w:ind w:left="34" w:right="0" w:hanging="0"/>
              <w:contextualSpacing/>
              <w:rPr>
                <w:rFonts w:eastAsia="Times New Roman" w:cs="Times New Roman"/>
                <w:i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iCs/>
                <w:color w:val="auto"/>
                <w:sz w:val="24"/>
                <w:szCs w:val="24"/>
                <w:lang w:val="ru-RU" w:eastAsia="zh-CN" w:bidi="ar-SA"/>
              </w:rPr>
              <w:t>4. При поставке вся продукция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0"/>
                <w:numId w:val="4"/>
              </w:numPr>
              <w:suppressAutoHyphens w:val="false"/>
              <w:snapToGrid w:val="false"/>
              <w:spacing w:before="60" w:after="60"/>
              <w:ind w:left="360" w:right="0" w:hanging="360"/>
              <w:contextualSpacing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4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false"/>
              <w:spacing w:before="60" w:after="60"/>
              <w:ind w:left="360" w:right="0" w:hanging="0"/>
              <w:contextualSpacing/>
              <w:rPr>
                <w:rFonts w:eastAsia="Times New Roman" w:cs="Times New Roman"/>
                <w:b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ru-RU" w:eastAsia="zh-CN" w:bidi="ar-SA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1"/>
                <w:numId w:val="4"/>
              </w:numPr>
              <w:suppressAutoHyphens w:val="false"/>
              <w:snapToGrid w:val="false"/>
              <w:spacing w:before="60" w:after="60"/>
              <w:ind w:left="-117" w:right="0" w:firstLine="142"/>
              <w:contextualSpacing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3" w:right="0" w:hang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Дополнительные требования к продукции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1" w:right="0" w:hanging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 допускается поставка контрафактного и восстановленного оборудования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1"/>
                <w:numId w:val="4"/>
              </w:numPr>
              <w:suppressAutoHyphens w:val="false"/>
              <w:snapToGrid w:val="false"/>
              <w:spacing w:before="60" w:after="60"/>
              <w:ind w:left="-117" w:right="0" w:firstLine="142"/>
              <w:contextualSpacing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i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iCs/>
                <w:color w:val="auto"/>
                <w:sz w:val="24"/>
                <w:szCs w:val="24"/>
                <w:lang w:val="ru-RU" w:eastAsia="zh-CN" w:bidi="ar-SA"/>
              </w:rPr>
              <w:t>Применение эквивалентов закупаемой продукции</w:t>
            </w:r>
          </w:p>
        </w:tc>
        <w:tc>
          <w:tcPr>
            <w:tcW w:w="4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708"/>
                <w:tab w:val="left" w:pos="69" w:leader="none"/>
                <w:tab w:val="left" w:pos="629" w:leader="none"/>
              </w:tabs>
              <w:spacing w:before="0" w:after="120"/>
              <w:ind w:left="34" w:right="0" w:hanging="0"/>
              <w:contextualSpacing/>
              <w:rPr>
                <w:rFonts w:eastAsia="Times New Roman" w:cs="Times New Roman"/>
                <w:i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iCs/>
                <w:color w:val="auto"/>
                <w:sz w:val="24"/>
                <w:szCs w:val="24"/>
                <w:lang w:val="ru-RU" w:eastAsia="zh-CN" w:bidi="ar-SA"/>
              </w:rPr>
              <w:t>Допускается поставка эквивалентной продукции. При этом эквивалентная продукция должна обеспечивать выполнение таких же функций, характеристик и полноценную замену вышедших из строя оригинальных элементов оборудования, используемых Заказчиком, без дополнительных настроек совместимости.</w:t>
            </w:r>
          </w:p>
        </w:tc>
        <w:tc>
          <w:tcPr>
            <w:tcW w:w="3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iCs/>
                <w:color w:val="auto"/>
                <w:sz w:val="24"/>
                <w:szCs w:val="24"/>
                <w:lang w:val="ru-RU" w:eastAsia="zh-CN" w:bidi="ar-SA"/>
              </w:rPr>
              <w:t>Согласие с требованием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numPr>
                <w:ilvl w:val="1"/>
                <w:numId w:val="4"/>
              </w:numPr>
              <w:suppressAutoHyphens w:val="false"/>
              <w:snapToGrid w:val="false"/>
              <w:spacing w:before="60" w:after="60"/>
              <w:ind w:left="-117" w:right="0" w:firstLine="142"/>
              <w:contextualSpacing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i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iCs/>
                <w:color w:val="auto"/>
                <w:sz w:val="24"/>
                <w:szCs w:val="24"/>
                <w:lang w:val="ru-RU" w:eastAsia="zh-CN" w:bidi="ar-SA"/>
              </w:rPr>
              <w:t>Дополнительные требования к продукции</w:t>
            </w:r>
          </w:p>
        </w:tc>
        <w:tc>
          <w:tcPr>
            <w:tcW w:w="4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clear" w:pos="708"/>
                <w:tab w:val="left" w:pos="69" w:leader="none"/>
                <w:tab w:val="left" w:pos="629" w:leader="none"/>
              </w:tabs>
              <w:spacing w:before="0" w:after="120"/>
              <w:ind w:left="34" w:right="0" w:hanging="0"/>
              <w:contextualSpacing/>
              <w:rPr>
                <w:rFonts w:eastAsia="Times New Roman" w:cs="Times New Roman"/>
                <w:i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iCs/>
                <w:color w:val="auto"/>
                <w:sz w:val="24"/>
                <w:szCs w:val="24"/>
                <w:lang w:val="ru-RU" w:eastAsia="zh-CN" w:bidi="ar-SA"/>
              </w:rPr>
              <w:t>Поставляемый товар должен иметь дату изготовления не ранее 2024 года.</w:t>
            </w:r>
          </w:p>
        </w:tc>
        <w:tc>
          <w:tcPr>
            <w:tcW w:w="3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i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iCs/>
                <w:color w:val="auto"/>
                <w:sz w:val="24"/>
                <w:szCs w:val="24"/>
                <w:lang w:val="ru-RU" w:eastAsia="zh-CN" w:bidi="ar-SA"/>
              </w:rPr>
              <w:t>Согласие с требованием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992" w:right="567" w:gutter="0" w:header="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2"/>
        <w:numPr>
          <w:ilvl w:val="0"/>
          <w:numId w:val="5"/>
        </w:numPr>
        <w:spacing w:before="120" w:after="120"/>
        <w:ind w:left="0" w:right="0" w:hanging="0"/>
        <w:jc w:val="center"/>
        <w:rPr>
          <w:b w:val="false"/>
        </w:rPr>
      </w:pPr>
      <w:bookmarkStart w:id="14" w:name="__RefHeading___Toc47403_2069302926"/>
      <w:bookmarkEnd w:id="14"/>
      <w:r>
        <w:rPr>
          <w:rFonts w:cs="Times New Roman" w:ascii="Times New Roman" w:hAnsi="Times New Roman"/>
          <w:i w:val="false"/>
          <w:lang w:val="ru-RU"/>
        </w:rPr>
        <w:t>Требования к документации по ценообразованию</w:t>
      </w:r>
    </w:p>
    <w:p>
      <w:pPr>
        <w:pStyle w:val="Normal"/>
        <w:numPr>
          <w:ilvl w:val="1"/>
          <w:numId w:val="5"/>
        </w:numPr>
        <w:jc w:val="both"/>
        <w:rPr>
          <w:sz w:val="24"/>
          <w:szCs w:val="24"/>
        </w:rPr>
      </w:pPr>
      <w:bookmarkStart w:id="15" w:name="__RefHeading___Toc47405_2069302926"/>
      <w:bookmarkEnd w:id="15"/>
      <w:r>
        <w:rPr>
          <w:sz w:val="24"/>
          <w:szCs w:val="24"/>
        </w:rPr>
        <w:t>Участник должен в составе заявки представить КП по установленной форме, а также заполненную Спецификацию на поставляемый Товар отдельно, по форме, приведённой в Приложении №1 к настоящим ТТ.</w:t>
      </w:r>
    </w:p>
    <w:p>
      <w:pPr>
        <w:pStyle w:val="Normal"/>
        <w:numPr>
          <w:ilvl w:val="1"/>
          <w:numId w:val="5"/>
        </w:numPr>
        <w:jc w:val="both"/>
        <w:rPr>
          <w:sz w:val="24"/>
          <w:szCs w:val="24"/>
        </w:rPr>
      </w:pPr>
      <w:bookmarkStart w:id="16" w:name="__RefHeading___Toc47407_2069302926"/>
      <w:bookmarkEnd w:id="16"/>
      <w:r>
        <w:rPr>
          <w:sz w:val="24"/>
          <w:szCs w:val="24"/>
        </w:rPr>
        <w:t>Цена предлагаемого Товара должна быть указана с учетом затрат на упаковку,  транспортировку, разгрузку, уплату налогов, таможенных пошлин, сборов и других обязательных платежей.</w:t>
      </w:r>
    </w:p>
    <w:p>
      <w:pPr>
        <w:pStyle w:val="Normal"/>
        <w:numPr>
          <w:ilvl w:val="1"/>
          <w:numId w:val="5"/>
        </w:numPr>
        <w:jc w:val="both"/>
        <w:rPr>
          <w:sz w:val="24"/>
          <w:szCs w:val="24"/>
        </w:rPr>
      </w:pPr>
      <w:bookmarkStart w:id="17" w:name="__RefHeading___Toc47409_2069302926"/>
      <w:bookmarkEnd w:id="17"/>
      <w:r>
        <w:rPr>
          <w:sz w:val="24"/>
          <w:szCs w:val="24"/>
        </w:rPr>
        <w:t>Стоимость Товара является фиксированной и не подлежит изменению.</w:t>
      </w:r>
    </w:p>
    <w:p>
      <w:pPr>
        <w:pStyle w:val="Style36"/>
        <w:spacing w:lineRule="auto" w:line="240"/>
        <w:ind w:left="720" w:right="0" w:hanging="0"/>
        <w:jc w:val="both"/>
        <w:rPr>
          <w:b/>
        </w:rPr>
      </w:pPr>
      <w:r>
        <w:rPr>
          <w:b/>
        </w:rPr>
      </w:r>
    </w:p>
    <w:p>
      <w:pPr>
        <w:pStyle w:val="Heading2"/>
        <w:numPr>
          <w:ilvl w:val="0"/>
          <w:numId w:val="5"/>
        </w:numPr>
        <w:spacing w:before="120" w:after="120"/>
        <w:ind w:left="0" w:right="0" w:hanging="0"/>
        <w:jc w:val="center"/>
        <w:rPr>
          <w:b w:val="false"/>
        </w:rPr>
      </w:pPr>
      <w:bookmarkStart w:id="18" w:name="__RefHeading___Toc47411_2069302926"/>
      <w:bookmarkEnd w:id="18"/>
      <w:r>
        <w:rPr>
          <w:rFonts w:cs="Times New Roman" w:ascii="Times New Roman" w:hAnsi="Times New Roman"/>
          <w:i w:val="false"/>
          <w:lang w:val="ru-RU"/>
        </w:rPr>
        <w:t>Приложения</w:t>
      </w:r>
    </w:p>
    <w:p>
      <w:pPr>
        <w:pStyle w:val="Normal"/>
        <w:numPr>
          <w:ilvl w:val="1"/>
          <w:numId w:val="5"/>
        </w:numPr>
        <w:rPr>
          <w:sz w:val="24"/>
          <w:szCs w:val="24"/>
        </w:rPr>
      </w:pPr>
      <w:bookmarkStart w:id="19" w:name="__RefHeading___Toc47413_2069302926"/>
      <w:bookmarkEnd w:id="19"/>
      <w:r>
        <w:rPr>
          <w:sz w:val="24"/>
          <w:szCs w:val="24"/>
        </w:rPr>
        <w:t>Приложение №1: Таблица 3.1. Требования к продукции (индивидуальные требования по позициям перечня продукции).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276" w:right="709" w:gutter="0" w:header="0" w:top="709" w:footer="709" w:bottom="766"/>
          <w:pgNumType w:fmt="decimal"/>
          <w:formProt w:val="false"/>
          <w:textDirection w:val="lrTb"/>
          <w:docGrid w:type="default" w:linePitch="381" w:charSpace="0"/>
        </w:sectPr>
        <w:pStyle w:val="Style36"/>
        <w:spacing w:lineRule="auto" w:lin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Heading1"/>
        <w:numPr>
          <w:ilvl w:val="0"/>
          <w:numId w:val="0"/>
        </w:numPr>
        <w:spacing w:before="120" w:after="120"/>
        <w:ind w:left="720" w:right="0" w:hanging="0"/>
        <w:jc w:val="right"/>
        <w:rPr>
          <w:b/>
        </w:rPr>
      </w:pPr>
      <w:bookmarkStart w:id="20" w:name="__RefHeading___Toc138070068"/>
      <w:bookmarkEnd w:id="20"/>
      <w:r>
        <w:rPr/>
        <w:t>Приложение №1 к Техническим требованиям</w:t>
      </w:r>
    </w:p>
    <w:p>
      <w:pPr>
        <w:pStyle w:val="Normal"/>
        <w:spacing w:before="120" w:after="120"/>
        <w:rPr>
          <w:b/>
        </w:rPr>
      </w:pPr>
      <w:r>
        <w:rPr>
          <w:rFonts w:eastAsia="Calibri"/>
          <w:b/>
          <w:bCs/>
          <w:sz w:val="24"/>
          <w:szCs w:val="24"/>
          <w:lang w:val="ru-RU"/>
        </w:rPr>
        <w:t>Таблица </w:t>
      </w: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  <w:lang w:val="ru-RU"/>
        </w:rPr>
        <w:t xml:space="preserve">.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позициям перечня продукции)</w:t>
      </w:r>
    </w:p>
    <w:p>
      <w:pPr>
        <w:pStyle w:val="Normal"/>
        <w:spacing w:before="120" w:after="120"/>
        <w:ind w:left="0" w:right="397" w:hanging="0"/>
        <w:jc w:val="both"/>
        <w:rPr>
          <w:b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b/>
          <w:bCs/>
          <w:sz w:val="24"/>
          <w:szCs w:val="24"/>
        </w:rPr>
        <w:t>э</w:t>
      </w:r>
      <w:r>
        <w:rPr>
          <w:b/>
          <w:bCs/>
          <w:i/>
          <w:sz w:val="24"/>
          <w:szCs w:val="24"/>
          <w:lang w:eastAsia="ru-RU"/>
        </w:rPr>
        <w:t>ксплуатационны</w:t>
      </w:r>
      <w:r>
        <w:rPr>
          <w:b/>
          <w:bCs/>
          <w:i/>
          <w:sz w:val="24"/>
          <w:szCs w:val="24"/>
          <w:lang w:eastAsia="ru-RU"/>
        </w:rPr>
        <w:t>е</w:t>
      </w:r>
      <w:r>
        <w:rPr>
          <w:b/>
          <w:bCs/>
          <w:i/>
          <w:sz w:val="24"/>
          <w:szCs w:val="24"/>
          <w:lang w:eastAsia="ru-RU"/>
        </w:rPr>
        <w:t xml:space="preserve"> материал</w:t>
      </w:r>
      <w:r>
        <w:rPr>
          <w:b/>
          <w:bCs/>
          <w:i/>
          <w:sz w:val="24"/>
          <w:szCs w:val="24"/>
          <w:lang w:eastAsia="ru-RU"/>
        </w:rPr>
        <w:t>ы</w:t>
      </w:r>
      <w:r>
        <w:rPr>
          <w:b/>
          <w:bCs/>
          <w:i/>
          <w:sz w:val="24"/>
          <w:szCs w:val="24"/>
          <w:lang w:eastAsia="ru-RU"/>
        </w:rPr>
        <w:t xml:space="preserve"> и оборудовани</w:t>
      </w:r>
      <w:r>
        <w:rPr>
          <w:b/>
          <w:bCs/>
          <w:i/>
          <w:sz w:val="24"/>
          <w:szCs w:val="24"/>
          <w:lang w:eastAsia="ru-RU"/>
        </w:rPr>
        <w:t>е</w:t>
      </w:r>
    </w:p>
    <w:tbl>
      <w:tblPr>
        <w:tblW w:w="1525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856"/>
        <w:gridCol w:w="2377"/>
        <w:gridCol w:w="5860"/>
        <w:gridCol w:w="2019"/>
        <w:gridCol w:w="2574"/>
      </w:tblGrid>
      <w:tr>
        <w:trPr>
          <w:tblHeader w:val="true"/>
          <w:trHeight w:val="23" w:hRule="atLeast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позиции </w:t>
              <w:br/>
              <w:t>Таблицы 1 «Перечень и объем закупаемой продукции»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5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Требования заказчика</w:t>
            </w:r>
          </w:p>
        </w:tc>
        <w:tc>
          <w:tcPr>
            <w:tcW w:w="45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Предложения участника**</w:t>
            </w:r>
          </w:p>
        </w:tc>
      </w:tr>
      <w:tr>
        <w:trPr>
          <w:tblHeader w:val="true"/>
          <w:trHeight w:val="23" w:hRule="atLeast"/>
        </w:trPr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Технические и функциональные характеристики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5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Технические и функциональные характеристики</w:t>
            </w:r>
          </w:p>
        </w:tc>
      </w:tr>
      <w:tr>
        <w:trPr>
          <w:tblHeader w:val="true"/>
          <w:trHeight w:val="23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60" w:type="dxa"/>
            <w:tcBorders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Позиция 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Кондиционер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 xml:space="preserve">Назначение: </w:t>
            </w: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  <w:lang w:val="ru-RU" w:eastAsia="zh-CN" w:bidi="ar-SA"/>
              </w:rPr>
              <w:t>для телекоммуникационного шкафа</w:t>
            </w:r>
          </w:p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Охлаждающая мощность L35/L35: не менее 1500 Вт</w:t>
            </w:r>
          </w:p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Напряжение номинальное: 220В</w:t>
            </w:r>
          </w:p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Частота тока: 50 Гц</w:t>
            </w:r>
          </w:p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Номинальный ток: не более 2.75 А</w:t>
            </w:r>
          </w:p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Потребляемая мощность L35/L35: не более 610 Вт</w:t>
            </w:r>
          </w:p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Уровень шума: не более</w:t>
              <w:tab/>
              <w:t>63 Дб</w:t>
            </w:r>
          </w:p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Рабочая температура:  от -5 до 55 ℃</w:t>
            </w:r>
          </w:p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Степень защиты</w:t>
              <w:tab/>
              <w:t>IP55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подтверждения: указание наименования продукции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Способ подтверждения: указание технических и функциональных  характеристик, указанных к требованиях заказчика (столбец 4 данной таблицы)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Позиция 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Лазерный станок для пластика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widowControl w:val="false"/>
              <w:spacing w:before="0" w:after="12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Обрабатываемые материалы: АБС-пластик, бумага, картон, дерево, фанера, стекло, зеркало, кожа и проч.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Размер рабочего поля: не менее 200х300 мм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Регулировка мощности лазера: Программная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Точность позиционирования: не более 0.05 мм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Мощность лазерной трубки: не менее 20 Вт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Срок службы лазерной трубки: не менее 1500 ч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Электропитание: 220В, 50Гц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Поддерживаемое ПО: CorelDraw, Illustrator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Поддерживаемые форматы: PLT, DXF, BMP, JPG, GIF, PNG, WMF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Максимальная скорость гравировки: не менее 500 мм/сек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Интерфейс: USB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подтверждения: указание наименования продукции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Способ подтверждения: указание технических и функциональных  характеристик, указанных к требованиях заказчика (столбец 4 данной таблицы)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21" w:name="__DdeLink__6286_1316347232"/>
            <w:r>
              <w:rPr>
                <w:sz w:val="24"/>
                <w:szCs w:val="24"/>
              </w:rPr>
              <w:t>Позиция 3</w:t>
            </w:r>
            <w:bookmarkEnd w:id="21"/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питания 12 В</w:t>
            </w:r>
          </w:p>
        </w:tc>
        <w:tc>
          <w:tcPr>
            <w:tcW w:w="5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Входное напряжение 180-264 В, Auto Ranging;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Входная частота 47-63Гц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Входной ток 120 VAC: 2.2 A max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Выходное напряжение: 12 В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Максимальный выходной ток: не менее 6,6 А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Выходная мощность: не менее 130Вт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полная совместимость по установочным размерам и электрическим характеристикам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 xml:space="preserve"> с 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Switching Power Supply, LFVLT130-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1101 (Transition Point System Redundant Power Supply for the CPSMC1300-100)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подтверждения: указание наименования продукции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Способ подтверждения: указание технических и функциональных  характеристик, указанных к требованиях заказчика (столбец 4 данной таблицы)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bookmarkStart w:id="22" w:name="__DdeLink__6290_1316347232"/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 xml:space="preserve">Позиция </w:t>
            </w:r>
            <w:bookmarkEnd w:id="22"/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4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F/UTP кат.5е</w:t>
            </w:r>
          </w:p>
        </w:tc>
        <w:tc>
          <w:tcPr>
            <w:tcW w:w="5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Кабель F/UTP, Cat.5e 4x2xAWG24, LSZH нг(А)-HF, катушка 305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Количество пар 4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Сечение жилы кабеля: 0,205 мм²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Экран да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 xml:space="preserve">Материал проводника: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  <w:t>МЕДЬ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Количество кабеля в бухте, м 305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Тип оболочки: LSZH нг(А)-HF, не распространяющий горение при групповой прокладке и не выделяющий коррозионно-активных газообразных продуктов при горении и тлении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Диапазон рабочих температур, °С -20…+60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Исполнение внутреннее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Позиция 5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для электрошкафов</w:t>
            </w:r>
          </w:p>
        </w:tc>
        <w:tc>
          <w:tcPr>
            <w:tcW w:w="5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Профиди: Квадрат 5, 6, 8 мм; Треугольник 9 мм; Спец ключ 3-5 мм;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Бита: PH2/SL 7.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Позиция 6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Соединительная клемма 0,14-4 кв.мм</w:t>
            </w:r>
          </w:p>
        </w:tc>
        <w:tc>
          <w:tcPr>
            <w:tcW w:w="5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Материал корпуса: пластик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Номинальный ток: не менее 32 А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Наличие изоляции: да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Max сечение провода: не мене 4 мм²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Min сечение провода: не более 0.14 мм²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Номинальное напряжение: не менее 450 В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Количество зажимаемых проводов: 5 шт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Наличие контактной пасты: нет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Рычажные: да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Тип использования: многоразовые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Позиция 7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Соединительная клемма 0,08-2,5 кв.мм</w:t>
            </w:r>
          </w:p>
        </w:tc>
        <w:tc>
          <w:tcPr>
            <w:tcW w:w="5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Материал корпуса: пластик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Номинальный ток: не менее 32 А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Наличие изоляции: да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Max сечение провода: не мене 2.5 мм²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Min сечение провода: не более 0.08 мм²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Номинальное напряжение: не менее 400 В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Количество зажимаемых проводов: 5 шт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Наличие контактной пасты: нет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Al/Cu соединение: да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Рычажные: да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Тип использования: многоразовые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Позиция 8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Гофрированная труба 20 мм</w:t>
            </w:r>
          </w:p>
        </w:tc>
        <w:tc>
          <w:tcPr>
            <w:tcW w:w="5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Материал: ПНД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Внешний диаметр: 20 мм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Внутренний диаметр: 14 мм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Количество в бухте: 100 м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Цвет: черный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Степень защиты: 55 IP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Устойчивость к ультрафиолету: да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Не поддерживающие горение (нг): да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Температура эксплуатации: от -40 до +90 °С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Температура монтажа: от -25 до +60 °С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С протяжкой: есть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Разрезная: нет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Позиция 9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Гофрированная труба 25 мм</w:t>
            </w:r>
          </w:p>
        </w:tc>
        <w:tc>
          <w:tcPr>
            <w:tcW w:w="5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Материал: ПНД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Внешний диаметр: 25 мм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Внутренний диаметр: 18,1 мм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Количество в бухте: 75 м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Цвет: черный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Степень защиты: 55 IP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Устойчивость к ультрафиолету: да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Не поддерживающие горение (нг): да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Температура эксплуатации: от -40 до +90 °С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Температура монтажа: от -20 до +40 °С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С протяжкой: есть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Разрезная: нет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Позиция 10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Крепление гофротрубы 20мм</w:t>
            </w:r>
          </w:p>
        </w:tc>
        <w:tc>
          <w:tcPr>
            <w:tcW w:w="5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Min диаметр кабеля: 19 мм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Max диаметр кабеля: 20 мм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Материал: сталь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Покрытие: цинк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Крепеж в комплекте: саморез + дюбель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Отверстие: есть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Позиция 11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Крепление гофротрубы 25мм</w:t>
            </w:r>
          </w:p>
        </w:tc>
        <w:tc>
          <w:tcPr>
            <w:tcW w:w="5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Min диаметр кабеля: 25 мм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Max диаметр кабеля: 26 мм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Материал: сталь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Покрытие: цинк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Крепеж в комплекте: саморез + дюбель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Отверстие: есть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Позиция 12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Хомут-стяжки 3,6х200мм</w:t>
            </w:r>
          </w:p>
        </w:tc>
        <w:tc>
          <w:tcPr>
            <w:tcW w:w="5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Тип стяжка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Ширина: 3.6 мм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Длина: 200 мм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Материал: нейлон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Цвет: чёрный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Стойкость к ультрафиолету: да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Позиция 13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Хомуты-стяжки 4,6x200мм</w:t>
            </w:r>
          </w:p>
        </w:tc>
        <w:tc>
          <w:tcPr>
            <w:tcW w:w="5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Тип стяжка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Ширина: 4.6 мм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Длина: 200 мм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Материал: нержавеющая сталь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Покрытие:  полимерное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Диаметр: 11,5 - 55 мм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Позиция 14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Хомуты-стяжки 7,9x400мм</w:t>
            </w:r>
          </w:p>
        </w:tc>
        <w:tc>
          <w:tcPr>
            <w:tcW w:w="5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Тип стяжка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Ширина: 7.9 мм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Длина: 400 мм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Материал: нержавеющая сталь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Покрытие:  полимерное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Диаметр: 14,5 - 115 мм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Позиция 15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 отрезной</w:t>
            </w:r>
          </w:p>
        </w:tc>
        <w:tc>
          <w:tcPr>
            <w:tcW w:w="5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Тип диска: A 54 S BF Pg RPM 12250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Диаметр: 125 мм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Посадочный диаметр: 22.2 мм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Толщина: 1.2 мм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Позиция 16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Сверло 2,0 мм</w:t>
            </w:r>
          </w:p>
        </w:tc>
        <w:tc>
          <w:tcPr>
            <w:tcW w:w="5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Диаметр: 2 мм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Материал сверла: Р6М5К5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Угол заточки: 135 град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bookmarkStart w:id="23" w:name="__DdeLink__9105_1316347232"/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Класс точности: А1</w:t>
            </w:r>
            <w:bookmarkEnd w:id="23"/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Позиция 17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Сверло 2,5 мм</w:t>
            </w:r>
          </w:p>
        </w:tc>
        <w:tc>
          <w:tcPr>
            <w:tcW w:w="5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Диаметр: 2,5 мм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Материал сверла: Р6М5К5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Угол заточки: 135 град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Класс точности: А1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Позиция 18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Сверло 3,0 мм</w:t>
            </w:r>
          </w:p>
        </w:tc>
        <w:tc>
          <w:tcPr>
            <w:tcW w:w="5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Диаметр: 3 мм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Материал сверла: Р6М5К5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Угол заточки: 135 град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bookmarkStart w:id="24" w:name="__DdeLink__9105_1316347232_Копия_1"/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Класс точности: А1</w:t>
            </w:r>
            <w:bookmarkEnd w:id="24"/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Позиция 19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Сверло 3,5 мм</w:t>
            </w:r>
          </w:p>
        </w:tc>
        <w:tc>
          <w:tcPr>
            <w:tcW w:w="5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Диаметр: 3,5 мм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Материал сверла: Р6М5К5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Угол заточки: 135 град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Класс точности: А1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Позиция 20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Номерная наклейка</w:t>
            </w:r>
          </w:p>
        </w:tc>
        <w:tc>
          <w:tcPr>
            <w:tcW w:w="58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Самоклеющаяся, с индикаторной надписью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Длина: не менее 100 мм</w:t>
            </w:r>
          </w:p>
          <w:p>
            <w:pPr>
              <w:pStyle w:val="Normal"/>
              <w:widowControl w:val="false"/>
              <w:spacing w:lineRule="atLeast" w:line="240" w:before="0" w:after="0"/>
              <w:ind w:left="0" w:right="0" w:hanging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Ширина: не менее 20 мм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Наличие полей: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zh-CN" w:bidi="ar-SA"/>
              </w:rPr>
              <w:t> 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zh-CN" w:bidi="ar-SA"/>
              </w:rPr>
              <w:t>Дата и Подпись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ind w:left="0" w:right="397" w:hanging="0"/>
        <w:jc w:val="both"/>
        <w:rPr>
          <w:b/>
        </w:rPr>
      </w:pPr>
      <w:r>
        <w:rPr>
          <w:rFonts w:cs="Times New Roman"/>
          <w:i/>
          <w:iCs/>
          <w:sz w:val="22"/>
          <w:szCs w:val="22"/>
        </w:rPr>
        <w:t>** Способ подтверждения участником соответствия требованиям указан в таблице в отношении каждой позиции закупаемой продукции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orient="landscape" w:w="16838" w:h="11906"/>
      <w:pgMar w:left="765" w:right="709" w:gutter="0" w:header="0" w:top="284" w:footer="709" w:bottom="7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altName w:val="Yu Gothic"/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4"/>
        <w:szCs w:val="24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4"/>
        <w:szCs w:val="24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>
        <w:lang w:val="ru-RU" w:eastAsia="ru-RU"/>
      </w:rPr>
    </w:pPr>
    <w:r>
      <w:rPr>
        <w:lang w:val="ru-RU" w:eastAsia="ru-RU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>
        <w:lang w:val="ru-RU" w:eastAsia="ru-RU"/>
      </w:rPr>
    </w:pPr>
    <w:r>
      <w:rPr>
        <w:lang w:val="ru-RU" w:eastAsia="ru-RU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pStyle w:val="Heading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pStyle w:val="Heading2"/>
      <w:numFmt w:val="decimal"/>
      <w:lvlText w:val="%1.%2."/>
      <w:lvlJc w:val="left"/>
      <w:pPr>
        <w:tabs>
          <w:tab w:val="num" w:pos="0"/>
        </w:tabs>
        <w:ind w:left="900" w:hanging="540"/>
      </w:pPr>
      <w:rPr>
        <w:b w:val="false"/>
      </w:rPr>
    </w:lvl>
    <w:lvl w:ilvl="2">
      <w:start w:val="1"/>
      <w:pStyle w:val="Heading3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pStyle w:val="Heading4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pStyle w:val="Heading5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pStyle w:val="Heading6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pStyle w:val="Heading7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pStyle w:val="Heading8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pStyle w:val="Heading9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54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  <w:bCs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  <w:szCs w:val="20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lang w:val="ru-RU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ru-RU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mbria" w:hAnsi="Cambria" w:cs="Cambria"/>
      <w:i/>
      <w:iCs/>
      <w:color w:val="243F60"/>
      <w:sz w:val="20"/>
      <w:szCs w:val="20"/>
      <w:lang w:val="ru-RU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mbria" w:hAnsi="Cambria" w:cs="Cambria"/>
      <w:i/>
      <w:iCs/>
      <w:color w:val="404040"/>
      <w:sz w:val="20"/>
      <w:szCs w:val="20"/>
      <w:lang w:val="ru-RU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mbria" w:hAnsi="Cambria" w:cs="Cambria"/>
      <w:color w:val="4F81BD"/>
      <w:sz w:val="20"/>
      <w:szCs w:val="20"/>
      <w:lang w:val="ru-RU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ru-RU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b w:val="false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b/>
      <w:bCs w:val="false"/>
      <w:sz w:val="24"/>
      <w:szCs w:val="24"/>
    </w:rPr>
  </w:style>
  <w:style w:type="character" w:styleId="WW8Num4z1">
    <w:name w:val="WW8Num4z1"/>
    <w:qFormat/>
    <w:rPr>
      <w:b w:val="false"/>
      <w:bCs/>
      <w:sz w:val="24"/>
      <w:szCs w:val="24"/>
    </w:rPr>
  </w:style>
  <w:style w:type="character" w:styleId="WW8Num4z2">
    <w:name w:val="WW8Num4z2"/>
    <w:qFormat/>
    <w:rPr>
      <w:sz w:val="24"/>
      <w:szCs w:val="24"/>
    </w:rPr>
  </w:style>
  <w:style w:type="character" w:styleId="WW8Num5z0">
    <w:name w:val="WW8Num5z0"/>
    <w:qFormat/>
    <w:rPr>
      <w:b/>
      <w:bCs/>
    </w:rPr>
  </w:style>
  <w:style w:type="character" w:styleId="WW8Num7z0">
    <w:name w:val="WW8Num7z0"/>
    <w:qFormat/>
    <w:rPr>
      <w:i w:val="false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4"/>
      <w:szCs w:val="24"/>
      <w:lang w:eastAsia="en-US"/>
    </w:rPr>
  </w:style>
  <w:style w:type="character" w:styleId="WW8Num8z0">
    <w:name w:val="WW8Num8z0"/>
    <w:qFormat/>
    <w:rPr>
      <w:rFonts w:eastAsia="Times New Roman"/>
      <w:b/>
      <w:bCs/>
    </w:rPr>
  </w:style>
  <w:style w:type="character" w:styleId="WW8Num8z1">
    <w:name w:val="WW8Num8z1"/>
    <w:qFormat/>
    <w:rPr/>
  </w:style>
  <w:style w:type="character" w:styleId="WW8Num9z0">
    <w:name w:val="WW8Num9z0"/>
    <w:qFormat/>
    <w:rPr>
      <w:rFonts w:ascii="Times New Roman" w:hAnsi="Times New Roman" w:cs="Times New Roman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1z0">
    <w:name w:val="WW8Num11z0"/>
    <w:qFormat/>
    <w:rPr>
      <w:b w:val="false"/>
      <w:i w:val="false"/>
    </w:rPr>
  </w:style>
  <w:style w:type="character" w:styleId="WW8Num12z0">
    <w:name w:val="WW8Num12z0"/>
    <w:qFormat/>
    <w:rPr/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b/>
      <w:bCs w:val="false"/>
      <w:sz w:val="24"/>
      <w:szCs w:val="24"/>
    </w:rPr>
  </w:style>
  <w:style w:type="character" w:styleId="WW8Num15z1">
    <w:name w:val="WW8Num15z1"/>
    <w:qFormat/>
    <w:rPr>
      <w:b w:val="false"/>
      <w:bCs/>
      <w:sz w:val="24"/>
      <w:szCs w:val="24"/>
    </w:rPr>
  </w:style>
  <w:style w:type="character" w:styleId="WW8Num15z2">
    <w:name w:val="WW8Num15z2"/>
    <w:qFormat/>
    <w:rPr>
      <w:sz w:val="24"/>
      <w:szCs w:val="24"/>
    </w:rPr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20z0">
    <w:name w:val="WW8Num20z0"/>
    <w:qFormat/>
    <w:rPr>
      <w:i w:val="false"/>
    </w:rPr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Symbol" w:hAnsi="Symbol" w:cs="Symbol"/>
      <w:sz w:val="20"/>
    </w:rPr>
  </w:style>
  <w:style w:type="character" w:styleId="WW8Num24z1">
    <w:name w:val="WW8Num24z1"/>
    <w:qFormat/>
    <w:rPr>
      <w:rFonts w:ascii="Courier New" w:hAnsi="Courier New" w:cs="Courier New"/>
      <w:sz w:val="20"/>
    </w:rPr>
  </w:style>
  <w:style w:type="character" w:styleId="WW8Num24z2">
    <w:name w:val="WW8Num24z2"/>
    <w:qFormat/>
    <w:rPr>
      <w:rFonts w:ascii="Wingdings" w:hAnsi="Wingdings" w:cs="Wingdings"/>
      <w:sz w:val="20"/>
    </w:rPr>
  </w:style>
  <w:style w:type="character" w:styleId="WW8Num25z0">
    <w:name w:val="WW8Num25z0"/>
    <w:qFormat/>
    <w:rPr>
      <w:i w:val="false"/>
    </w:rPr>
  </w:style>
  <w:style w:type="character" w:styleId="WW8Num26z0">
    <w:name w:val="WW8Num26z0"/>
    <w:qFormat/>
    <w:rPr>
      <w:b/>
      <w:sz w:val="28"/>
    </w:rPr>
  </w:style>
  <w:style w:type="character" w:styleId="WW8Num29z0">
    <w:name w:val="WW8Num29z0"/>
    <w:qFormat/>
    <w:rPr>
      <w:rFonts w:ascii="Symbol" w:hAnsi="Symbol" w:cs="Symbol"/>
      <w:sz w:val="20"/>
    </w:rPr>
  </w:style>
  <w:style w:type="character" w:styleId="WW8Num29z1">
    <w:name w:val="WW8Num29z1"/>
    <w:qFormat/>
    <w:rPr>
      <w:rFonts w:ascii="Courier New" w:hAnsi="Courier New" w:cs="Courier New"/>
      <w:sz w:val="20"/>
    </w:rPr>
  </w:style>
  <w:style w:type="character" w:styleId="WW8Num29z2">
    <w:name w:val="WW8Num29z2"/>
    <w:qFormat/>
    <w:rPr>
      <w:rFonts w:ascii="Wingdings" w:hAnsi="Wingdings" w:cs="Wingdings"/>
      <w:sz w:val="20"/>
    </w:rPr>
  </w:style>
  <w:style w:type="character" w:styleId="WW8Num30z0">
    <w:name w:val="WW8Num30z0"/>
    <w:qFormat/>
    <w:rPr/>
  </w:style>
  <w:style w:type="character" w:styleId="WW8Num32z0">
    <w:name w:val="WW8Num32z0"/>
    <w:qFormat/>
    <w:rPr>
      <w:rFonts w:ascii="Times New Roman" w:hAnsi="Times New Roman" w:eastAsia="Times New Roman" w:cs="Times New Roman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2z3">
    <w:name w:val="WW8Num32z3"/>
    <w:qFormat/>
    <w:rPr>
      <w:rFonts w:ascii="Symbol" w:hAnsi="Symbol" w:cs="Symbol"/>
    </w:rPr>
  </w:style>
  <w:style w:type="character" w:styleId="Style">
    <w:name w:val="Основной шрифт абзаца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10z3">
    <w:name w:val="WW8Num10z3"/>
    <w:qFormat/>
    <w:rPr>
      <w:rFonts w:ascii="Symbol" w:hAnsi="Symbol" w:cs="Symbol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2">
    <w:name w:val="Основной шрифт абзаца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b w:val="false"/>
      <w:sz w:val="26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30z1">
    <w:name w:val="WW8Num30z1"/>
    <w:qFormat/>
    <w:rPr>
      <w:b w:val="false"/>
    </w:rPr>
  </w:style>
  <w:style w:type="character" w:styleId="WW8Num31z0">
    <w:name w:val="WW8Num31z0"/>
    <w:qFormat/>
    <w:rPr>
      <w:rFonts w:ascii="Courier New" w:hAnsi="Courier New" w:cs="Times New Roman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1z3">
    <w:name w:val="WW8Num31z3"/>
    <w:qFormat/>
    <w:rPr>
      <w:rFonts w:ascii="Symbol" w:hAnsi="Symbol" w:cs="Symbol"/>
    </w:rPr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>
      <w:rFonts w:ascii="Symbol" w:hAnsi="Symbol" w:cs="Symbol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5z0">
    <w:name w:val="WW8Num35z0"/>
    <w:qFormat/>
    <w:rPr>
      <w:rFonts w:ascii="Courier New" w:hAnsi="Courier New" w:cs="Times New Roman"/>
    </w:rPr>
  </w:style>
  <w:style w:type="character" w:styleId="WW8Num35z1">
    <w:name w:val="WW8Num35z1"/>
    <w:qFormat/>
    <w:rPr>
      <w:rFonts w:ascii="Symbol" w:hAnsi="Symbol" w:eastAsia="Times New Roman" w:cs="Symbol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5z3">
    <w:name w:val="WW8Num35z3"/>
    <w:qFormat/>
    <w:rPr>
      <w:rFonts w:ascii="Symbol" w:hAnsi="Symbol" w:cs="Symbol"/>
    </w:rPr>
  </w:style>
  <w:style w:type="character" w:styleId="WW8Num36z0">
    <w:name w:val="WW8Num36z0"/>
    <w:qFormat/>
    <w:rPr>
      <w:rFonts w:ascii="Times New Roman" w:hAnsi="Times New Roman" w:eastAsia="Times New Roman" w:cs="Times New Roman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6z3">
    <w:name w:val="WW8Num36z3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0">
    <w:name w:val="WW8Num38z0"/>
    <w:qFormat/>
    <w:rPr>
      <w:b/>
    </w:rPr>
  </w:style>
  <w:style w:type="character" w:styleId="WW8Num38z1">
    <w:name w:val="WW8Num38z1"/>
    <w:qFormat/>
    <w:rPr>
      <w:b w:val="false"/>
      <w:i w:val="false"/>
    </w:rPr>
  </w:style>
  <w:style w:type="character" w:styleId="WW8Num38z2">
    <w:name w:val="WW8Num38z2"/>
    <w:qFormat/>
    <w:rPr/>
  </w:style>
  <w:style w:type="character" w:styleId="WW8Num39z0">
    <w:name w:val="WW8Num39z0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40z0">
    <w:name w:val="WW8Num40z0"/>
    <w:qFormat/>
    <w:rPr/>
  </w:style>
  <w:style w:type="character" w:styleId="WW8Num40z1">
    <w:name w:val="WW8Num40z1"/>
    <w:qFormat/>
    <w:rPr>
      <w:i w:val="false"/>
      <w:sz w:val="22"/>
      <w:szCs w:val="22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42z0">
    <w:name w:val="WW8Num42z0"/>
    <w:qFormat/>
    <w:rPr>
      <w:b/>
    </w:rPr>
  </w:style>
  <w:style w:type="character" w:styleId="WW8Num42z1">
    <w:name w:val="WW8Num42z1"/>
    <w:qFormat/>
    <w:rPr>
      <w:b w:val="false"/>
      <w:i w:val="false"/>
    </w:rPr>
  </w:style>
  <w:style w:type="character" w:styleId="WW8Num42z2">
    <w:name w:val="WW8Num42z2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4z1">
    <w:name w:val="WW8Num44z1"/>
    <w:qFormat/>
    <w:rPr/>
  </w:style>
  <w:style w:type="character" w:styleId="WW8Num44z2">
    <w:name w:val="WW8Num44z2"/>
    <w:qFormat/>
    <w:rPr/>
  </w:style>
  <w:style w:type="character" w:styleId="WW8Num44z3">
    <w:name w:val="WW8Num44z3"/>
    <w:qFormat/>
    <w:rPr/>
  </w:style>
  <w:style w:type="character" w:styleId="WW8Num44z4">
    <w:name w:val="WW8Num44z4"/>
    <w:qFormat/>
    <w:rPr/>
  </w:style>
  <w:style w:type="character" w:styleId="WW8Num44z5">
    <w:name w:val="WW8Num44z5"/>
    <w:qFormat/>
    <w:rPr/>
  </w:style>
  <w:style w:type="character" w:styleId="WW8Num44z6">
    <w:name w:val="WW8Num44z6"/>
    <w:qFormat/>
    <w:rPr/>
  </w:style>
  <w:style w:type="character" w:styleId="WW8Num44z7">
    <w:name w:val="WW8Num44z7"/>
    <w:qFormat/>
    <w:rPr/>
  </w:style>
  <w:style w:type="character" w:styleId="WW8Num44z8">
    <w:name w:val="WW8Num44z8"/>
    <w:qFormat/>
    <w:rPr/>
  </w:style>
  <w:style w:type="character" w:styleId="WW8Num45z0">
    <w:name w:val="WW8Num45z0"/>
    <w:qFormat/>
    <w:rPr/>
  </w:style>
  <w:style w:type="character" w:styleId="WW8Num45z1">
    <w:name w:val="WW8Num45z1"/>
    <w:qFormat/>
    <w:rPr/>
  </w:style>
  <w:style w:type="character" w:styleId="WW8Num45z2">
    <w:name w:val="WW8Num45z2"/>
    <w:qFormat/>
    <w:rPr/>
  </w:style>
  <w:style w:type="character" w:styleId="WW8Num45z3">
    <w:name w:val="WW8Num45z3"/>
    <w:qFormat/>
    <w:rPr/>
  </w:style>
  <w:style w:type="character" w:styleId="WW8Num45z4">
    <w:name w:val="WW8Num45z4"/>
    <w:qFormat/>
    <w:rPr/>
  </w:style>
  <w:style w:type="character" w:styleId="WW8Num45z5">
    <w:name w:val="WW8Num45z5"/>
    <w:qFormat/>
    <w:rPr/>
  </w:style>
  <w:style w:type="character" w:styleId="WW8Num45z6">
    <w:name w:val="WW8Num45z6"/>
    <w:qFormat/>
    <w:rPr/>
  </w:style>
  <w:style w:type="character" w:styleId="WW8Num45z7">
    <w:name w:val="WW8Num45z7"/>
    <w:qFormat/>
    <w:rPr/>
  </w:style>
  <w:style w:type="character" w:styleId="WW8Num45z8">
    <w:name w:val="WW8Num45z8"/>
    <w:qFormat/>
    <w:rPr/>
  </w:style>
  <w:style w:type="character" w:styleId="1">
    <w:name w:val="Основной шрифт абзаца1"/>
    <w:qFormat/>
    <w:rPr/>
  </w:style>
  <w:style w:type="character" w:styleId="Style1">
    <w:name w:val="Символ сноски"/>
    <w:qFormat/>
    <w:rPr>
      <w:vertAlign w:val="superscript"/>
    </w:rPr>
  </w:style>
  <w:style w:type="character" w:styleId="PageNumber">
    <w:name w:val="Page Number"/>
    <w:basedOn w:val="1"/>
    <w:rPr/>
  </w:style>
  <w:style w:type="character" w:styleId="Hyperlink">
    <w:name w:val="Hyperlink"/>
    <w:rPr>
      <w:color w:val="0000FF"/>
      <w:u w:val="single"/>
    </w:rPr>
  </w:style>
  <w:style w:type="character" w:styleId="11">
    <w:name w:val="Знак примечания1"/>
    <w:qFormat/>
    <w:rPr>
      <w:sz w:val="16"/>
      <w:szCs w:val="16"/>
    </w:rPr>
  </w:style>
  <w:style w:type="character" w:styleId="Strong1">
    <w:name w:val="Strong1"/>
    <w:qFormat/>
    <w:rPr>
      <w:b/>
      <w:bCs/>
    </w:rPr>
  </w:style>
  <w:style w:type="character" w:styleId="6">
    <w:name w:val="Заголовок 6 Знак"/>
    <w:qFormat/>
    <w:rPr>
      <w:rFonts w:ascii="Cambria" w:hAnsi="Cambria" w:cs="Cambria"/>
      <w:i/>
      <w:iCs/>
      <w:color w:val="243F60"/>
      <w:lang w:val="ru-RU"/>
    </w:rPr>
  </w:style>
  <w:style w:type="character" w:styleId="7">
    <w:name w:val="Заголовок 7 Знак"/>
    <w:qFormat/>
    <w:rPr>
      <w:rFonts w:ascii="Cambria" w:hAnsi="Cambria" w:cs="Cambria"/>
      <w:i/>
      <w:iCs/>
      <w:color w:val="404040"/>
      <w:lang w:val="ru-RU"/>
    </w:rPr>
  </w:style>
  <w:style w:type="character" w:styleId="8">
    <w:name w:val="Заголовок 8 Знак"/>
    <w:qFormat/>
    <w:rPr>
      <w:rFonts w:ascii="Cambria" w:hAnsi="Cambria" w:cs="Cambria"/>
      <w:color w:val="4F81BD"/>
      <w:lang w:val="ru-RU"/>
    </w:rPr>
  </w:style>
  <w:style w:type="character" w:styleId="12">
    <w:name w:val="Заголовок 1 Знак"/>
    <w:qFormat/>
    <w:rPr>
      <w:b/>
      <w:sz w:val="24"/>
    </w:rPr>
  </w:style>
  <w:style w:type="character" w:styleId="21">
    <w:name w:val="Заголовок 2 Знак"/>
    <w:qFormat/>
    <w:rPr>
      <w:rFonts w:ascii="Arial" w:hAnsi="Arial" w:cs="Arial"/>
      <w:b/>
      <w:bCs/>
      <w:i/>
      <w:iCs/>
      <w:sz w:val="28"/>
      <w:szCs w:val="28"/>
    </w:rPr>
  </w:style>
  <w:style w:type="character" w:styleId="3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styleId="4">
    <w:name w:val="Заголовок 4 Знак"/>
    <w:qFormat/>
    <w:rPr>
      <w:b/>
      <w:bCs/>
      <w:sz w:val="28"/>
      <w:szCs w:val="28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Style2">
    <w:name w:val="Название Знак"/>
    <w:qFormat/>
    <w:rPr>
      <w:sz w:val="28"/>
    </w:rPr>
  </w:style>
  <w:style w:type="character" w:styleId="Style3">
    <w:name w:val="Подзаголовок Знак"/>
    <w:qFormat/>
    <w:rPr>
      <w:rFonts w:ascii="Cambria" w:hAnsi="Cambria" w:cs="Cambria"/>
      <w:i/>
      <w:iCs/>
      <w:color w:val="4F81BD"/>
      <w:spacing w:val="15"/>
      <w:sz w:val="24"/>
      <w:szCs w:val="24"/>
      <w:lang w:val="ru-RU"/>
    </w:rPr>
  </w:style>
  <w:style w:type="character" w:styleId="Emphasis">
    <w:name w:val="Emphasis"/>
    <w:qFormat/>
    <w:rPr>
      <w:i/>
      <w:iCs/>
    </w:rPr>
  </w:style>
  <w:style w:type="character" w:styleId="22">
    <w:name w:val="Цитата 2 Знак"/>
    <w:qFormat/>
    <w:rPr>
      <w:rFonts w:ascii="Calibri" w:hAnsi="Calibri" w:eastAsia="Calibri" w:cs="Calibri"/>
      <w:i/>
      <w:iCs/>
      <w:color w:val="000000"/>
      <w:lang w:val="ru-RU"/>
    </w:rPr>
  </w:style>
  <w:style w:type="character" w:styleId="Style4">
    <w:name w:val="Выделенная цитата Знак"/>
    <w:qFormat/>
    <w:rPr>
      <w:rFonts w:ascii="Calibri" w:hAnsi="Calibri" w:eastAsia="Calibri" w:cs="Calibri"/>
      <w:b/>
      <w:bCs/>
      <w:i/>
      <w:iCs/>
      <w:color w:val="4F81BD"/>
      <w:lang w:val="ru-RU"/>
    </w:rPr>
  </w:style>
  <w:style w:type="character" w:styleId="Style5">
    <w:name w:val="Слабое выделение"/>
    <w:qFormat/>
    <w:rPr>
      <w:i/>
      <w:iCs/>
      <w:color w:val="808080"/>
    </w:rPr>
  </w:style>
  <w:style w:type="character" w:styleId="Style6">
    <w:name w:val="Сильное выделение"/>
    <w:qFormat/>
    <w:rPr>
      <w:b/>
      <w:bCs/>
      <w:i/>
      <w:iCs/>
      <w:color w:val="4F81BD"/>
    </w:rPr>
  </w:style>
  <w:style w:type="character" w:styleId="Style7">
    <w:name w:val="Слабая ссылка"/>
    <w:qFormat/>
    <w:rPr>
      <w:smallCaps/>
      <w:color w:val="C0504D"/>
      <w:u w:val="single"/>
    </w:rPr>
  </w:style>
  <w:style w:type="character" w:styleId="Style8">
    <w:name w:val="Сильная ссылка"/>
    <w:qFormat/>
    <w:rPr>
      <w:b/>
      <w:bCs/>
      <w:smallCaps/>
      <w:color w:val="C0504D"/>
      <w:spacing w:val="5"/>
      <w:u w:val="single"/>
    </w:rPr>
  </w:style>
  <w:style w:type="character" w:styleId="Style9">
    <w:name w:val="Название книги"/>
    <w:qFormat/>
    <w:rPr>
      <w:b/>
      <w:bCs/>
      <w:smallCaps/>
      <w:spacing w:val="5"/>
    </w:rPr>
  </w:style>
  <w:style w:type="character" w:styleId="Style10">
    <w:name w:val="Электронная подпись Знак"/>
    <w:qFormat/>
    <w:rPr>
      <w:rFonts w:eastAsia="Calibri"/>
      <w:sz w:val="24"/>
      <w:szCs w:val="24"/>
    </w:rPr>
  </w:style>
  <w:style w:type="character" w:styleId="13">
    <w:name w:val="Подпункт Знак1"/>
    <w:qFormat/>
    <w:rPr>
      <w:sz w:val="28"/>
    </w:rPr>
  </w:style>
  <w:style w:type="character" w:styleId="Style11">
    <w:name w:val="Текст сноски Знак"/>
    <w:qFormat/>
    <w:rPr/>
  </w:style>
  <w:style w:type="character" w:styleId="Style12">
    <w:name w:val="Основной текст Знак"/>
    <w:qFormat/>
    <w:rPr>
      <w:sz w:val="28"/>
      <w:szCs w:val="28"/>
    </w:rPr>
  </w:style>
  <w:style w:type="character" w:styleId="Style13">
    <w:name w:val="Нижний колонтитул Знак"/>
    <w:qFormat/>
    <w:rPr>
      <w:sz w:val="28"/>
      <w:szCs w:val="28"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23">
    <w:name w:val="Основной текст с отступом 2 Знак"/>
    <w:qFormat/>
    <w:rPr>
      <w:sz w:val="28"/>
      <w:szCs w:val="28"/>
    </w:rPr>
  </w:style>
  <w:style w:type="character" w:styleId="Style15">
    <w:name w:val="Текст примечания Знак"/>
    <w:qFormat/>
    <w:rPr/>
  </w:style>
  <w:style w:type="character" w:styleId="Blk">
    <w:name w:val="blk"/>
    <w:qFormat/>
    <w:rPr>
      <w:vanish w:val="false"/>
    </w:rPr>
  </w:style>
  <w:style w:type="character" w:styleId="HTML">
    <w:name w:val="Стандартный HTML Знак"/>
    <w:qFormat/>
    <w:rPr>
      <w:rFonts w:ascii="Courier New" w:hAnsi="Courier New" w:cs="Courier New"/>
    </w:rPr>
  </w:style>
  <w:style w:type="character" w:styleId="FollowedHyperlink">
    <w:name w:val="FollowedHyperlink"/>
    <w:rPr>
      <w:color w:val="800080"/>
      <w:u w:val="single"/>
    </w:rPr>
  </w:style>
  <w:style w:type="character" w:styleId="Style16">
    <w:name w:val="Знак примечания"/>
    <w:qFormat/>
    <w:rPr>
      <w:sz w:val="16"/>
      <w:szCs w:val="16"/>
    </w:rPr>
  </w:style>
  <w:style w:type="character" w:styleId="14">
    <w:name w:val="Текст примечания Знак1"/>
    <w:qFormat/>
    <w:rPr>
      <w:lang w:eastAsia="zh-CN"/>
    </w:rPr>
  </w:style>
  <w:style w:type="character" w:styleId="Style17">
    <w:name w:val="комментарий"/>
    <w:qFormat/>
    <w:rPr>
      <w:b/>
      <w:i/>
      <w:shd w:fill="FFFF99" w:val="clear"/>
    </w:rPr>
  </w:style>
  <w:style w:type="character" w:styleId="Style18">
    <w:name w:val="Абзац списка Знак"/>
    <w:qFormat/>
    <w:rPr>
      <w:rFonts w:eastAsia="Calibri"/>
      <w:sz w:val="24"/>
      <w:szCs w:val="24"/>
      <w:lang w:eastAsia="zh-CN"/>
    </w:rPr>
  </w:style>
  <w:style w:type="character" w:styleId="E1ckvoeh1">
    <w:name w:val="e1ckvoeh1"/>
    <w:qFormat/>
    <w:rPr/>
  </w:style>
  <w:style w:type="character" w:styleId="E1ckvoeh0">
    <w:name w:val="e1ckvoeh0"/>
    <w:qFormat/>
    <w:rPr/>
  </w:style>
  <w:style w:type="character" w:styleId="Style19">
    <w:name w:val="Знак сноски"/>
    <w:qFormat/>
    <w:rPr>
      <w:vertAlign w:val="superscript"/>
    </w:rPr>
  </w:style>
  <w:style w:type="character" w:styleId="Style20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21">
    <w:name w:val="Ссылка указателя"/>
    <w:qFormat/>
    <w:rPr/>
  </w:style>
  <w:style w:type="character" w:styleId="Strong">
    <w:name w:val="Strong"/>
    <w:qFormat/>
    <w:rPr>
      <w:b/>
      <w:bCs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24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;Yu Gothic" w:cs="Arial Unicode MS;Yu Gothic"/>
      <w:sz w:val="28"/>
      <w:szCs w:val="28"/>
    </w:rPr>
  </w:style>
  <w:style w:type="paragraph" w:styleId="Style24">
    <w:name w:val="Название объекта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5">
    <w:name w:val="Указатель2"/>
    <w:basedOn w:val="Normal"/>
    <w:qFormat/>
    <w:pPr>
      <w:suppressLineNumbers/>
    </w:pPr>
    <w:rPr/>
  </w:style>
  <w:style w:type="paragraph" w:styleId="15">
    <w:name w:val="Заголовок1"/>
    <w:basedOn w:val="Normal"/>
    <w:next w:val="BodyText"/>
    <w:qFormat/>
    <w:pPr>
      <w:jc w:val="center"/>
    </w:pPr>
    <w:rPr>
      <w:szCs w:val="20"/>
      <w:lang w:val="ru-RU"/>
    </w:rPr>
  </w:style>
  <w:style w:type="paragraph" w:styleId="26">
    <w:name w:val="Название объекта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6">
    <w:name w:val="Указатель1"/>
    <w:basedOn w:val="Normal"/>
    <w:qFormat/>
    <w:pPr>
      <w:suppressLineNumbers/>
    </w:pPr>
    <w:rPr/>
  </w:style>
  <w:style w:type="paragraph" w:styleId="Style25">
    <w:name w:val="Название раздела инструкции"/>
    <w:basedOn w:val="Normal"/>
    <w:qFormat/>
    <w:pPr>
      <w:keepNext w:val="true"/>
      <w:spacing w:lineRule="auto" w:line="276"/>
      <w:jc w:val="center"/>
    </w:pPr>
    <w:rPr>
      <w:bCs/>
      <w:sz w:val="26"/>
      <w:szCs w:val="26"/>
    </w:rPr>
  </w:style>
  <w:style w:type="paragraph" w:styleId="Style26">
    <w:name w:val="Раздел положения"/>
    <w:basedOn w:val="Normal"/>
    <w:qFormat/>
    <w:pPr>
      <w:numPr>
        <w:ilvl w:val="0"/>
        <w:numId w:val="2"/>
      </w:numPr>
      <w:spacing w:before="80" w:after="80"/>
      <w:jc w:val="center"/>
    </w:pPr>
    <w:rPr>
      <w:b/>
      <w:sz w:val="32"/>
      <w:szCs w:val="32"/>
    </w:rPr>
  </w:style>
  <w:style w:type="paragraph" w:styleId="Style27">
    <w:name w:val="Подраздел раздела положения"/>
    <w:basedOn w:val="Normal"/>
    <w:qFormat/>
    <w:pPr>
      <w:numPr>
        <w:ilvl w:val="0"/>
        <w:numId w:val="2"/>
      </w:numPr>
      <w:spacing w:before="80" w:after="80"/>
      <w:jc w:val="both"/>
    </w:pPr>
    <w:rPr>
      <w:sz w:val="28"/>
      <w:szCs w:val="28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17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7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Style28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11">
    <w:name w:val="Основной текст с отступом 21"/>
    <w:basedOn w:val="Normal"/>
    <w:qFormat/>
    <w:pPr>
      <w:spacing w:lineRule="auto" w:line="480" w:before="0" w:after="120"/>
      <w:ind w:left="283" w:right="0" w:hanging="0"/>
    </w:pPr>
    <w:rPr/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</w:rPr>
  </w:style>
  <w:style w:type="paragraph" w:styleId="312">
    <w:name w:val="Основной текст с отступом 31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212">
    <w:name w:val="Основной текст 21"/>
    <w:basedOn w:val="Normal"/>
    <w:qFormat/>
    <w:pPr>
      <w:spacing w:lineRule="auto" w:line="480" w:before="0" w:after="120"/>
    </w:pPr>
    <w:rPr/>
  </w:style>
  <w:style w:type="paragraph" w:styleId="18">
    <w:name w:val="Цитата1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9">
    <w:name w:val="Подпункт"/>
    <w:basedOn w:val="Normal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ru-RU"/>
    </w:rPr>
  </w:style>
  <w:style w:type="paragraph" w:styleId="28">
    <w:name w:val="Пункт2"/>
    <w:basedOn w:val="Normal"/>
    <w:qFormat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right="0" w:hanging="1134"/>
    </w:pPr>
    <w:rPr>
      <w:b/>
      <w:szCs w:val="20"/>
    </w:rPr>
  </w:style>
  <w:style w:type="paragraph" w:styleId="TOC1">
    <w:name w:val="TOC 1"/>
    <w:basedOn w:val="Normal"/>
    <w:next w:val="Normal"/>
    <w:pPr/>
    <w:rPr/>
  </w:style>
  <w:style w:type="paragraph" w:styleId="TOC3">
    <w:name w:val="TOC 3"/>
    <w:basedOn w:val="Normal"/>
    <w:next w:val="Normal"/>
    <w:pPr>
      <w:ind w:left="560" w:right="0" w:hanging="0"/>
    </w:pPr>
    <w:rPr/>
  </w:style>
  <w:style w:type="paragraph" w:styleId="Style30">
    <w:name w:val="Раздел регламента"/>
    <w:basedOn w:val="Normal"/>
    <w:qFormat/>
    <w:pPr/>
    <w:rPr/>
  </w:style>
  <w:style w:type="paragraph" w:styleId="Style3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pPr>
      <w:ind w:left="280" w:right="0" w:hanging="0"/>
    </w:pPr>
    <w:rPr/>
  </w:style>
  <w:style w:type="paragraph" w:styleId="Style3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9">
    <w:name w:val="Текст примечания1"/>
    <w:basedOn w:val="Normal"/>
    <w:qFormat/>
    <w:pPr/>
    <w:rPr>
      <w:sz w:val="20"/>
      <w:szCs w:val="20"/>
    </w:rPr>
  </w:style>
  <w:style w:type="paragraph" w:styleId="Style33">
    <w:name w:val="Тема примечания"/>
    <w:basedOn w:val="19"/>
    <w:next w:val="19"/>
    <w:qFormat/>
    <w:pPr/>
    <w:rPr>
      <w:b/>
      <w:bCs/>
    </w:rPr>
  </w:style>
  <w:style w:type="paragraph" w:styleId="Style34">
    <w:name w:val="Обычный (веб)"/>
    <w:basedOn w:val="Normal"/>
    <w:qFormat/>
    <w:pPr>
      <w:spacing w:before="280" w:after="280"/>
    </w:pPr>
    <w:rPr>
      <w:rFonts w:ascii="Arial Unicode MS;Yu Gothic" w:hAnsi="Arial Unicode MS;Yu Gothic" w:eastAsia="Arial Unicode MS;Yu Gothic" w:cs="Arial Unicode MS;Yu Gothic"/>
      <w:sz w:val="24"/>
      <w:szCs w:val="24"/>
    </w:rPr>
  </w:style>
  <w:style w:type="paragraph" w:styleId="TOC9">
    <w:name w:val="TOC 9"/>
    <w:basedOn w:val="Normal"/>
    <w:next w:val="Normal"/>
    <w:pPr>
      <w:ind w:left="2240" w:right="0" w:hanging="0"/>
    </w:pPr>
    <w:rPr/>
  </w:style>
  <w:style w:type="paragraph" w:styleId="TOC5">
    <w:name w:val="TOC 5"/>
    <w:basedOn w:val="Normal"/>
    <w:next w:val="Normal"/>
    <w:pPr>
      <w:ind w:left="1120" w:right="0" w:hanging="0"/>
    </w:pPr>
    <w:rPr/>
  </w:style>
  <w:style w:type="paragraph" w:styleId="TOC4">
    <w:name w:val="TOC 4"/>
    <w:basedOn w:val="Normal"/>
    <w:next w:val="Normal"/>
    <w:pPr>
      <w:ind w:left="840" w:right="0" w:hanging="0"/>
    </w:pPr>
    <w:rPr/>
  </w:style>
  <w:style w:type="paragraph" w:styleId="29">
    <w:name w:val="Раздел положения 2"/>
    <w:basedOn w:val="Normal"/>
    <w:qFormat/>
    <w:pPr>
      <w:pageBreakBefore/>
      <w:jc w:val="both"/>
    </w:pPr>
    <w:rPr>
      <w:b/>
    </w:rPr>
  </w:style>
  <w:style w:type="paragraph" w:styleId="Style35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/>
    </w:rPr>
  </w:style>
  <w:style w:type="paragraph" w:styleId="Style36">
    <w:name w:val="Без интервала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110">
    <w:name w:val="Название объекта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qFormat/>
    <w:pPr>
      <w:numPr>
        <w:ilvl w:val="0"/>
        <w:numId w:val="0"/>
      </w:numPr>
      <w:ind w:left="1066" w:right="0" w:firstLine="709"/>
    </w:pPr>
    <w:rPr>
      <w:rFonts w:ascii="Cambria" w:hAnsi="Cambria" w:cs="Cambria"/>
      <w:i/>
      <w:iCs/>
      <w:color w:val="4F81BD"/>
      <w:spacing w:val="15"/>
      <w:sz w:val="24"/>
      <w:szCs w:val="24"/>
      <w:lang w:val="ru-RU"/>
    </w:rPr>
  </w:style>
  <w:style w:type="paragraph" w:styleId="Style37">
    <w:name w:val="Абзац списка"/>
    <w:basedOn w:val="Normal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210">
    <w:name w:val="Цитата 2"/>
    <w:basedOn w:val="Normal"/>
    <w:next w:val="Normal"/>
    <w:qFormat/>
    <w:pPr/>
    <w:rPr>
      <w:rFonts w:ascii="Calibri" w:hAnsi="Calibri" w:eastAsia="Calibri" w:cs="Calibri"/>
      <w:i/>
      <w:iCs/>
      <w:color w:val="000000"/>
      <w:sz w:val="20"/>
      <w:szCs w:val="20"/>
      <w:lang w:val="ru-RU"/>
    </w:rPr>
  </w:style>
  <w:style w:type="paragraph" w:styleId="Style38">
    <w:name w:val="Выделенная цитата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Calibri"/>
      <w:b/>
      <w:bCs/>
      <w:i/>
      <w:iCs/>
      <w:color w:val="4F81BD"/>
      <w:sz w:val="20"/>
      <w:szCs w:val="20"/>
      <w:lang w:val="ru-RU"/>
    </w:rPr>
  </w:style>
  <w:style w:type="paragraph" w:styleId="111">
    <w:name w:val="Заголовок таблицы ссылок1"/>
    <w:basedOn w:val="Heading1"/>
    <w:next w:val="Normal"/>
    <w:qFormat/>
    <w:pPr>
      <w:keepLines/>
      <w:numPr>
        <w:ilvl w:val="0"/>
        <w:numId w:val="0"/>
      </w:numPr>
      <w:spacing w:before="480" w:after="0"/>
      <w:ind w:left="0" w:right="0" w:hanging="0"/>
      <w:jc w:val="left"/>
      <w:outlineLvl w:val="9"/>
    </w:pPr>
    <w:rPr>
      <w:rFonts w:ascii="Cambria" w:hAnsi="Cambria" w:cs="Cambria"/>
      <w:bCs/>
      <w:color w:val="365F91"/>
      <w:sz w:val="28"/>
      <w:szCs w:val="28"/>
      <w:lang w:val="ru-RU"/>
    </w:rPr>
  </w:style>
  <w:style w:type="paragraph" w:styleId="Style39">
    <w:name w:val="Электронная подпись"/>
    <w:basedOn w:val="Normal"/>
    <w:qFormat/>
    <w:pPr/>
    <w:rPr>
      <w:rFonts w:eastAsia="Calibri"/>
      <w:sz w:val="24"/>
      <w:szCs w:val="24"/>
      <w:lang w:val="ru-RU"/>
    </w:rPr>
  </w:style>
  <w:style w:type="paragraph" w:styleId="Style40">
    <w:name w:val="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32">
    <w:name w:val="Нумерованный список ур3"/>
    <w:basedOn w:val="Normal"/>
    <w:qFormat/>
    <w:pPr>
      <w:numPr>
        <w:ilvl w:val="0"/>
        <w:numId w:val="3"/>
      </w:numPr>
      <w:jc w:val="both"/>
    </w:pPr>
    <w:rPr>
      <w:rFonts w:ascii="Garamond" w:hAnsi="Garamond" w:cs="Garamond"/>
      <w:sz w:val="24"/>
      <w:szCs w:val="20"/>
    </w:rPr>
  </w:style>
  <w:style w:type="paragraph" w:styleId="112">
    <w:name w:val="Нумерованный список1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 w:cs="Garamond"/>
      <w:sz w:val="24"/>
      <w:szCs w:val="20"/>
    </w:rPr>
  </w:style>
  <w:style w:type="paragraph" w:styleId="213">
    <w:name w:val="Нумерованный список ур2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 w:cs="Garamond"/>
      <w:sz w:val="24"/>
      <w:szCs w:val="20"/>
    </w:rPr>
  </w:style>
  <w:style w:type="paragraph" w:styleId="Style41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33">
    <w:name w:val=" 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/>
    </w:rPr>
  </w:style>
  <w:style w:type="paragraph" w:styleId="Style42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cs="Arial"/>
      <w:b/>
      <w:i/>
      <w:szCs w:val="20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cs="Calibri"/>
      <w:sz w:val="22"/>
      <w:szCs w:val="22"/>
    </w:rPr>
  </w:style>
  <w:style w:type="paragraph" w:styleId="Style43">
    <w:name w:val="Таблица"/>
    <w:basedOn w:val="Normal"/>
    <w:qFormat/>
    <w:pPr/>
    <w:rPr>
      <w:sz w:val="20"/>
      <w:szCs w:val="20"/>
    </w:rPr>
  </w:style>
  <w:style w:type="paragraph" w:styleId="HTML1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Msonormal">
    <w:name w:val="msonormal"/>
    <w:basedOn w:val="Normal"/>
    <w:qFormat/>
    <w:pPr>
      <w:spacing w:before="280" w:after="280"/>
    </w:pPr>
    <w:rPr>
      <w:sz w:val="24"/>
      <w:szCs w:val="24"/>
    </w:rPr>
  </w:style>
  <w:style w:type="paragraph" w:styleId="Font5">
    <w:name w:val="font5"/>
    <w:basedOn w:val="Normal"/>
    <w:qFormat/>
    <w:pPr>
      <w:spacing w:before="280" w:after="280"/>
    </w:pPr>
    <w:rPr>
      <w:rFonts w:ascii="Tahoma" w:hAnsi="Tahoma" w:cs="Tahoma"/>
      <w:color w:val="000000"/>
      <w:sz w:val="18"/>
      <w:szCs w:val="18"/>
    </w:rPr>
  </w:style>
  <w:style w:type="paragraph" w:styleId="Font6">
    <w:name w:val="font6"/>
    <w:basedOn w:val="Normal"/>
    <w:qFormat/>
    <w:pPr>
      <w:spacing w:before="280" w:after="280"/>
    </w:pPr>
    <w:rPr>
      <w:rFonts w:ascii="Tahoma" w:hAnsi="Tahoma" w:cs="Tahoma"/>
      <w:b/>
      <w:bCs/>
      <w:color w:val="000000"/>
      <w:sz w:val="18"/>
      <w:szCs w:val="18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6"/>
      <w:szCs w:val="26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6"/>
      <w:szCs w:val="26"/>
    </w:rPr>
  </w:style>
  <w:style w:type="paragraph" w:styleId="Xl69">
    <w:name w:val="xl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26"/>
      <w:szCs w:val="26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6"/>
      <w:szCs w:val="26"/>
    </w:rPr>
  </w:style>
  <w:style w:type="paragraph" w:styleId="Xl71">
    <w:name w:val="xl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6"/>
      <w:szCs w:val="26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6"/>
      <w:szCs w:val="26"/>
    </w:rPr>
  </w:style>
  <w:style w:type="paragraph" w:styleId="Xl73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6"/>
      <w:szCs w:val="26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sz w:val="24"/>
      <w:szCs w:val="24"/>
    </w:rPr>
  </w:style>
  <w:style w:type="paragraph" w:styleId="Xl75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4"/>
      <w:szCs w:val="24"/>
    </w:rPr>
  </w:style>
  <w:style w:type="paragraph" w:styleId="Xl76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styleId="Xl77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4"/>
      <w:szCs w:val="24"/>
    </w:rPr>
  </w:style>
  <w:style w:type="paragraph" w:styleId="Xl78">
    <w:name w:val="xl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styleId="Xl79">
    <w:name w:val="xl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styleId="Xl80">
    <w:name w:val="xl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styleId="Xl8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styleId="Xl82">
    <w:name w:val="xl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2"/>
      <w:szCs w:val="22"/>
    </w:rPr>
  </w:style>
  <w:style w:type="paragraph" w:styleId="Xl83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styleId="Xl84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styleId="Xl85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styleId="Xl86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styleId="Xl87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b/>
      <w:bCs/>
      <w:sz w:val="24"/>
      <w:szCs w:val="24"/>
      <w:u w:val="single"/>
    </w:rPr>
  </w:style>
  <w:style w:type="paragraph" w:styleId="Xl88">
    <w:name w:val="xl88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b/>
      <w:bCs/>
      <w:sz w:val="24"/>
      <w:szCs w:val="24"/>
      <w:u w:val="single"/>
    </w:rPr>
  </w:style>
  <w:style w:type="paragraph" w:styleId="Xl89">
    <w:name w:val="xl89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4"/>
      <w:szCs w:val="24"/>
      <w:u w:val="single"/>
    </w:rPr>
  </w:style>
  <w:style w:type="paragraph" w:styleId="Xl90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styleId="Xl91">
    <w:name w:val="xl91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styleId="Xl92">
    <w:name w:val="xl92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styleId="Xl93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Style44">
    <w:name w:val="Содержимое таблицы"/>
    <w:basedOn w:val="Normal"/>
    <w:qFormat/>
    <w:pPr>
      <w:suppressLineNumbers/>
    </w:pPr>
    <w:rPr/>
  </w:style>
  <w:style w:type="paragraph" w:styleId="Style45">
    <w:name w:val="Заголовок таблицы"/>
    <w:basedOn w:val="Style44"/>
    <w:qFormat/>
    <w:pPr>
      <w:suppressLineNumbers/>
      <w:jc w:val="center"/>
    </w:pPr>
    <w:rPr>
      <w:b/>
      <w:bCs/>
    </w:rPr>
  </w:style>
  <w:style w:type="paragraph" w:styleId="Style46">
    <w:name w:val="Содержимое врезки"/>
    <w:basedOn w:val="Normal"/>
    <w:qFormat/>
    <w:pPr/>
    <w:rPr/>
  </w:style>
  <w:style w:type="paragraph" w:styleId="Style47">
    <w:name w:val="Текст примечания"/>
    <w:basedOn w:val="Normal"/>
    <w:qFormat/>
    <w:pPr/>
    <w:rPr>
      <w:sz w:val="20"/>
      <w:szCs w:val="20"/>
    </w:rPr>
  </w:style>
  <w:style w:type="paragraph" w:styleId="Style48">
    <w:name w:val="Таблица шапка"/>
    <w:basedOn w:val="Normal"/>
    <w:qFormat/>
    <w:pPr>
      <w:keepNext w:val="true"/>
      <w:suppressAutoHyphens w:val="false"/>
      <w:spacing w:before="40" w:after="40"/>
      <w:ind w:left="57" w:right="57" w:hanging="0"/>
    </w:pPr>
    <w:rPr>
      <w:sz w:val="22"/>
      <w:szCs w:val="26"/>
    </w:rPr>
  </w:style>
  <w:style w:type="paragraph" w:styleId="NormalWeb">
    <w:name w:val="Normal (Web)"/>
    <w:basedOn w:val="Normal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TOC6">
    <w:name w:val="TOC 6"/>
    <w:basedOn w:val="Style23"/>
    <w:pPr/>
    <w:rPr/>
  </w:style>
  <w:style w:type="paragraph" w:styleId="TOC7">
    <w:name w:val="TOC 7"/>
    <w:basedOn w:val="Style23"/>
    <w:pPr/>
    <w:rPr/>
  </w:style>
  <w:style w:type="paragraph" w:styleId="TOC8">
    <w:name w:val="TOC 8"/>
    <w:basedOn w:val="Style23"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microsoft.com/office/2006/relationships/vbaProject" Target="vbaProject.bin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21136</TotalTime>
  <Application>AlterOffice/3.4.0.9$Linux_X86_64 LibreOffice_project/b8daf9e823b1a5463a2f48435ddc2e8696e7d4fc</Application>
  <AppVersion>15.0000</AppVersion>
  <Pages>15</Pages>
  <Words>2247</Words>
  <Characters>13818</Characters>
  <CharactersWithSpaces>15610</CharactersWithSpaces>
  <Paragraphs>486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2024-06-03T09:26:00Z</dcterms:created>
  <dc:creator>ErmolaevKA</dc:creator>
  <dc:description/>
  <dc:language>ru-RU</dc:language>
  <cp:lastModifiedBy>lapshinsv@corp.gidroogk.com</cp:lastModifiedBy>
  <cp:lastPrinted>2023-01-20T13:06:00Z</cp:lastPrinted>
  <dcterms:modified xsi:type="dcterms:W3CDTF">2026-06-03T13:29:11Z</dcterms:modified>
  <cp:revision>101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