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 xml:space="preserve">иректор 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К.А. Михайлов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Calibri"/>
          <w:b w:val="false"/>
          <w:bCs w:val="false"/>
          <w:color w:val="auto"/>
          <w:sz w:val="28"/>
          <w:szCs w:val="28"/>
        </w:rPr>
        <w:t xml:space="preserve">«ОКПД2: 49.41.19.900 Перевозка </w:t>
      </w:r>
      <w:r>
        <w:rPr>
          <w:rFonts w:eastAsia="Calibri"/>
          <w:b w:val="false"/>
          <w:bCs w:val="false"/>
          <w:color w:val="auto"/>
          <w:sz w:val="28"/>
          <w:szCs w:val="28"/>
        </w:rPr>
        <w:t>экскаватора тралом</w:t>
      </w:r>
      <w:r>
        <w:rPr>
          <w:rFonts w:eastAsia="Calibri"/>
          <w:b w:val="false"/>
          <w:bCs w:val="false"/>
          <w:color w:val="auto"/>
          <w:sz w:val="28"/>
          <w:szCs w:val="28"/>
        </w:rPr>
        <w:t xml:space="preserve"> по маршруту </w:t>
      </w:r>
      <w:r>
        <w:rPr>
          <w:rFonts w:eastAsia="Calibri"/>
          <w:b w:val="false"/>
          <w:bCs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Республика Хакасия, г. Саяногорск, пгт. Черемушки - </w:t>
      </w:r>
      <w:r>
        <w:rPr>
          <w:rFonts w:eastAsia="Calibri"/>
          <w:b w:val="false"/>
          <w:bCs w:val="false"/>
          <w:color w:val="auto"/>
          <w:sz w:val="28"/>
          <w:szCs w:val="28"/>
        </w:rPr>
        <w:t xml:space="preserve">Московская обл., Сергиево-Посадский городской округ, пгт.Богородское </w:t>
      </w:r>
      <w:r>
        <w:rPr>
          <w:rFonts w:eastAsia="Calibri"/>
          <w:b w:val="false"/>
          <w:bCs w:val="false"/>
          <w:i w:val="false"/>
          <w:iCs w:val="false"/>
          <w:color w:val="auto"/>
          <w:sz w:val="28"/>
          <w:szCs w:val="28"/>
        </w:rPr>
        <w:t>для нужд Центрального филиала АО «ТК РусГидро»»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eastAsia="Calibri"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eastAsia="Calibri"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eastAsia="Calibri"/>
          <w:i w:val="false"/>
          <w:i w:val="false"/>
          <w:iCs w:val="false"/>
        </w:rPr>
      </w:pPr>
      <w:r>
        <w:rPr>
          <w:rFonts w:eastAsia="Calibri"/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120" w:after="120"/>
        <w:jc w:val="center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Calibri"/>
          <w:b w:val="false"/>
          <w:bCs w:val="false"/>
          <w:i w:val="false"/>
          <w:iCs w:val="false"/>
          <w:color w:val="auto"/>
          <w:sz w:val="28"/>
          <w:szCs w:val="28"/>
        </w:rPr>
        <w:t>Лот_____________________________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 w:eastAsia="Calibri"/>
          <w:b w:val="false"/>
          <w:bCs w:val="false"/>
          <w:i/>
          <w:i/>
          <w:color w:val="auto"/>
          <w:sz w:val="28"/>
          <w:szCs w:val="28"/>
        </w:rPr>
      </w:pPr>
      <w:r>
        <w:rPr>
          <w:rFonts w:eastAsia="Calibri"/>
          <w:b w:val="false"/>
          <w:bCs w:val="false"/>
          <w:i/>
          <w:color w:val="auto"/>
          <w:sz w:val="28"/>
          <w:szCs w:val="28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3786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7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698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699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0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2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25378704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09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37871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_Toc125378715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125378691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" w:name="_Toc46743505"/>
      <w:bookmarkStart w:id="2" w:name="_Toc125378692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" w:name="_Toc125378693"/>
      <w:r>
        <w:rPr/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4" w:name="_Toc125378694"/>
      <w:bookmarkStart w:id="5" w:name="_Toc46743507"/>
      <w:r>
        <w:rPr/>
        <w:t xml:space="preserve">Цель </w:t>
      </w:r>
      <w:bookmarkEnd w:id="5"/>
      <w:r>
        <w:rPr>
          <w:lang w:val="ru-RU"/>
        </w:rPr>
        <w:t>оказания услуг</w:t>
      </w:r>
      <w:bookmarkEnd w:id="4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Fonts w:eastAsia="Times New Roman"/>
          <w:b w:val="false"/>
          <w:sz w:val="24"/>
          <w:szCs w:val="24"/>
          <w:lang w:val="ru-RU" w:eastAsia="ru-RU"/>
        </w:rPr>
      </w:pPr>
      <w:bookmarkStart w:id="6" w:name="_Toc125378695"/>
      <w:r>
        <w:rPr>
          <w:rFonts w:eastAsia="Times New Roman"/>
          <w:b w:val="false"/>
          <w:sz w:val="24"/>
          <w:szCs w:val="24"/>
          <w:lang w:val="ru-RU" w:eastAsia="ru-RU"/>
        </w:rPr>
        <w:t>Транспортировка строительной техники в связи с производственной необходимостью.</w:t>
      </w:r>
      <w:bookmarkEnd w:id="6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7" w:name="_Toc12537869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7"/>
      <w:r>
        <w:rPr>
          <w:sz w:val="24"/>
          <w:szCs w:val="24"/>
          <w:lang w:val="ru-RU"/>
        </w:rPr>
        <w:t>транспортных средств</w:t>
      </w:r>
    </w:p>
    <w:tbl>
      <w:tblPr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7"/>
        <w:gridCol w:w="1418"/>
        <w:gridCol w:w="2555"/>
        <w:gridCol w:w="3735"/>
        <w:gridCol w:w="2078"/>
      </w:tblGrid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76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Транспортное средство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Место нахождения (погрузки) </w:t>
            </w: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sz w:val="24"/>
                <w:szCs w:val="24"/>
                <w:lang w:eastAsia="x-none"/>
              </w:rPr>
              <w:t>Республика Хакасия, г. Саяногорск, пгт. Черемушки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Экскаватор LONKING 6225F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Габариты (длина × ширина × высота)  5750 × 3395 × 3725 мм.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исправном состоянии, на ходу.</w:t>
            </w:r>
          </w:p>
        </w:tc>
      </w:tr>
    </w:tbl>
    <w:p>
      <w:pPr>
        <w:pStyle w:val="Heading4"/>
        <w:numPr>
          <w:ilvl w:val="1"/>
          <w:numId w:val="3"/>
        </w:numPr>
        <w:ind w:left="0" w:right="0" w:hanging="0"/>
        <w:jc w:val="both"/>
        <w:rPr/>
      </w:pPr>
      <w:bookmarkStart w:id="8" w:name="_Toc125378697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1.4.1. Грузоотправитель и адрес места нахождения груза: Республика Хакасия, г. Саяногорск, пгт. Черемушки. Погрузка груза в месте отправки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1.4.2. Грузополучатель и адрес места доставки груза: Загорский строительный участок Центрального филиала АО «ТК РусГидро», Московская обл., Сергиево-Посадский р-н, рп.Богородское д.100.  Разгрузка груза в месте доставки осуществляется силами и средствами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1.4.3. Способ транспортировки груза: транспортировка любым видом транспорта, исключающим самостоятельное движение ТС.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left"/>
        <w:rPr>
          <w:sz w:val="24"/>
          <w:szCs w:val="24"/>
        </w:rPr>
      </w:pPr>
      <w:bookmarkStart w:id="10" w:name="_Toc125378698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1" w:name="_Toc125378699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>
      <w:pPr>
        <w:pStyle w:val="Heading3"/>
        <w:numPr>
          <w:ilvl w:val="2"/>
          <w:numId w:val="3"/>
        </w:numPr>
        <w:ind w:left="1224" w:right="0" w:hanging="504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</w:pPr>
      <w:bookmarkStart w:id="12" w:name="_Toc12537870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Требования к перечню и объему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0" w:after="60"/>
        <w:ind w:left="0" w:right="0" w:hanging="0"/>
        <w:rPr>
          <w:sz w:val="24"/>
          <w:szCs w:val="24"/>
          <w:lang w:val="ru-RU"/>
        </w:rPr>
      </w:pPr>
      <w:bookmarkStart w:id="13" w:name="_Toc125378701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5376"/>
        <w:gridCol w:w="1981"/>
        <w:gridCol w:w="160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 w:before="120" w:after="120"/>
              <w:jc w:val="left"/>
              <w:rPr>
                <w:rFonts w:ascii="Times New Roman" w:hAnsi="Times New Roman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x-none"/>
              </w:rPr>
      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ind w:left="1224" w:right="0" w:hanging="504"/>
        <w:rPr>
          <w:lang w:val="ru-RU"/>
        </w:rPr>
      </w:pPr>
      <w:bookmarkStart w:id="15" w:name="_Toc125378702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оказания услуг</w:t>
      </w:r>
      <w:bookmarkEnd w:id="15"/>
    </w:p>
    <w:p>
      <w:pPr>
        <w:pStyle w:val="Heading1"/>
        <w:numPr>
          <w:ilvl w:val="0"/>
          <w:numId w:val="0"/>
        </w:numPr>
        <w:ind w:left="4678" w:right="0" w:hanging="4678"/>
        <w:rPr>
          <w:sz w:val="24"/>
          <w:szCs w:val="24"/>
        </w:rPr>
      </w:pPr>
      <w:bookmarkStart w:id="17" w:name="_Toc125378703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1"/>
        <w:gridCol w:w="4304"/>
        <w:gridCol w:w="2836"/>
        <w:gridCol w:w="2219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50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заключения договора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>
          <w:lang w:val="ru-RU"/>
        </w:rPr>
      </w:pPr>
      <w:bookmarkStart w:id="18" w:name="_Toc125378704"/>
      <w:bookmarkStart w:id="19" w:name="_Toc46743511"/>
      <w:bookmarkStart w:id="20" w:name="_Toc50125131"/>
      <w:bookmarkStart w:id="21" w:name="_Toc51339698"/>
      <w:bookmarkEnd w:id="20"/>
      <w:bookmarkEnd w:id="2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: 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Normal"/>
        <w:rPr/>
      </w:pP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i w:val="false"/>
          <w:iCs w:val="false"/>
          <w:sz w:val="24"/>
          <w:szCs w:val="24"/>
          <w:shd w:fill="auto" w:val="clear"/>
        </w:rPr>
        <w:t xml:space="preserve"> </w:t>
      </w:r>
    </w:p>
    <w:tbl>
      <w:tblPr>
        <w:tblStyle w:val="af"/>
        <w:tblW w:w="149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4"/>
        <w:gridCol w:w="4000"/>
        <w:gridCol w:w="4328"/>
        <w:gridCol w:w="3553"/>
        <w:gridCol w:w="2246"/>
      </w:tblGrid>
      <w:tr>
        <w:trPr/>
        <w:tc>
          <w:tcPr>
            <w:tcW w:w="8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0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3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7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3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2"/>
          </w:p>
        </w:tc>
        <w:tc>
          <w:tcPr>
            <w:tcW w:w="40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3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553" w:type="dxa"/>
            <w:vMerge w:val="restart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4"/>
              </w:rPr>
              <w:t>Участник должен предоставить в 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4"/>
                <w:lang w:val="ru-RU" w:eastAsia="ru-RU" w:bidi="ar-SA"/>
              </w:rPr>
              <w:t>техническим требованиям</w:t>
            </w:r>
          </w:p>
        </w:tc>
        <w:tc>
          <w:tcPr>
            <w:tcW w:w="2246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43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Перевозка ТС любым видом транспорта, исключающим самостоятельное движение ТС по маршруту </w:t>
            </w: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43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Страхование груза на период перевозки</w:t>
            </w:r>
          </w:p>
        </w:tc>
        <w:tc>
          <w:tcPr>
            <w:tcW w:w="43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самостоятельно застраховать перевозимый груз от всех рисков на весь период перевозки с момента передачи груза Исполнителю до момента передачи груза грузополучателю в страховой компании с рейтингом не ниже уровня А (рейтинг агентства «Эксперт РА»), при этом выгодоприобретателем по страховым событиям должно являться – АО «Транспортная компания РусГидро». Выплаты должны осуществляться по заявленной стоимости (Приложение 1 к ТТ) в части поврежденного, утраченного груза. Перед началом исполнения Услуги, Исполнитель должен направить оригинал или нотариально заверенную копию страхового полиса в адрес Центрального филиала АО «ТК РусГидро» (141342, Московскя обл., Сергиево-Посадский р-н, пгт. Богородское, д.101).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Погрузо-разгрузочные работы</w:t>
            </w:r>
          </w:p>
        </w:tc>
        <w:tc>
          <w:tcPr>
            <w:tcW w:w="43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заборе и доставке груза по адресу Заказчика, погрузка и выгрузка груза производятся силами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при необходимости осуществления межтерминальной перевозки, погрузка и выгрузка груза производятся силами и за счет Исполнителя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Сопроводительная документация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оформление разрешительной документации, транспортно-сопроводительных документов на перевозку ТС по маршруту, указанному в таблице №2 ТТ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Складское хранение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40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местонахождения груза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3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 –приемки оказанных услуг/УПД в двух экземплярах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1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00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23" w:name="_Toc125378712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нормативно-правовых актов, регулирующих перевозку грузов соответствующим видом транспорта</w:t>
            </w:r>
            <w:bookmarkEnd w:id="23"/>
          </w:p>
        </w:tc>
        <w:tc>
          <w:tcPr>
            <w:tcW w:w="432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Услуги должны осуществляться в соответствии с нормативно-правовыми актами, регламентирующими правила перевозки грузов конкретным видом транспорта: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08.11.2007 № 259-ФЗ «Устав автомобильного транспорта и городского наземного электрического транспорта»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 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10.12.1995 N 196-ФЗ «О безопасности дорожного движения»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Федеральный закон от 10.01.2003 № 18-ФЗ «Устав железнодорожного транспорта Российской Федерации»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Приказ Министерства транспорта РФ от 18.12.2019 № 405 «Об утверждении правил перевозок железнодорожным транспортом грузов в контейнерах и порожних контейнеров»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Приказ Министерства транспорта РФ от 26.06.2020 N 217 «Об утверждении Правил перевозок железнодорожным транспортом, содержащих порядок заключения договоров, устанавливающих особые условия перевозки грузов»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</w:tc>
        <w:tc>
          <w:tcPr>
            <w:tcW w:w="3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6" w:type="dxa"/>
            <w:vMerge w:val="continue"/>
            <w:tcBorders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Heading1"/>
        <w:numPr>
          <w:ilvl w:val="0"/>
          <w:numId w:val="3"/>
        </w:numPr>
        <w:ind w:left="357" w:right="0" w:hanging="357"/>
        <w:jc w:val="center"/>
        <w:rPr>
          <w:sz w:val="24"/>
          <w:szCs w:val="24"/>
          <w:lang w:val="ru-RU"/>
        </w:rPr>
      </w:pPr>
      <w:bookmarkStart w:id="24" w:name="_Toc125378714"/>
      <w:bookmarkStart w:id="25" w:name="_Toc53395937"/>
      <w:bookmarkStart w:id="26" w:name="_Toc53393312"/>
      <w:bookmarkStart w:id="27" w:name="_Toc513396981"/>
      <w:bookmarkStart w:id="28" w:name="_Toc501251311"/>
      <w:bookmarkEnd w:id="27"/>
      <w:bookmarkEnd w:id="2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5"/>
      <w:bookmarkEnd w:id="26"/>
      <w:r>
        <w:rPr>
          <w:sz w:val="24"/>
          <w:szCs w:val="24"/>
          <w:lang w:val="ru-RU"/>
        </w:rPr>
        <w:t xml:space="preserve"> на этапе закупки</w:t>
      </w:r>
      <w:bookmarkEnd w:id="24"/>
    </w:p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3.1 </w:t>
      </w:r>
      <w:r>
        <w:rPr>
          <w:rFonts w:eastAsia="Calibri"/>
          <w:bCs/>
          <w:sz w:val="24"/>
          <w:szCs w:val="24"/>
          <w:lang w:val="x-none" w:eastAsia="x-none"/>
        </w:rPr>
        <w:t>Стоимость услуг включает забор груза в местах отправки (передачи) груза, погрузку, крепление груза, перевозку груза, доставку до места разгрузки, простой под погрузкой (разгрузкой), разгрузку, растентовку в случае необходимости, страховку, а также все расходы на уплату налогов (в т.ч. НДС), сборов и других обязательных платежей, оформление всех необходимых разрешительных документов, пропусков, согласований,  транспортно-экспедиционное обслуживание и все прочие расходы Исполнителя, связанные с выполнением договора</w:t>
      </w:r>
      <w:r>
        <w:rPr>
          <w:rFonts w:eastAsia="Calibri"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bCs/>
          <w:sz w:val="24"/>
          <w:szCs w:val="24"/>
          <w:lang w:val="x-none"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3.2 </w:t>
      </w:r>
      <w:r>
        <w:rPr>
          <w:rFonts w:eastAsia="Calibri"/>
          <w:bCs/>
          <w:sz w:val="24"/>
          <w:szCs w:val="24"/>
          <w:lang w:val="x-none" w:eastAsia="x-none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Heading1"/>
        <w:keepLines/>
        <w:numPr>
          <w:ilvl w:val="0"/>
          <w:numId w:val="0"/>
        </w:numPr>
        <w:ind w:left="357" w:right="0" w:hanging="0"/>
        <w:jc w:val="center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24"/>
        <w:tabs>
          <w:tab w:val="clear" w:pos="1134"/>
        </w:tabs>
        <w:snapToGrid w:val="true"/>
        <w:ind w:left="1418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4"/>
        <w:pageBreakBefore w:val="false"/>
        <w:tabs>
          <w:tab w:val="clear" w:pos="1134"/>
        </w:tabs>
        <w:snapToGrid w:val="true"/>
        <w:spacing w:before="240" w:after="120"/>
        <w:ind w:left="1418" w:hanging="0"/>
        <w:jc w:val="left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Начальник ЗСУ Центрального филиала</w:t>
        <w:br/>
        <w:t xml:space="preserve">АО «ТК РусГидро» </w:t>
        <w:tab/>
        <w:tab/>
        <w:tab/>
        <w:tab/>
        <w:tab/>
        <w:tab/>
        <w:tab/>
        <w:tab/>
        <w:tab/>
        <w:t>Ш.Б. Гамзатов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4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suppressAutoHyphens w:val="true"/>
      <w:bidi w:val="0"/>
      <w:spacing w:before="120" w:after="6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0d13"/>
    <w:pPr>
      <w:tabs>
        <w:tab w:val="clear" w:pos="708"/>
        <w:tab w:val="left" w:pos="1120" w:leader="none"/>
        <w:tab w:val="right" w:pos="9911" w:leader="dot"/>
      </w:tabs>
      <w:ind w:left="709" w:hanging="142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0f3d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9651eb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E5E9-3109-4BE9-BA82-14F6E97D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Application>AlterOffice/3.4.0.9$Linux_X86_64 LibreOffice_project/b8daf9e823b1a5463a2f48435ddc2e8696e7d4fc</Application>
  <AppVersion>15.0000</AppVersion>
  <Pages>9</Pages>
  <Words>1268</Words>
  <Characters>8701</Characters>
  <CharactersWithSpaces>9832</CharactersWithSpaces>
  <Paragraphs>159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2023-01-19T23:35:00Z</dcterms:created>
  <dc:creator>Быстров Олег Геннадьевич</dc:creator>
  <dc:description/>
  <dc:language>ru-RU</dc:language>
  <cp:lastModifiedBy>tolpyginanv@corp.gidroogk.com</cp:lastModifiedBy>
  <cp:lastPrinted>2023-01-27T02:24:00Z</cp:lastPrinted>
  <dcterms:modified xsi:type="dcterms:W3CDTF">2026-06-05T15:51:38Z</dcterms:modified>
  <cp:revision>62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