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2026г.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Директора Центрального филиала АО «ТК РусГидро»________________ , действующего на основании_____________________ , с одной стороны, и ____________(далее – «Поставщик»), в лице ___________, действующего на основании  ________, с другой стороны, совместно в дальнейшем именуемые «Стороны», а по отдельности – «Сторона», по результатам проведенной неконкурентной процедуры по лоту № _______,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3"/>
        </w:numPr>
        <w:shd w:val="clear" w:color="auto" w:fill="FFFFFF"/>
        <w:tabs>
          <w:tab w:val="clear" w:pos="708"/>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Cs/>
          <w:i w:val="false"/>
          <w:iCs w:val="false"/>
          <w:sz w:val="24"/>
          <w:szCs w:val="24"/>
        </w:rPr>
        <w:t>____________________________________________________</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4"/>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5"/>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6"/>
        </w:numPr>
        <w:tabs>
          <w:tab w:val="clear" w:pos="708"/>
          <w:tab w:val="left" w:pos="0" w:leader="none"/>
          <w:tab w:val="left" w:pos="540" w:leader="none"/>
          <w:tab w:val="left" w:pos="1134" w:leader="none"/>
        </w:tabs>
        <w:ind w:left="0" w:firstLine="709"/>
        <w:jc w:val="both"/>
        <w:rPr>
          <w:highlight w:val="none"/>
          <w:shd w:fill="auto" w:val="clear"/>
        </w:rPr>
      </w:pPr>
      <w:r>
        <w:rPr>
          <w:b w:val="false"/>
          <w:i w:val="false"/>
          <w:strike w:val="false"/>
          <w:dstrike w:val="false"/>
          <w:outline w:val="false"/>
          <w:shadow w:val="false"/>
          <w:color w:val="000000"/>
          <w:spacing w:val="0"/>
          <w:kern w:val="0"/>
          <w:sz w:val="24"/>
          <w:szCs w:val="24"/>
          <w:u w:val="none"/>
          <w:shd w:fill="auto" w:val="clear"/>
          <w:em w:val="none"/>
        </w:rPr>
        <w:t>Общий срок поставки Товара: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1.4.1. Начало: с даты оплаты аванса.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1.4.2 Окончание: по истечению 12(двенадцати ) месяцев.</w:t>
      </w:r>
    </w:p>
    <w:p>
      <w:pPr>
        <w:pStyle w:val="Normal"/>
        <w:widowContro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rPr>
      </w:pPr>
      <w:r>
        <w:rPr>
          <w:bCs/>
          <w:sz w:val="24"/>
          <w:szCs w:val="24"/>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7"/>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28"/>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sz w:val="24"/>
          <w:szCs w:val="24"/>
        </w:rPr>
        <w:t xml:space="preserve"> ________</w:t>
      </w:r>
      <w:r>
        <w:rPr>
          <w:bCs/>
          <w:sz w:val="24"/>
          <w:szCs w:val="24"/>
        </w:rPr>
        <w:t xml:space="preserve"> рубля ____копеек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29"/>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0"/>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1"/>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4"/>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6"/>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7"/>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38"/>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w:t>
      </w:r>
      <w:bookmarkEnd w:id="2"/>
    </w:p>
    <w:p>
      <w:pPr>
        <w:pStyle w:val="Normal"/>
        <w:widowControl/>
        <w:numPr>
          <w:ilvl w:val="2"/>
          <w:numId w:val="13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0"/>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1"/>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3"/>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suppressAutoHyphens w:val="true"/>
        <w:bidi w:val="0"/>
        <w:spacing w:before="0" w:after="0"/>
        <w:ind w:left="0" w:right="0" w:firstLine="624"/>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6"/>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7"/>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4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w:t>
      </w:r>
      <w:r>
        <w:rPr>
          <w:color w:val="000000"/>
          <w:sz w:val="24"/>
          <w:szCs w:val="24"/>
        </w:rPr>
        <w:t xml:space="preserve">  ________________  с </w:t>
      </w:r>
      <w:r>
        <w:rPr>
          <w:sz w:val="24"/>
          <w:szCs w:val="24"/>
        </w:rPr>
        <w:t>последующим направлением оригинала Заявки по адресу, указанному в разделе 14 Договора.</w:t>
      </w:r>
    </w:p>
    <w:p>
      <w:pPr>
        <w:pStyle w:val="Normal"/>
        <w:widowControl/>
        <w:numPr>
          <w:ilvl w:val="2"/>
          <w:numId w:val="149"/>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w:t>
      </w:r>
      <w:r>
        <w:rPr>
          <w:sz w:val="24"/>
          <w:szCs w:val="24"/>
        </w:rPr>
        <w:t>_______________________</w:t>
      </w:r>
      <w:r>
        <w:rPr>
          <w:sz w:val="24"/>
          <w:szCs w:val="24"/>
        </w:rPr>
        <w:t xml:space="preserve"> с последующим направлением письменного ответа по адресу, указанному в разделе 14 Договора.</w:t>
      </w:r>
    </w:p>
    <w:p>
      <w:pPr>
        <w:pStyle w:val="Normal"/>
        <w:widowControl/>
        <w:numPr>
          <w:ilvl w:val="2"/>
          <w:numId w:val="150"/>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Normal"/>
        <w:widowControl w:val="false"/>
        <w:numPr>
          <w:ilvl w:val="0"/>
          <w:numId w:val="0"/>
        </w:numPr>
        <w:tabs>
          <w:tab w:val="clear" w:pos="708"/>
          <w:tab w:val="left" w:pos="733" w:leader="none"/>
          <w:tab w:val="left" w:pos="993" w:leader="none"/>
        </w:tabs>
        <w:suppressAutoHyphens w:val="true"/>
        <w:bidi w:val="0"/>
        <w:spacing w:before="0" w:after="0"/>
        <w:ind w:left="0" w:right="0" w:firstLine="624"/>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widowControl w:val="false"/>
        <w:numPr>
          <w:ilvl w:val="0"/>
          <w:numId w:val="0"/>
        </w:numPr>
        <w:tabs>
          <w:tab w:val="clear" w:pos="708"/>
          <w:tab w:val="left" w:pos="1134" w:leader="none"/>
        </w:tabs>
        <w:suppressAutoHyphens w:val="true"/>
        <w:bidi w:val="0"/>
        <w:spacing w:before="0" w:after="0"/>
        <w:ind w:left="0" w:right="0" w:firstLine="680"/>
        <w:jc w:val="both"/>
        <w:rPr>
          <w:sz w:val="24"/>
          <w:szCs w:val="24"/>
        </w:rPr>
      </w:pPr>
      <w:r>
        <w:rPr>
          <w:sz w:val="24"/>
          <w:szCs w:val="24"/>
        </w:rPr>
        <w:t>3.1.5.2. Расторгнуть Договор в порядке, установленном пунктом 11.2 Договора.</w:t>
      </w:r>
    </w:p>
    <w:p>
      <w:pPr>
        <w:pStyle w:val="ListParagraph"/>
        <w:numPr>
          <w:ilvl w:val="2"/>
          <w:numId w:val="153"/>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r>
    </w:p>
    <w:p>
      <w:pPr>
        <w:pStyle w:val="ListParagraph"/>
        <w:widowControl/>
        <w:numPr>
          <w:ilvl w:val="0"/>
          <w:numId w:val="0"/>
        </w:numPr>
        <w:tabs>
          <w:tab w:val="clear" w:pos="708"/>
          <w:tab w:val="left" w:pos="517" w:leader="none"/>
          <w:tab w:val="left" w:pos="993" w:leader="none"/>
          <w:tab w:val="left" w:pos="1418" w:leader="none"/>
        </w:tabs>
        <w:suppressAutoHyphens w:val="true"/>
        <w:bidi w:val="0"/>
        <w:spacing w:before="0" w:after="0"/>
        <w:ind w:left="0" w:right="0" w:firstLine="567"/>
        <w:contextualSpacing/>
        <w:jc w:val="both"/>
        <w:rPr>
          <w:sz w:val="24"/>
          <w:szCs w:val="24"/>
        </w:rPr>
      </w:pPr>
      <w:r>
        <w:rPr>
          <w:sz w:val="24"/>
          <w:szCs w:val="24"/>
        </w:rPr>
        <w:t>3.1.7. Стороны вправе запросить друг у друга необходимые дополнительные сведения для поставки Товара по Заявке.</w:t>
      </w:r>
    </w:p>
    <w:p>
      <w:pPr>
        <w:pStyle w:val="Normal"/>
        <w:widowControl/>
        <w:numPr>
          <w:ilvl w:val="1"/>
          <w:numId w:val="154"/>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6"/>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57"/>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58"/>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59"/>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0"/>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3"/>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5"/>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6"/>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67"/>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68"/>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6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0"/>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0"/>
        </w:numPr>
        <w:shd w:val="clear" w:color="auto" w:fill="FFFFFF"/>
        <w:tabs>
          <w:tab w:val="clear" w:pos="708"/>
          <w:tab w:val="left" w:pos="1134" w:leader="none"/>
        </w:tabs>
        <w:ind w:left="0" w:firstLine="709"/>
        <w:jc w:val="both"/>
        <w:rPr>
          <w:highlight w:val="none"/>
          <w:shd w:fill="auto" w:val="clear"/>
        </w:rPr>
      </w:pPr>
      <w:r>
        <w:rPr>
          <w:bCs/>
          <w:sz w:val="24"/>
          <w:szCs w:val="24"/>
          <w:shd w:fill="auto" w:val="clear"/>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BodyText"/>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shd w:fill="auto" w:val="clear"/>
        </w:rPr>
        <w:t>В случае</w:t>
      </w:r>
      <w:r>
        <w:rPr>
          <w:sz w:val="24"/>
          <w:szCs w:val="24"/>
        </w:rPr>
        <w:t xml:space="preserve">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0"/>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0"/>
        </w:numPr>
        <w:tabs>
          <w:tab w:val="clear" w:pos="708"/>
          <w:tab w:val="left" w:pos="1134" w:leader="none"/>
        </w:tabs>
        <w:spacing w:before="0" w:after="0"/>
        <w:ind w:left="0" w:firstLine="709"/>
        <w:contextualSpacing/>
        <w:jc w:val="both"/>
        <w:rPr>
          <w:highlight w:val="none"/>
          <w:shd w:fill="auto" w:val="clear"/>
        </w:rPr>
      </w:pPr>
      <w:r>
        <w:rPr>
          <w:sz w:val="24"/>
          <w:szCs w:val="24"/>
          <w:shd w:fill="auto" w:val="clear"/>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rFonts w:eastAsia="Calibri"/>
          <w:bCs/>
          <w:sz w:val="24"/>
          <w:szCs w:val="24"/>
          <w:shd w:fill="auto" w:val="clear"/>
        </w:rPr>
        <w:t xml:space="preserve">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highlight w:val="none"/>
          <w:shd w:fill="auto" w:val="clear"/>
        </w:rPr>
      </w:pPr>
      <w:r>
        <w:rPr>
          <w:rFonts w:eastAsia="Calibri"/>
          <w:bCs/>
          <w:sz w:val="24"/>
          <w:szCs w:val="24"/>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bCs/>
          <w:sz w:val="24"/>
          <w:szCs w:val="24"/>
          <w:shd w:fill="auto" w:val="clear"/>
        </w:rPr>
        <w:t>.</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shd w:fill="auto" w:val="clear"/>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w:t>
      </w:r>
      <w:r>
        <w:rPr>
          <w:bCs/>
          <w:sz w:val="24"/>
          <w:szCs w:val="24"/>
        </w:rPr>
        <w:t xml:space="preserve">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numPr>
          <w:ilvl w:val="0"/>
          <w:numId w:val="0"/>
        </w:numPr>
        <w:shd w:val="clear" w:color="auto" w:fill="FFFFFF"/>
        <w:tabs>
          <w:tab w:val="clear" w:pos="708"/>
          <w:tab w:val="left" w:pos="1276" w:leader="none"/>
        </w:tabs>
        <w:ind w:left="0" w:hanging="0"/>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0"/>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0"/>
        </w:numPr>
        <w:tabs>
          <w:tab w:val="clear" w:pos="708"/>
          <w:tab w:val="left" w:pos="1276" w:leader="none"/>
        </w:tabs>
        <w:spacing w:before="0" w:after="0"/>
        <w:ind w:left="0" w:firstLine="709"/>
        <w:contextualSpacing/>
        <w:jc w:val="both"/>
        <w:rPr>
          <w:highlight w:val="none"/>
          <w:shd w:fill="auto" w:val="clear"/>
        </w:rPr>
      </w:pPr>
      <w:r>
        <w:rPr>
          <w:bCs/>
          <w:sz w:val="24"/>
          <w:szCs w:val="24"/>
          <w:shd w:fill="auto" w:val="clear"/>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1"/>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2"/>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4"/>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7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79"/>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0"/>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6"/>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87"/>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88"/>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89"/>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0"/>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1"/>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4"/>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5"/>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6"/>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197"/>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198"/>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2"/>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3"/>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4"/>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5"/>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0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09"/>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0"/>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2"/>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17"/>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1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1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0"/>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1"/>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3"/>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6"/>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27"/>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8"/>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Договор вступает в силу с даты его подписания Сторонами и действует в течение 12 (двенадцати) месяцев.</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2"/>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стр.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236" w:type="dxa"/>
            <w:tcBorders/>
          </w:tcPr>
          <w:p>
            <w:pPr>
              <w:pStyle w:val="Normal"/>
              <w:widowControl w:val="false"/>
              <w:rPr/>
            </w:pPr>
            <w:r>
              <w:rPr/>
            </w:r>
          </w:p>
        </w:tc>
      </w:tr>
    </w:tbl>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693"/>
        <w:gridCol w:w="415"/>
        <w:gridCol w:w="1792"/>
        <w:gridCol w:w="1117"/>
        <w:gridCol w:w="783"/>
        <w:gridCol w:w="804"/>
        <w:gridCol w:w="1529"/>
        <w:gridCol w:w="751"/>
        <w:gridCol w:w="685"/>
        <w:gridCol w:w="966"/>
        <w:gridCol w:w="1584"/>
        <w:gridCol w:w="1366"/>
        <w:gridCol w:w="1416"/>
        <w:gridCol w:w="1179"/>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(22%) руб.</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38"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1</w:t>
            </w:r>
          </w:p>
        </w:tc>
        <w:tc>
          <w:tcPr>
            <w:tcW w:w="415" w:type="dxa"/>
            <w:tcBorders>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1</w:t>
            </w:r>
          </w:p>
        </w:tc>
        <w:tc>
          <w:tcPr>
            <w:tcW w:w="1792"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
          </w:p>
        </w:tc>
        <w:tc>
          <w:tcPr>
            <w:tcW w:w="1117" w:type="dxa"/>
            <w:tcBorders>
              <w:left w:val="single" w:sz="4" w:space="0" w:color="000000"/>
              <w:bottom w:val="single" w:sz="4" w:space="0" w:color="000000"/>
              <w:right w:val="single" w:sz="4" w:space="0" w:color="000000"/>
            </w:tcBorders>
          </w:tcPr>
          <w:p>
            <w:pPr>
              <w:pStyle w:val="Normal"/>
              <w:widowControl w:val="false"/>
              <w:rPr/>
            </w:pPr>
            <w:r>
              <w:rPr/>
            </w:r>
          </w:p>
        </w:tc>
        <w:tc>
          <w:tcPr>
            <w:tcW w:w="783"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04"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529" w:type="dxa"/>
            <w:tcBorders>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sz w:val="24"/>
                <w:szCs w:val="24"/>
              </w:rPr>
            </w:pPr>
            <w:r>
              <w:rPr/>
            </w:r>
          </w:p>
        </w:tc>
        <w:tc>
          <w:tcPr>
            <w:tcW w:w="751" w:type="dxa"/>
            <w:tcBorders>
              <w:left w:val="single" w:sz="4" w:space="0" w:color="000000"/>
              <w:bottom w:val="single" w:sz="4" w:space="0" w:color="000000"/>
              <w:right w:val="single" w:sz="4" w:space="0" w:color="000000"/>
            </w:tcBorders>
            <w:vAlign w:val="center"/>
          </w:tcPr>
          <w:p>
            <w:pPr>
              <w:pStyle w:val="Normal"/>
              <w:widowControl w:val="false"/>
              <w:jc w:val="center"/>
              <w:rPr/>
            </w:pPr>
            <w:r>
              <w:rPr/>
              <w:t>шт.</w:t>
            </w:r>
          </w:p>
        </w:tc>
        <w:tc>
          <w:tcPr>
            <w:tcW w:w="685"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966"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584"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36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41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rPr>
      </w:pPr>
      <w:r>
        <w:rPr>
          <w:i/>
          <w:sz w:val="24"/>
          <w:szCs w:val="24"/>
          <w:shd w:fill="C0C0C0" w:val="clear"/>
        </w:rPr>
        <w:t>]</w:t>
      </w:r>
    </w:p>
    <w:p>
      <w:pPr>
        <w:sectPr>
          <w:headerReference w:type="default" r:id="rId10"/>
          <w:headerReference w:type="first" r:id="rId11"/>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p>
          <w:p>
            <w:pPr>
              <w:pStyle w:val="Normal"/>
              <w:widowControl w:val="false"/>
              <w:rPr/>
            </w:pPr>
            <w:r>
              <w:rPr/>
            </w:r>
          </w:p>
        </w:tc>
        <w:tc>
          <w:tcPr>
            <w:tcW w:w="4896" w:type="dxa"/>
            <w:tcBorders/>
          </w:tcPr>
          <w:p>
            <w:pPr>
              <w:pStyle w:val="Normal"/>
              <w:widowControl w:val="false"/>
              <w:rPr/>
            </w:pPr>
            <w:r>
              <w:rPr/>
            </w:r>
          </w:p>
          <w:p>
            <w:pPr>
              <w:pStyle w:val="Normal"/>
              <w:widowControl w:val="false"/>
              <w:rPr>
                <w:sz w:val="24"/>
                <w:szCs w:val="24"/>
              </w:rPr>
            </w:pPr>
            <w:r>
              <w:rPr>
                <w:sz w:val="24"/>
                <w:szCs w:val="24"/>
              </w:rPr>
            </w:r>
          </w:p>
        </w:tc>
      </w:tr>
    </w:tbl>
    <w:p>
      <w:pPr>
        <w:sectPr>
          <w:headerReference w:type="default" r:id="rId12"/>
          <w:headerReference w:type="first" r:id="rId13"/>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_____202_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47"/>
        <w:gridCol w:w="1017"/>
        <w:gridCol w:w="1156"/>
        <w:gridCol w:w="733"/>
        <w:gridCol w:w="1103"/>
        <w:gridCol w:w="1216"/>
        <w:gridCol w:w="1018"/>
        <w:gridCol w:w="1458"/>
        <w:gridCol w:w="864"/>
        <w:gridCol w:w="870"/>
      </w:tblGrid>
      <w:tr>
        <w:trPr>
          <w:trHeight w:val="543"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98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959"/>
        <w:gridCol w:w="6023"/>
      </w:tblGrid>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ind w:firstLine="4820"/>
        <w:jc w:val="right"/>
        <w:rPr>
          <w:sz w:val="22"/>
          <w:szCs w:val="22"/>
        </w:rPr>
      </w:pPr>
      <w:r>
        <w:rPr>
          <w:sz w:val="22"/>
          <w:szCs w:val="22"/>
        </w:rPr>
      </w:r>
    </w:p>
    <w:p>
      <w:pPr>
        <w:pStyle w:val="Normal"/>
        <w:ind w:firstLine="4820"/>
        <w:jc w:val="right"/>
        <w:rPr>
          <w:sz w:val="22"/>
          <w:szCs w:val="22"/>
        </w:rPr>
      </w:pPr>
      <w:r>
        <w:rPr/>
      </w:r>
    </w:p>
    <w:sectPr>
      <w:headerReference w:type="default" r:id="rId14"/>
      <w:headerReference w:type="first" r:id="rId15"/>
      <w:footerReference w:type="default" r:id="rId16"/>
      <w:footnotePr>
        <w:numFmt w:val="decimal"/>
      </w:footnotePr>
      <w:type w:val="nextPage"/>
      <w:pgSz w:w="11906" w:h="16838"/>
      <w:pgMar w:left="1217" w:right="706"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1"/>
    <w:lvlOverride w:ilvl="0">
      <w:startOverride w:val="1"/>
    </w:lvlOverride>
  </w:num>
  <w:num w:numId="123">
    <w:abstractNumId w:val="11"/>
  </w:num>
  <w:num w:numId="124">
    <w:abstractNumId w:val="11"/>
  </w:num>
  <w:num w:numId="125">
    <w:abstractNumId w:val="11"/>
  </w:num>
  <w:num w:numId="126">
    <w:abstractNumId w:val="11"/>
  </w:num>
  <w:num w:numId="127">
    <w:abstractNumId w:val="11"/>
  </w:num>
  <w:num w:numId="128">
    <w:abstractNumId w:val="11"/>
  </w:num>
  <w:num w:numId="129">
    <w:abstractNumId w:val="11"/>
  </w:num>
  <w:num w:numId="130">
    <w:abstractNumId w:val="11"/>
  </w:num>
  <w:num w:numId="131">
    <w:abstractNumId w:val="11"/>
  </w:num>
  <w:num w:numId="132">
    <w:abstractNumId w:val="21"/>
    <w:lvlOverride w:ilvl="0">
      <w:startOverride w:val="2"/>
    </w:lvlOverride>
    <w:lvlOverride w:ilvl="1">
      <w:startOverride w:val="3"/>
    </w:lvlOverride>
    <w:lvlOverride w:ilvl="2">
      <w:startOverride w:val="2"/>
    </w:lvlOverride>
  </w:num>
  <w:num w:numId="133">
    <w:abstractNumId w:val="11"/>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1"/>
  </w:num>
  <w:num w:numId="142">
    <w:abstractNumId w:val="11"/>
  </w:num>
  <w:num w:numId="143">
    <w:abstractNumId w:val="11"/>
  </w:num>
  <w:num w:numId="144">
    <w:abstractNumId w:val="11"/>
  </w:num>
  <w:num w:numId="145">
    <w:abstractNumId w:val="11"/>
  </w:num>
  <w:num w:numId="146">
    <w:abstractNumId w:val="11"/>
  </w:num>
  <w:num w:numId="147">
    <w:abstractNumId w:val="11"/>
  </w:num>
  <w:num w:numId="148">
    <w:abstractNumId w:val="11"/>
  </w:num>
  <w:num w:numId="149">
    <w:abstractNumId w:val="11"/>
  </w:num>
  <w:num w:numId="150">
    <w:abstractNumId w:val="11"/>
  </w:num>
  <w:num w:numId="151">
    <w:abstractNumId w:val="11"/>
  </w:num>
  <w:num w:numId="152">
    <w:abstractNumId w:val="11"/>
  </w:num>
  <w:num w:numId="153">
    <w:abstractNumId w:val="11"/>
  </w:num>
  <w:num w:numId="154">
    <w:abstractNumId w:val="11"/>
  </w:num>
  <w:num w:numId="155">
    <w:abstractNumId w:val="11"/>
  </w:num>
  <w:num w:numId="156">
    <w:abstractNumId w:val="11"/>
  </w:num>
  <w:num w:numId="157">
    <w:abstractNumId w:val="11"/>
  </w:num>
  <w:num w:numId="158">
    <w:abstractNumId w:val="11"/>
  </w:num>
  <w:num w:numId="159">
    <w:abstractNumId w:val="11"/>
  </w:num>
  <w:num w:numId="160">
    <w:abstractNumId w:val="11"/>
  </w:num>
  <w:num w:numId="161">
    <w:abstractNumId w:val="11"/>
  </w:num>
  <w:num w:numId="162">
    <w:abstractNumId w:val="11"/>
  </w:num>
  <w:num w:numId="163">
    <w:abstractNumId w:val="11"/>
  </w:num>
  <w:num w:numId="164">
    <w:abstractNumId w:val="11"/>
  </w:num>
  <w:num w:numId="165">
    <w:abstractNumId w:val="11"/>
  </w:num>
  <w:num w:numId="166">
    <w:abstractNumId w:val="11"/>
  </w:num>
  <w:num w:numId="167">
    <w:abstractNumId w:val="11"/>
  </w:num>
  <w:num w:numId="168">
    <w:abstractNumId w:val="11"/>
  </w:num>
  <w:num w:numId="169">
    <w:abstractNumId w:val="11"/>
  </w:num>
  <w:num w:numId="170">
    <w:abstractNumId w:val="11"/>
  </w:num>
  <w:num w:numId="171">
    <w:abstractNumId w:val="11"/>
  </w:num>
  <w:num w:numId="172">
    <w:abstractNumId w:val="11"/>
  </w:num>
  <w:num w:numId="173">
    <w:abstractNumId w:val="11"/>
  </w:num>
  <w:num w:numId="174">
    <w:abstractNumId w:val="11"/>
  </w:num>
  <w:num w:numId="175">
    <w:abstractNumId w:val="11"/>
  </w:num>
  <w:num w:numId="176">
    <w:abstractNumId w:val="11"/>
  </w:num>
  <w:num w:numId="177">
    <w:abstractNumId w:val="11"/>
  </w:num>
  <w:num w:numId="178">
    <w:abstractNumId w:val="11"/>
  </w:num>
  <w:num w:numId="179">
    <w:abstractNumId w:val="11"/>
  </w:num>
  <w:num w:numId="180">
    <w:abstractNumId w:val="11"/>
  </w:num>
  <w:num w:numId="181">
    <w:abstractNumId w:val="11"/>
  </w:num>
  <w:num w:numId="182">
    <w:abstractNumId w:val="11"/>
  </w:num>
  <w:num w:numId="183">
    <w:abstractNumId w:val="11"/>
  </w:num>
  <w:num w:numId="184">
    <w:abstractNumId w:val="11"/>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11"/>
  </w:num>
  <w:num w:numId="215">
    <w:abstractNumId w:val="11"/>
  </w:num>
  <w:num w:numId="216">
    <w:abstractNumId w:val="11"/>
  </w:num>
  <w:num w:numId="217">
    <w:abstractNumId w:val="11"/>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1"/>
  </w:num>
  <w:num w:numId="226">
    <w:abstractNumId w:val="11"/>
  </w:num>
  <w:num w:numId="227">
    <w:abstractNumId w:val="11"/>
  </w:num>
  <w:num w:numId="228">
    <w:abstractNumId w:val="11"/>
  </w:num>
  <w:num w:numId="229">
    <w:abstractNumId w:val="11"/>
  </w:num>
  <w:num w:numId="230">
    <w:abstractNumId w:val="11"/>
  </w:num>
  <w:num w:numId="231">
    <w:abstractNumId w:val="11"/>
  </w:num>
  <w:num w:numId="232">
    <w:abstractNumId w:val="1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character" w:styleId="Strong">
    <w:name w:val="Strong"/>
    <w:qFormat/>
    <w:rPr>
      <w:b/>
      <w:bCs/>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paragraph" w:styleId="Style31">
    <w:name w:val="Таблица шапка"/>
    <w:basedOn w:val="Normal"/>
    <w:qFormat/>
    <w:pPr>
      <w:keepNext w:val="true"/>
      <w:spacing w:before="40" w:after="40"/>
      <w:ind w:left="57" w:right="57" w:hanging="0"/>
    </w:pPr>
    <w:rPr>
      <w:sz w:val="22"/>
      <w:szCs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Application>AlterOffice/3.4.0.9$Linux_X86_64 LibreOffice_project/b8daf9e823b1a5463a2f48435ddc2e8696e7d4fc</Application>
  <AppVersion>15.0000</AppVersion>
  <Pages>20</Pages>
  <Words>6439</Words>
  <Characters>45194</Characters>
  <CharactersWithSpaces>51620</CharactersWithSpaces>
  <Paragraphs>316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azarines@corp.gidroogk.com</cp:lastModifiedBy>
  <cp:lastPrinted>2023-03-06T07:59:00Z</cp:lastPrinted>
  <dcterms:modified xsi:type="dcterms:W3CDTF">2026-06-05T16:16:04Z</dcterms:modified>
  <cp:revision>26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