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header9.xml" ContentType="application/vnd.openxmlformats-officedocument.wordprocessingml.header+xml"/>
  <Override PartName="/word/header11.xml" ContentType="application/vnd.openxmlformats-officedocument.wordprocessingml.header+xml"/>
  <Override PartName="/word/header8.xml" ContentType="application/vnd.openxmlformats-officedocument.wordprocessingml.header+xml"/>
  <Override PartName="/word/header10.xml" ContentType="application/vnd.openxmlformats-officedocument.wordprocessingml.header+xml"/>
  <Override PartName="/word/header7.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footnotes.xml" ContentType="application/vnd.openxmlformats-officedocument.wordprocessingml.footnotes+xml"/>
  <Override PartName="/word/header3.xml" ContentType="application/vnd.openxmlformats-officedocument.wordprocessingml.header+xml"/>
  <Override PartName="/word/footer1.xml" ContentType="application/vnd.openxmlformats-officedocument.wordprocessingml.footer+xml"/>
  <Override PartName="/word/styles.xml" ContentType="application/vnd.openxmlformats-officedocument.wordprocessingml.styles+xml"/>
  <Override PartName="/word/header5.xml" ContentType="application/vnd.openxmlformats-officedocument.wordprocessingml.header+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4.xml" ContentType="application/vnd.openxmlformats-officedocument.wordprocessingml.header+xml"/>
  <Override PartName="/word/document.xml" ContentType="application/vnd.openxmlformats-officedocument.wordprocessingml.document.main+xml"/>
  <Override PartName="/word/numbering.xml" ContentType="application/vnd.openxmlformats-officedocument.wordprocessingml.numbering+xml"/>
  <Override PartName="/word/header6.xml" ContentType="application/vnd.openxmlformats-officedocument.wordprocessingml.header+xml"/>
  <Override PartName="/customXml/_rels/item4.xml.rels" ContentType="application/vnd.openxmlformats-package.relationships+xml"/>
  <Override PartName="/customXml/_rels/item3.xml.rels" ContentType="application/vnd.openxmlformats-package.relationships+xml"/>
  <Override PartName="/customXml/_rels/item2.xml.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color="auto" w:fill="FFFFFF"/>
        <w:tabs>
          <w:tab w:val="clear" w:pos="708"/>
          <w:tab w:val="left" w:pos="6926" w:leader="none"/>
        </w:tabs>
        <w:ind w:firstLine="709"/>
        <w:jc w:val="right"/>
        <w:rPr>
          <w:bCs/>
          <w:sz w:val="22"/>
          <w:szCs w:val="22"/>
        </w:rPr>
      </w:pPr>
      <w:r>
        <w:rPr>
          <w:bCs/>
          <w:sz w:val="22"/>
          <w:szCs w:val="22"/>
        </w:rPr>
        <w:t xml:space="preserve">                     </w:t>
      </w:r>
    </w:p>
    <w:p>
      <w:pPr>
        <w:pStyle w:val="Normal"/>
        <w:shd w:val="clear" w:color="auto" w:fill="FFFFFF"/>
        <w:tabs>
          <w:tab w:val="clear" w:pos="708"/>
          <w:tab w:val="left" w:pos="6926" w:leader="none"/>
        </w:tabs>
        <w:jc w:val="center"/>
        <w:rPr>
          <w:b/>
          <w:bCs/>
          <w:sz w:val="24"/>
          <w:szCs w:val="24"/>
        </w:rPr>
      </w:pPr>
      <w:r>
        <w:rPr>
          <w:b/>
          <w:bCs/>
          <w:sz w:val="24"/>
          <w:szCs w:val="24"/>
        </w:rPr>
      </w:r>
    </w:p>
    <w:p>
      <w:pPr>
        <w:pStyle w:val="Normal"/>
        <w:shd w:val="clear" w:color="auto" w:fill="FFFFFF"/>
        <w:tabs>
          <w:tab w:val="clear" w:pos="708"/>
          <w:tab w:val="left" w:pos="6926" w:leader="none"/>
        </w:tabs>
        <w:jc w:val="center"/>
        <w:rPr>
          <w:b/>
          <w:bCs/>
          <w:sz w:val="24"/>
          <w:szCs w:val="24"/>
        </w:rPr>
      </w:pPr>
      <w:r>
        <w:rPr>
          <w:b/>
          <w:bCs/>
          <w:sz w:val="24"/>
          <w:szCs w:val="24"/>
        </w:rPr>
        <w:t xml:space="preserve">Договор поставки №  </w:t>
      </w:r>
      <w:r>
        <w:rPr>
          <w:b/>
          <w:bCs/>
          <w:sz w:val="24"/>
          <w:szCs w:val="24"/>
          <w:shd w:fill="FFFF00" w:val="clear"/>
        </w:rPr>
        <w:t xml:space="preserve">     </w:t>
      </w:r>
    </w:p>
    <w:p>
      <w:pPr>
        <w:pStyle w:val="Normal"/>
        <w:shd w:val="clear" w:color="auto" w:fill="FFFFFF"/>
        <w:ind w:firstLine="709"/>
        <w:rPr>
          <w:b/>
          <w:bCs/>
          <w:sz w:val="24"/>
          <w:szCs w:val="24"/>
        </w:rPr>
      </w:pPr>
      <w:r>
        <w:rPr>
          <w:b/>
          <w:bCs/>
          <w:sz w:val="24"/>
          <w:szCs w:val="24"/>
        </w:rPr>
      </w:r>
    </w:p>
    <w:p>
      <w:pPr>
        <w:pStyle w:val="Normal"/>
        <w:shd w:val="clear" w:color="auto" w:fill="FFFFFF"/>
        <w:tabs>
          <w:tab w:val="clear" w:pos="708"/>
          <w:tab w:val="right" w:pos="9639" w:leader="none"/>
        </w:tabs>
        <w:jc w:val="right"/>
        <w:rPr>
          <w:bCs/>
          <w:sz w:val="24"/>
          <w:szCs w:val="24"/>
        </w:rPr>
      </w:pPr>
      <w:r>
        <w:rPr>
          <w:bCs/>
          <w:sz w:val="24"/>
          <w:szCs w:val="24"/>
        </w:rPr>
        <w:t>г. Москва</w:t>
        <w:tab/>
        <w:t xml:space="preserve">   «    »         2026г.</w:t>
      </w:r>
    </w:p>
    <w:p>
      <w:pPr>
        <w:pStyle w:val="Normal"/>
        <w:shd w:val="clear" w:color="auto" w:fill="FFFFFF"/>
        <w:tabs>
          <w:tab w:val="clear" w:pos="708"/>
          <w:tab w:val="right" w:pos="9639" w:leader="none"/>
        </w:tabs>
        <w:ind w:firstLine="709"/>
        <w:jc w:val="right"/>
        <w:rPr>
          <w:bCs/>
          <w:sz w:val="24"/>
          <w:szCs w:val="24"/>
        </w:rPr>
      </w:pPr>
      <w:r>
        <w:rPr>
          <w:bCs/>
          <w:sz w:val="24"/>
          <w:szCs w:val="24"/>
        </w:rPr>
      </w:r>
    </w:p>
    <w:p>
      <w:pPr>
        <w:pStyle w:val="Normal"/>
        <w:shd w:val="clear" w:color="auto" w:fill="FFFFFF"/>
        <w:ind w:firstLine="709"/>
        <w:jc w:val="both"/>
        <w:rPr>
          <w:sz w:val="24"/>
          <w:szCs w:val="24"/>
          <w:lang w:val="x-none"/>
        </w:rPr>
      </w:pPr>
      <w:r>
        <w:rPr>
          <w:sz w:val="24"/>
          <w:szCs w:val="24"/>
          <w:lang w:val="x-none"/>
        </w:rPr>
        <w:t>Акционерное общество «Транспортная компания РусГидро» (АО «ТК РусГидро»), (далее - «Покупатель»), в лице Директора Центрального филиала АО «ТК РусГидро»________________ , действующего на основании_____________________ , с одной стороны, и ____________(далее – «Поставщик»), в лице ___________, действующего на основании  ________, с другой стороны, совместно в дальнейшем именуемые «Стороны», а по отдельности – «Сторона», по результатам проведенной неконкурентной процедуры по лоту № _______, заключили настоящий договор поставки (далее – «Договор») о нижеследующем::</w:t>
      </w:r>
    </w:p>
    <w:p>
      <w:pPr>
        <w:pStyle w:val="Normal"/>
        <w:shd w:val="clear" w:color="auto" w:fill="FFFFFF"/>
        <w:ind w:firstLine="709"/>
        <w:jc w:val="center"/>
        <w:rPr>
          <w:b/>
          <w:bCs/>
          <w:sz w:val="24"/>
          <w:szCs w:val="24"/>
        </w:rPr>
      </w:pPr>
      <w:r>
        <w:rPr>
          <w:b/>
          <w:bCs/>
          <w:sz w:val="24"/>
          <w:szCs w:val="24"/>
        </w:rPr>
        <w:t>Термины и определения</w:t>
      </w:r>
    </w:p>
    <w:p>
      <w:pPr>
        <w:pStyle w:val="Normal"/>
        <w:shd w:val="clear" w:color="auto" w:fill="FFFFFF"/>
        <w:ind w:firstLine="709"/>
        <w:jc w:val="both"/>
        <w:rPr>
          <w:bCs/>
          <w:sz w:val="24"/>
          <w:szCs w:val="24"/>
        </w:rPr>
      </w:pPr>
      <w:r>
        <w:rPr>
          <w:bCs/>
          <w:sz w:val="24"/>
          <w:szCs w:val="24"/>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Normal"/>
        <w:shd w:val="clear" w:color="auto" w:fill="FFFFFF"/>
        <w:tabs>
          <w:tab w:val="clear" w:pos="708"/>
          <w:tab w:val="left" w:pos="0" w:leader="none"/>
        </w:tabs>
        <w:ind w:firstLine="709"/>
        <w:jc w:val="both"/>
        <w:textAlignment w:val="baseline"/>
        <w:rPr>
          <w:sz w:val="24"/>
          <w:szCs w:val="24"/>
          <w:lang w:eastAsia="en-US"/>
        </w:rPr>
      </w:pPr>
      <w:r>
        <w:rPr>
          <w:b/>
          <w:sz w:val="24"/>
          <w:szCs w:val="24"/>
          <w:lang w:eastAsia="en-US"/>
        </w:rPr>
        <w:t>«Акт рекламации»</w:t>
      </w:r>
      <w:r>
        <w:rPr>
          <w:sz w:val="24"/>
          <w:szCs w:val="24"/>
          <w:lang w:eastAsia="en-US"/>
        </w:rPr>
        <w:t xml:space="preserve"> – документ, оформляемый по унифицированным формам </w:t>
        <w:br/>
        <w:t xml:space="preserve">№ ТОРГ-2 «Акт об установленном расхождении по количеству и качеству при приемке товарно-материальных ценностей» и № ТОРГ-3 «Акт об установленном расхождении </w:t>
        <w:br/>
        <w:t>по количеству и качеству при приемке импортных товаров», утвержденным постановлением Госкомстата РФ от 25.12.1998 № 132, подписываемый Сторонами при приемке поставленного Товара.</w:t>
      </w:r>
    </w:p>
    <w:p>
      <w:pPr>
        <w:pStyle w:val="Normal"/>
        <w:shd w:val="clear" w:color="auto" w:fill="FFFFFF"/>
        <w:tabs>
          <w:tab w:val="clear" w:pos="708"/>
          <w:tab w:val="left" w:pos="0" w:leader="none"/>
        </w:tabs>
        <w:ind w:firstLine="709"/>
        <w:jc w:val="both"/>
        <w:textAlignment w:val="baseline"/>
        <w:rPr>
          <w:sz w:val="24"/>
          <w:szCs w:val="24"/>
          <w:lang w:eastAsia="en-US"/>
        </w:rPr>
      </w:pPr>
      <w:r>
        <w:rPr>
          <w:b/>
          <w:sz w:val="24"/>
          <w:szCs w:val="24"/>
          <w:lang w:eastAsia="en-US"/>
        </w:rPr>
        <w:t xml:space="preserve"> </w:t>
      </w:r>
      <w:r>
        <w:rPr>
          <w:b/>
          <w:sz w:val="24"/>
          <w:szCs w:val="24"/>
          <w:lang w:eastAsia="en-US"/>
        </w:rPr>
        <w:t>«Договор»</w:t>
      </w:r>
      <w:r>
        <w:rPr>
          <w:sz w:val="24"/>
          <w:szCs w:val="24"/>
          <w:lang w:eastAsia="en-US"/>
        </w:rPr>
        <w:t xml:space="preserve"> – настоящий договор, подписанный Покупателем и Поставщиком, включая все приложения к нему, а также дополнительные соглашения к Договору при условии, </w:t>
        <w:br/>
        <w:t>что они заключены надлежащим образом, и из них явно следует, что они составляют часть Договора.</w:t>
      </w:r>
    </w:p>
    <w:p>
      <w:pPr>
        <w:pStyle w:val="Normal"/>
        <w:shd w:val="clear" w:color="auto" w:fill="FFFFFF"/>
        <w:tabs>
          <w:tab w:val="clear" w:pos="708"/>
          <w:tab w:val="left" w:pos="0" w:leader="none"/>
        </w:tabs>
        <w:ind w:firstLine="709"/>
        <w:jc w:val="both"/>
        <w:textAlignment w:val="baseline"/>
        <w:rPr>
          <w:sz w:val="24"/>
          <w:szCs w:val="24"/>
          <w:lang w:eastAsia="en-US"/>
        </w:rPr>
      </w:pPr>
      <w:r>
        <w:rPr>
          <w:b/>
          <w:sz w:val="24"/>
          <w:szCs w:val="24"/>
          <w:lang w:eastAsia="en-US"/>
        </w:rPr>
        <w:t>«Коммерческая тайна»</w:t>
      </w:r>
      <w:r>
        <w:rPr>
          <w:sz w:val="24"/>
          <w:szCs w:val="24"/>
          <w:lang w:eastAsia="en-US"/>
        </w:rPr>
        <w:t xml:space="preserve"> – режим конфиденциальности информации, позволяющий </w:t>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br/>
        <w:t xml:space="preserve">или получить иную коммерческую выгоду. </w:t>
      </w:r>
    </w:p>
    <w:p>
      <w:pPr>
        <w:pStyle w:val="Normal"/>
        <w:shd w:val="clear" w:color="auto" w:fill="FFFFFF"/>
        <w:tabs>
          <w:tab w:val="clear" w:pos="708"/>
          <w:tab w:val="left" w:pos="0" w:leader="none"/>
        </w:tabs>
        <w:ind w:firstLine="709"/>
        <w:jc w:val="both"/>
        <w:textAlignment w:val="baseline"/>
        <w:rPr>
          <w:b/>
          <w:sz w:val="24"/>
          <w:szCs w:val="24"/>
          <w:lang w:eastAsia="en-US"/>
        </w:rPr>
      </w:pPr>
      <w:r>
        <w:rPr>
          <w:b/>
          <w:sz w:val="24"/>
          <w:szCs w:val="24"/>
          <w:lang w:eastAsia="en-US"/>
        </w:rPr>
        <w:t xml:space="preserve">«Накладная ТОРГ-12» </w:t>
      </w:r>
      <w:r>
        <w:rPr>
          <w:sz w:val="24"/>
          <w:szCs w:val="24"/>
          <w:lang w:eastAsia="en-US"/>
        </w:rPr>
        <w:t>–</w:t>
      </w:r>
      <w:r>
        <w:rPr>
          <w:b/>
          <w:sz w:val="24"/>
          <w:szCs w:val="24"/>
          <w:lang w:eastAsia="en-US"/>
        </w:rPr>
        <w:t xml:space="preserve"> </w:t>
      </w:r>
      <w:r>
        <w:rPr>
          <w:sz w:val="24"/>
          <w:szCs w:val="24"/>
          <w:lang w:eastAsia="en-US"/>
        </w:rPr>
        <w:t xml:space="preserve">документ, оформляемый по унифицированной форме </w:t>
        <w:br/>
        <w:t xml:space="preserve">№ ТОРГ-12 «Товарная накладная», утвержденной постановлением Госкомстата РФ </w:t>
        <w:br/>
        <w:t>от 25.12.1998 № 132, подписываемый Сторонами после завершения приемки Товара по количеству, качеству и комплектности.</w:t>
      </w:r>
    </w:p>
    <w:p>
      <w:pPr>
        <w:pStyle w:val="Normal"/>
        <w:shd w:val="clear" w:color="auto" w:fill="FFFFFF"/>
        <w:tabs>
          <w:tab w:val="clear" w:pos="708"/>
          <w:tab w:val="left" w:pos="0" w:leader="none"/>
        </w:tabs>
        <w:ind w:firstLine="709"/>
        <w:jc w:val="both"/>
        <w:textAlignment w:val="baseline"/>
        <w:rPr>
          <w:sz w:val="24"/>
          <w:szCs w:val="24"/>
          <w:lang w:eastAsia="en-US"/>
        </w:rPr>
      </w:pPr>
      <w:r>
        <w:rPr>
          <w:b/>
          <w:sz w:val="24"/>
          <w:szCs w:val="24"/>
          <w:lang w:eastAsia="en-US"/>
        </w:rPr>
        <w:t xml:space="preserve">«Отказ от Договора» </w:t>
      </w:r>
      <w:r>
        <w:rPr>
          <w:sz w:val="24"/>
          <w:szCs w:val="24"/>
          <w:lang w:eastAsia="en-US"/>
        </w:rPr>
        <w:t xml:space="preserve">– односторонний внесудебный отказ от исполнения Договора, совершенный Стороной в соответствии со статьей 450.1 ГК РФ в случаях, установленных Договором. </w:t>
      </w:r>
    </w:p>
    <w:p>
      <w:pPr>
        <w:pStyle w:val="Normal"/>
        <w:keepLines/>
        <w:numPr>
          <w:ilvl w:val="0"/>
          <w:numId w:val="0"/>
        </w:numPr>
        <w:tabs>
          <w:tab w:val="clear" w:pos="708"/>
          <w:tab w:val="left" w:pos="0" w:leader="none"/>
        </w:tabs>
        <w:ind w:left="0" w:firstLine="709"/>
        <w:jc w:val="both"/>
        <w:textAlignment w:val="baseline"/>
        <w:outlineLvl w:val="2"/>
        <w:rPr>
          <w:bCs/>
          <w:sz w:val="24"/>
          <w:szCs w:val="24"/>
          <w:lang w:eastAsia="en-US"/>
        </w:rPr>
      </w:pPr>
      <w:r>
        <w:rPr>
          <w:b/>
          <w:bCs/>
          <w:sz w:val="24"/>
          <w:szCs w:val="24"/>
          <w:lang w:val="x-none" w:eastAsia="en-US"/>
        </w:rPr>
        <w:t xml:space="preserve">«Партия Товара» </w:t>
      </w:r>
      <w:r>
        <w:rPr>
          <w:bCs/>
          <w:sz w:val="24"/>
          <w:szCs w:val="24"/>
          <w:lang w:val="x-none" w:eastAsia="en-US"/>
        </w:rPr>
        <w:t xml:space="preserve">– часть Товара, единовременно поставляемая Покупателю Поставщиком, </w:t>
      </w:r>
      <w:r>
        <w:rPr>
          <w:bCs/>
          <w:sz w:val="24"/>
          <w:szCs w:val="24"/>
          <w:lang w:eastAsia="en-US"/>
        </w:rPr>
        <w:t>характеристики</w:t>
      </w:r>
      <w:r>
        <w:rPr>
          <w:bCs/>
          <w:sz w:val="24"/>
          <w:szCs w:val="24"/>
          <w:lang w:val="x-none" w:eastAsia="en-US"/>
        </w:rPr>
        <w:t xml:space="preserve"> которой определя</w:t>
      </w:r>
      <w:r>
        <w:rPr>
          <w:bCs/>
          <w:sz w:val="24"/>
          <w:szCs w:val="24"/>
          <w:lang w:eastAsia="en-US"/>
        </w:rPr>
        <w:t>ю</w:t>
      </w:r>
      <w:r>
        <w:rPr>
          <w:bCs/>
          <w:sz w:val="24"/>
          <w:szCs w:val="24"/>
          <w:lang w:val="x-none" w:eastAsia="en-US"/>
        </w:rPr>
        <w:t xml:space="preserve">тся </w:t>
      </w:r>
      <w:r>
        <w:rPr>
          <w:bCs/>
          <w:sz w:val="24"/>
          <w:szCs w:val="24"/>
          <w:lang w:eastAsia="en-US"/>
        </w:rPr>
        <w:t xml:space="preserve">Заявкой Покупателя в соответствии со </w:t>
      </w:r>
      <w:r>
        <w:rPr>
          <w:bCs/>
          <w:sz w:val="24"/>
          <w:szCs w:val="24"/>
          <w:lang w:val="x-none" w:eastAsia="en-US"/>
        </w:rPr>
        <w:t>Спецификацией, являющейся приложением к Договору.</w:t>
      </w:r>
    </w:p>
    <w:p>
      <w:pPr>
        <w:pStyle w:val="Normal"/>
        <w:keepLines/>
        <w:numPr>
          <w:ilvl w:val="0"/>
          <w:numId w:val="0"/>
        </w:numPr>
        <w:tabs>
          <w:tab w:val="clear" w:pos="708"/>
          <w:tab w:val="left" w:pos="0" w:leader="none"/>
        </w:tabs>
        <w:ind w:left="0" w:firstLine="709"/>
        <w:jc w:val="both"/>
        <w:textAlignment w:val="baseline"/>
        <w:outlineLvl w:val="2"/>
        <w:rPr>
          <w:bCs/>
          <w:sz w:val="24"/>
          <w:szCs w:val="24"/>
          <w:lang w:eastAsia="en-US"/>
        </w:rPr>
      </w:pPr>
      <w:r>
        <w:rPr>
          <w:b/>
          <w:bCs/>
          <w:sz w:val="24"/>
          <w:szCs w:val="24"/>
          <w:lang w:eastAsia="en-US"/>
        </w:rPr>
        <w:t>«Применимое право»</w:t>
      </w:r>
      <w:r>
        <w:rPr>
          <w:bCs/>
          <w:sz w:val="24"/>
          <w:szCs w:val="24"/>
          <w:lang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Товару.</w:t>
      </w:r>
    </w:p>
    <w:p>
      <w:pPr>
        <w:sectPr>
          <w:headerReference w:type="default" r:id="rId2"/>
          <w:type w:val="nextPage"/>
          <w:pgSz w:w="11906" w:h="16838"/>
          <w:pgMar w:left="1134" w:right="851" w:gutter="0" w:header="680" w:top="1134" w:footer="0" w:bottom="992"/>
          <w:pgNumType w:fmt="decimal"/>
          <w:formProt w:val="false"/>
          <w:textDirection w:val="lrTb"/>
          <w:docGrid w:type="default" w:linePitch="381" w:charSpace="16384"/>
        </w:sectPr>
        <w:pStyle w:val="Normal"/>
        <w:ind w:firstLine="709"/>
        <w:jc w:val="both"/>
        <w:rPr>
          <w:sz w:val="24"/>
          <w:szCs w:val="24"/>
          <w:lang w:eastAsia="en-US"/>
        </w:rPr>
      </w:pPr>
      <w:r>
        <w:rPr>
          <w:b/>
          <w:sz w:val="24"/>
          <w:szCs w:val="24"/>
          <w:lang w:eastAsia="en-US"/>
        </w:rPr>
        <w:t>«Рабочий день»</w:t>
      </w:r>
      <w:r>
        <w:rPr>
          <w:sz w:val="24"/>
          <w:szCs w:val="24"/>
          <w:lang w:eastAsia="en-US"/>
        </w:rPr>
        <w:t xml:space="preserve"> – день, который в соответствии с Применимым правом, является </w:t>
      </w:r>
    </w:p>
    <w:p>
      <w:pPr>
        <w:pStyle w:val="Normal"/>
        <w:ind w:firstLine="709"/>
        <w:jc w:val="both"/>
        <w:rPr>
          <w:sz w:val="24"/>
          <w:szCs w:val="24"/>
          <w:lang w:eastAsia="en-US"/>
        </w:rPr>
      </w:pPr>
      <w:r>
        <w:rPr>
          <w:sz w:val="24"/>
          <w:szCs w:val="24"/>
          <w:lang w:eastAsia="en-US"/>
        </w:rPr>
        <w:t>рабочим днем в Российской Федерации.</w:t>
      </w:r>
    </w:p>
    <w:p>
      <w:pPr>
        <w:pStyle w:val="Normal"/>
        <w:keepLines/>
        <w:numPr>
          <w:ilvl w:val="0"/>
          <w:numId w:val="0"/>
        </w:numPr>
        <w:tabs>
          <w:tab w:val="clear" w:pos="708"/>
          <w:tab w:val="left" w:pos="0" w:leader="none"/>
        </w:tabs>
        <w:ind w:left="0" w:firstLine="709"/>
        <w:jc w:val="both"/>
        <w:textAlignment w:val="baseline"/>
        <w:outlineLvl w:val="2"/>
        <w:rPr>
          <w:bCs/>
          <w:sz w:val="24"/>
          <w:szCs w:val="24"/>
          <w:lang w:eastAsia="en-US"/>
        </w:rPr>
      </w:pPr>
      <w:r>
        <w:rPr>
          <w:b/>
          <w:bCs/>
          <w:sz w:val="24"/>
          <w:szCs w:val="24"/>
          <w:lang w:eastAsia="en-US"/>
        </w:rPr>
        <w:t>«Цена Договора»</w:t>
      </w:r>
      <w:r>
        <w:rPr>
          <w:bCs/>
          <w:sz w:val="24"/>
          <w:szCs w:val="24"/>
          <w:lang w:eastAsia="en-US"/>
        </w:rPr>
        <w:t xml:space="preserve"> – определяемая в соответствии с разделом 2 Договора сумма, которую Покупатель обязуется уплатить Поставщику в порядке и на условиях, установленных Договором, включающая компенсацию всех издержек Поставщика и причитающееся ему вознаграждение, а также инфляционные риски на весь период действия Договора. </w:t>
      </w:r>
    </w:p>
    <w:p>
      <w:pPr>
        <w:pStyle w:val="Normal"/>
        <w:shd w:val="clear" w:color="auto" w:fill="FFFFFF"/>
        <w:ind w:firstLine="709"/>
        <w:jc w:val="center"/>
        <w:rPr>
          <w:bCs/>
          <w:sz w:val="24"/>
          <w:szCs w:val="24"/>
        </w:rPr>
      </w:pPr>
      <w:r>
        <w:rPr>
          <w:bCs/>
          <w:sz w:val="24"/>
          <w:szCs w:val="24"/>
        </w:rPr>
      </w:r>
    </w:p>
    <w:p>
      <w:pPr>
        <w:pStyle w:val="Normal"/>
        <w:widowControl/>
        <w:numPr>
          <w:ilvl w:val="0"/>
          <w:numId w:val="122"/>
        </w:numPr>
        <w:shd w:val="clear" w:color="auto" w:fill="FFFFFF"/>
        <w:tabs>
          <w:tab w:val="clear" w:pos="708"/>
          <w:tab w:val="left" w:pos="284" w:leader="none"/>
        </w:tabs>
        <w:ind w:left="0" w:hanging="0"/>
        <w:jc w:val="center"/>
        <w:rPr>
          <w:b/>
          <w:bCs/>
          <w:sz w:val="24"/>
          <w:szCs w:val="24"/>
        </w:rPr>
      </w:pPr>
      <w:r>
        <w:rPr>
          <w:b/>
          <w:bCs/>
          <w:sz w:val="24"/>
          <w:szCs w:val="24"/>
        </w:rPr>
        <w:t>Предмет Договора</w:t>
      </w:r>
    </w:p>
    <w:p>
      <w:pPr>
        <w:pStyle w:val="Normal"/>
        <w:widowControl/>
        <w:numPr>
          <w:ilvl w:val="1"/>
          <w:numId w:val="123"/>
        </w:numPr>
        <w:shd w:val="clear" w:color="auto" w:fill="FFFFFF"/>
        <w:tabs>
          <w:tab w:val="clear" w:pos="708"/>
          <w:tab w:val="left" w:pos="1134" w:leader="none"/>
        </w:tabs>
        <w:ind w:left="0" w:firstLine="709"/>
        <w:jc w:val="both"/>
        <w:rPr>
          <w:sz w:val="24"/>
          <w:szCs w:val="24"/>
        </w:rPr>
      </w:pPr>
      <w:r>
        <w:rPr>
          <w:bCs/>
          <w:sz w:val="24"/>
          <w:szCs w:val="24"/>
        </w:rPr>
        <w:t>Поставщик обязуется в порядке и сроки, установленные Договором, передать в собственность Покупателю _________________________________</w:t>
      </w:r>
      <w:r>
        <w:rPr>
          <w:rFonts w:eastAsia="Calibri"/>
          <w:bCs/>
          <w:color w:val="000000"/>
          <w:sz w:val="24"/>
          <w:szCs w:val="24"/>
          <w:lang w:eastAsia="en-US"/>
        </w:rPr>
        <w:t xml:space="preserve"> </w:t>
      </w:r>
      <w:r>
        <w:rPr>
          <w:rFonts w:eastAsia="Calibri"/>
          <w:color w:val="000000"/>
          <w:sz w:val="24"/>
          <w:szCs w:val="24"/>
          <w:lang w:eastAsia="en-US"/>
        </w:rPr>
        <w:t xml:space="preserve"> </w:t>
      </w:r>
      <w:r>
        <w:rPr>
          <w:bCs/>
          <w:sz w:val="24"/>
          <w:szCs w:val="24"/>
        </w:rPr>
        <w:t>(далее – «Товар») в соответствии со Спецификацией (Приложение № 1 к Договору), а Покупатель обязуется принять Товар и уплатить Цену Договора.</w:t>
      </w:r>
    </w:p>
    <w:p>
      <w:pPr>
        <w:pStyle w:val="Normal"/>
        <w:widowControl/>
        <w:numPr>
          <w:ilvl w:val="1"/>
          <w:numId w:val="124"/>
        </w:numPr>
        <w:shd w:val="clear" w:color="auto" w:fill="FFFFFF"/>
        <w:tabs>
          <w:tab w:val="clear" w:pos="708"/>
          <w:tab w:val="left" w:pos="1134" w:leader="none"/>
        </w:tabs>
        <w:ind w:left="0" w:firstLine="709"/>
        <w:jc w:val="both"/>
        <w:rPr>
          <w:sz w:val="24"/>
          <w:szCs w:val="24"/>
        </w:rPr>
      </w:pPr>
      <w:r>
        <w:rPr>
          <w:sz w:val="24"/>
          <w:szCs w:val="24"/>
        </w:rPr>
        <w:t xml:space="preserve">Наименование, ассортимент и количество Товара (партий Товара), а также сроки и место его поставки указываются в заявке Покупателя, оформляемой в соответствии со Спецификацией </w:t>
      </w:r>
      <w:r>
        <w:rPr>
          <w:bCs/>
          <w:sz w:val="24"/>
          <w:szCs w:val="24"/>
        </w:rPr>
        <w:t>(Приложение № 1 к Договору)</w:t>
      </w:r>
      <w:r>
        <w:rPr>
          <w:sz w:val="24"/>
          <w:szCs w:val="24"/>
        </w:rPr>
        <w:t xml:space="preserve"> по форме согласно Приложению № 2 к Договору (далее – «Заявка») и направляемой Продавцу в порядке и сроки, установленные пунктом 3.1 Договора. </w:t>
      </w:r>
    </w:p>
    <w:p>
      <w:pPr>
        <w:pStyle w:val="Normal"/>
        <w:widowControl/>
        <w:numPr>
          <w:ilvl w:val="1"/>
          <w:numId w:val="125"/>
        </w:numPr>
        <w:shd w:val="clear" w:color="auto" w:fill="FFFFFF"/>
        <w:tabs>
          <w:tab w:val="clear" w:pos="708"/>
          <w:tab w:val="left" w:pos="0" w:leader="none"/>
          <w:tab w:val="left" w:pos="1134" w:leader="none"/>
        </w:tabs>
        <w:ind w:left="0" w:firstLine="709"/>
        <w:jc w:val="both"/>
        <w:rPr>
          <w:bCs/>
          <w:sz w:val="24"/>
          <w:szCs w:val="24"/>
        </w:rPr>
      </w:pPr>
      <w:r>
        <w:rPr>
          <w:bCs/>
          <w:sz w:val="24"/>
          <w:szCs w:val="24"/>
        </w:rPr>
        <w:t>Поставка Товара по Договору осуществляется для нужд Загорского строительного участка Центрального филиала АО «ТК РусГидро».</w:t>
      </w:r>
    </w:p>
    <w:p>
      <w:pPr>
        <w:pStyle w:val="Normal"/>
        <w:widowControl/>
        <w:numPr>
          <w:ilvl w:val="1"/>
          <w:numId w:val="126"/>
        </w:numPr>
        <w:tabs>
          <w:tab w:val="clear" w:pos="708"/>
          <w:tab w:val="left" w:pos="0" w:leader="none"/>
          <w:tab w:val="left" w:pos="540" w:leader="none"/>
          <w:tab w:val="left" w:pos="1134" w:leader="none"/>
        </w:tabs>
        <w:ind w:left="0" w:firstLine="709"/>
        <w:jc w:val="both"/>
        <w:rPr>
          <w:highlight w:val="none"/>
          <w:shd w:fill="auto" w:val="clear"/>
        </w:rPr>
      </w:pPr>
      <w:r>
        <w:rPr>
          <w:b w:val="false"/>
          <w:i w:val="false"/>
          <w:strike w:val="false"/>
          <w:dstrike w:val="false"/>
          <w:outline w:val="false"/>
          <w:shadow w:val="false"/>
          <w:color w:val="000000"/>
          <w:spacing w:val="0"/>
          <w:kern w:val="0"/>
          <w:sz w:val="24"/>
          <w:szCs w:val="24"/>
          <w:u w:val="none"/>
          <w:shd w:fill="auto" w:val="clear"/>
          <w:em w:val="none"/>
        </w:rPr>
        <w:t>Общий срок поставки Товара:</w:t>
      </w:r>
    </w:p>
    <w:p>
      <w:pPr>
        <w:pStyle w:val="Normal"/>
        <w:widowControl/>
        <w:shd w:val="clear" w:color="auto" w:fill="FFFFFF"/>
        <w:tabs>
          <w:tab w:val="clear" w:pos="708"/>
          <w:tab w:val="left" w:pos="0" w:leader="none"/>
          <w:tab w:val="left" w:pos="540" w:leader="none"/>
          <w:tab w:val="left" w:pos="1134" w:leader="none"/>
        </w:tabs>
        <w:jc w:val="both"/>
        <w:rPr>
          <w:sz w:val="24"/>
          <w:szCs w:val="24"/>
        </w:rPr>
      </w:pPr>
      <w:r>
        <w:rPr>
          <w:bCs/>
          <w:sz w:val="24"/>
          <w:szCs w:val="24"/>
        </w:rPr>
        <w:t>1.4.1. Начало: с даты оплаты аванса.</w:t>
      </w:r>
    </w:p>
    <w:p>
      <w:pPr>
        <w:pStyle w:val="Normal"/>
        <w:widowControl/>
        <w:shd w:val="clear" w:color="auto" w:fill="FFFFFF"/>
        <w:tabs>
          <w:tab w:val="clear" w:pos="708"/>
          <w:tab w:val="left" w:pos="0" w:leader="none"/>
          <w:tab w:val="left" w:pos="540" w:leader="none"/>
          <w:tab w:val="left" w:pos="1134" w:leader="none"/>
        </w:tabs>
        <w:jc w:val="both"/>
        <w:rPr>
          <w:sz w:val="24"/>
          <w:szCs w:val="24"/>
        </w:rPr>
      </w:pPr>
      <w:r>
        <w:rPr>
          <w:bCs/>
          <w:sz w:val="24"/>
          <w:szCs w:val="24"/>
        </w:rPr>
        <w:t>1.4.2 Окончание: по истечению 12(двенадцати ) месяцев.</w:t>
      </w:r>
    </w:p>
    <w:p>
      <w:pPr>
        <w:pStyle w:val="Normal"/>
        <w:widowControl/>
        <w:numPr>
          <w:ilvl w:val="0"/>
          <w:numId w:val="0"/>
        </w:numPr>
        <w:shd w:val="clear" w:color="auto" w:fill="FFFFFF"/>
        <w:tabs>
          <w:tab w:val="clear" w:pos="708"/>
          <w:tab w:val="left" w:pos="0" w:leader="none"/>
          <w:tab w:val="left" w:pos="540" w:leader="none"/>
          <w:tab w:val="left" w:pos="1134" w:leader="none"/>
        </w:tabs>
        <w:ind w:left="0" w:hanging="0"/>
        <w:jc w:val="both"/>
        <w:rPr>
          <w:bCs/>
          <w:sz w:val="24"/>
          <w:szCs w:val="24"/>
        </w:rPr>
      </w:pPr>
      <w:r>
        <w:rPr>
          <w:bCs/>
          <w:sz w:val="24"/>
          <w:szCs w:val="24"/>
        </w:rPr>
      </w:r>
    </w:p>
    <w:p>
      <w:pPr>
        <w:pStyle w:val="Normal"/>
        <w:shd w:val="clear" w:color="auto" w:fill="FFFFFF"/>
        <w:tabs>
          <w:tab w:val="clear" w:pos="708"/>
          <w:tab w:val="left" w:pos="540" w:leader="none"/>
        </w:tabs>
        <w:ind w:firstLine="709"/>
        <w:jc w:val="both"/>
        <w:rPr>
          <w:sz w:val="24"/>
          <w:szCs w:val="24"/>
        </w:rPr>
      </w:pPr>
      <w:r>
        <w:rPr>
          <w:sz w:val="24"/>
          <w:szCs w:val="24"/>
        </w:rPr>
      </w:r>
    </w:p>
    <w:p>
      <w:pPr>
        <w:pStyle w:val="Normal"/>
        <w:widowControl/>
        <w:numPr>
          <w:ilvl w:val="0"/>
          <w:numId w:val="127"/>
        </w:numPr>
        <w:shd w:val="clear" w:color="auto" w:fill="FFFFFF"/>
        <w:tabs>
          <w:tab w:val="clear" w:pos="708"/>
          <w:tab w:val="left" w:pos="284" w:leader="none"/>
        </w:tabs>
        <w:ind w:left="0" w:hanging="0"/>
        <w:jc w:val="center"/>
        <w:rPr>
          <w:b/>
          <w:bCs/>
          <w:sz w:val="24"/>
          <w:szCs w:val="24"/>
        </w:rPr>
      </w:pPr>
      <w:r>
        <w:rPr>
          <w:b/>
          <w:bCs/>
          <w:sz w:val="24"/>
          <w:szCs w:val="24"/>
        </w:rPr>
        <w:t>Цена Договора и порядок расчетов</w:t>
      </w:r>
    </w:p>
    <w:p>
      <w:pPr>
        <w:pStyle w:val="Normal"/>
        <w:widowControl/>
        <w:numPr>
          <w:ilvl w:val="1"/>
          <w:numId w:val="128"/>
        </w:numPr>
        <w:shd w:val="clear" w:color="auto" w:fill="FFFFFF"/>
        <w:tabs>
          <w:tab w:val="clear" w:pos="708"/>
          <w:tab w:val="left" w:pos="0" w:leader="none"/>
          <w:tab w:val="left" w:pos="1134" w:leader="none"/>
        </w:tabs>
        <w:ind w:left="284" w:firstLine="425"/>
        <w:jc w:val="both"/>
        <w:rPr>
          <w:sz w:val="24"/>
          <w:szCs w:val="24"/>
        </w:rPr>
      </w:pPr>
      <w:r>
        <w:rPr>
          <w:sz w:val="24"/>
          <w:szCs w:val="24"/>
        </w:rPr>
        <w:t xml:space="preserve">Цена Договора </w:t>
      </w:r>
      <w:r>
        <w:rPr>
          <w:bCs/>
          <w:sz w:val="24"/>
          <w:szCs w:val="24"/>
        </w:rPr>
        <w:t xml:space="preserve">является предельной </w:t>
      </w:r>
      <w:r>
        <w:rPr>
          <w:sz w:val="24"/>
          <w:szCs w:val="24"/>
        </w:rPr>
        <w:t xml:space="preserve"> </w:t>
      </w:r>
      <w:r>
        <w:rPr>
          <w:bCs/>
          <w:sz w:val="24"/>
          <w:szCs w:val="24"/>
        </w:rPr>
        <w:t>и составляет</w:t>
      </w:r>
      <w:r>
        <w:rPr>
          <w:sz w:val="24"/>
          <w:szCs w:val="24"/>
        </w:rPr>
        <w:t xml:space="preserve"> ________</w:t>
      </w:r>
      <w:r>
        <w:rPr>
          <w:bCs/>
          <w:sz w:val="24"/>
          <w:szCs w:val="24"/>
        </w:rPr>
        <w:t xml:space="preserve"> рубля ____копеек без учета НДС, при этом НДС исчисляется дополнительно по ставке, установленной ст. 164 Налогового Кодекса РФ. </w:t>
      </w:r>
    </w:p>
    <w:p>
      <w:pPr>
        <w:pStyle w:val="Normal"/>
        <w:widowControl/>
        <w:numPr>
          <w:ilvl w:val="1"/>
          <w:numId w:val="129"/>
        </w:numPr>
        <w:shd w:val="clear" w:color="auto" w:fill="FFFFFF"/>
        <w:tabs>
          <w:tab w:val="clear" w:pos="708"/>
          <w:tab w:val="left" w:pos="0" w:leader="none"/>
          <w:tab w:val="left" w:pos="1134" w:leader="none"/>
        </w:tabs>
        <w:ind w:left="0" w:firstLine="709"/>
        <w:jc w:val="both"/>
        <w:rPr>
          <w:sz w:val="24"/>
          <w:szCs w:val="24"/>
        </w:rPr>
      </w:pPr>
      <w:r>
        <w:rPr>
          <w:bCs/>
          <w:sz w:val="24"/>
          <w:szCs w:val="24"/>
        </w:rPr>
        <w:t xml:space="preserve">Цена за единицу Товара определяется в соответствии со Спецификацией (Приложение № 1 к Договору) и является фиксированной в течение всего срока действия Договора. </w:t>
      </w:r>
      <w:r>
        <w:rPr>
          <w:sz w:val="24"/>
          <w:szCs w:val="24"/>
        </w:rPr>
        <w:t>Общая стоимость Товара (всех партий Товара), указанного в Заявках, оформленных Покупателем в течение срока действия Договора, не может превышать Цену Договора, указанную в пункте 2.1 Договора.</w:t>
      </w:r>
    </w:p>
    <w:p>
      <w:pPr>
        <w:pStyle w:val="Normal"/>
        <w:widowControl/>
        <w:numPr>
          <w:ilvl w:val="1"/>
          <w:numId w:val="130"/>
        </w:numPr>
        <w:shd w:val="clear" w:color="auto" w:fill="FFFFFF"/>
        <w:tabs>
          <w:tab w:val="clear" w:pos="708"/>
          <w:tab w:val="left" w:pos="1134" w:leader="none"/>
        </w:tabs>
        <w:ind w:left="0" w:firstLine="709"/>
        <w:jc w:val="both"/>
        <w:rPr>
          <w:bCs/>
          <w:sz w:val="24"/>
          <w:szCs w:val="24"/>
        </w:rPr>
      </w:pPr>
      <w:r>
        <w:rPr>
          <w:bCs/>
          <w:sz w:val="24"/>
          <w:szCs w:val="24"/>
        </w:rPr>
        <w:t xml:space="preserve">Цена Договора включает в себя прибыль Поставщика, а также все расходы и затраты Поставщика на: </w:t>
      </w:r>
    </w:p>
    <w:p>
      <w:pPr>
        <w:pStyle w:val="Normal"/>
        <w:widowControl/>
        <w:numPr>
          <w:ilvl w:val="2"/>
          <w:numId w:val="131"/>
        </w:numPr>
        <w:shd w:val="clear" w:color="auto" w:fill="FFFFFF"/>
        <w:tabs>
          <w:tab w:val="clear" w:pos="708"/>
          <w:tab w:val="left" w:pos="1418" w:leader="none"/>
        </w:tabs>
        <w:ind w:left="0" w:firstLine="709"/>
        <w:jc w:val="both"/>
        <w:rPr>
          <w:bCs/>
          <w:sz w:val="24"/>
          <w:szCs w:val="24"/>
        </w:rPr>
      </w:pPr>
      <w:r>
        <w:rPr>
          <w:bCs/>
          <w:sz w:val="24"/>
          <w:szCs w:val="24"/>
        </w:rPr>
        <w:t>Приобретение Товара;</w:t>
      </w:r>
    </w:p>
    <w:p>
      <w:pPr>
        <w:pStyle w:val="Normal"/>
        <w:widowControl/>
        <w:numPr>
          <w:ilvl w:val="2"/>
          <w:numId w:val="132"/>
        </w:numPr>
        <w:shd w:val="clear" w:color="auto" w:fill="FFFFFF"/>
        <w:tabs>
          <w:tab w:val="clear" w:pos="708"/>
          <w:tab w:val="left" w:pos="1418" w:leader="none"/>
        </w:tabs>
        <w:spacing w:before="0" w:after="0"/>
        <w:ind w:left="0" w:firstLine="709"/>
        <w:contextualSpacing/>
        <w:jc w:val="both"/>
        <w:rPr>
          <w:bCs/>
          <w:sz w:val="24"/>
          <w:szCs w:val="24"/>
        </w:rPr>
      </w:pPr>
      <w:r>
        <w:rPr>
          <w:bCs/>
          <w:sz w:val="24"/>
          <w:szCs w:val="24"/>
        </w:rPr>
        <w:t xml:space="preserve">Транспортировку Товара до места поставки, погрузку, разгрузку, стоимость тары и упаковки, лицензий, необходимых для использования Товара (если применимо); </w:t>
      </w:r>
    </w:p>
    <w:p>
      <w:pPr>
        <w:pStyle w:val="Normal"/>
        <w:widowControl/>
        <w:numPr>
          <w:ilvl w:val="2"/>
          <w:numId w:val="133"/>
        </w:numPr>
        <w:shd w:val="clear" w:color="auto" w:fill="FFFFFF"/>
        <w:tabs>
          <w:tab w:val="clear" w:pos="708"/>
          <w:tab w:val="left" w:pos="1418" w:leader="none"/>
        </w:tabs>
        <w:ind w:left="0" w:firstLine="709"/>
        <w:jc w:val="both"/>
        <w:rPr>
          <w:bCs/>
          <w:sz w:val="24"/>
          <w:szCs w:val="24"/>
        </w:rPr>
      </w:pPr>
      <w:r>
        <w:rPr>
          <w:bCs/>
          <w:sz w:val="24"/>
          <w:szCs w:val="24"/>
        </w:rPr>
        <w:t>Подлежащие уплате налоги, сборы и пошлины (в том числе по таможенному оформлению Товара, если применимо)</w:t>
      </w:r>
      <w:r>
        <w:rPr>
          <w:bCs/>
          <w:sz w:val="24"/>
          <w:szCs w:val="24"/>
          <w:lang w:val="en-US"/>
        </w:rPr>
        <w:t>;</w:t>
      </w:r>
    </w:p>
    <w:p>
      <w:pPr>
        <w:pStyle w:val="Normal"/>
        <w:widowControl/>
        <w:numPr>
          <w:ilvl w:val="2"/>
          <w:numId w:val="134"/>
        </w:numPr>
        <w:shd w:val="clear" w:color="auto" w:fill="FFFFFF"/>
        <w:tabs>
          <w:tab w:val="clear" w:pos="708"/>
          <w:tab w:val="left" w:pos="1418" w:leader="none"/>
        </w:tabs>
        <w:ind w:left="0" w:firstLine="709"/>
        <w:jc w:val="both"/>
        <w:rPr>
          <w:bCs/>
          <w:sz w:val="24"/>
          <w:szCs w:val="24"/>
        </w:rPr>
      </w:pPr>
      <w:r>
        <w:rPr>
          <w:bCs/>
          <w:sz w:val="24"/>
          <w:szCs w:val="24"/>
        </w:rPr>
        <w:t xml:space="preserve">Заработную плату, накладные и командировочные расходы, перемещение персонала Поставщика; </w:t>
      </w:r>
    </w:p>
    <w:p>
      <w:pPr>
        <w:pStyle w:val="Normal"/>
        <w:widowControl/>
        <w:numPr>
          <w:ilvl w:val="2"/>
          <w:numId w:val="135"/>
        </w:numPr>
        <w:shd w:val="clear" w:color="auto" w:fill="FFFFFF"/>
        <w:tabs>
          <w:tab w:val="clear" w:pos="708"/>
          <w:tab w:val="left" w:pos="1418" w:leader="none"/>
        </w:tabs>
        <w:ind w:left="0" w:firstLine="709"/>
        <w:jc w:val="both"/>
        <w:rPr>
          <w:bCs/>
          <w:sz w:val="24"/>
          <w:szCs w:val="24"/>
        </w:rPr>
      </w:pPr>
      <w:r>
        <w:rPr>
          <w:bCs/>
          <w:sz w:val="24"/>
          <w:szCs w:val="24"/>
        </w:rPr>
        <w:t xml:space="preserve">Все прочие затраты и расходы Поставщика, связанные с поставкой Товара и исполнением иных обязательств по Договору, а также все непредвиденные расходы, которые могут возникнуть у Поставщика в течение срока действия Договора. </w:t>
      </w:r>
    </w:p>
    <w:p>
      <w:pPr>
        <w:pStyle w:val="Normal"/>
        <w:widowControl/>
        <w:numPr>
          <w:ilvl w:val="1"/>
          <w:numId w:val="136"/>
        </w:numPr>
        <w:shd w:val="clear" w:color="auto" w:fill="FFFFFF"/>
        <w:tabs>
          <w:tab w:val="clear" w:pos="708"/>
          <w:tab w:val="left" w:pos="568" w:leader="none"/>
          <w:tab w:val="left" w:pos="1134" w:leader="none"/>
        </w:tabs>
        <w:ind w:left="0" w:firstLine="709"/>
        <w:jc w:val="both"/>
        <w:rPr>
          <w:sz w:val="24"/>
          <w:szCs w:val="24"/>
        </w:rPr>
      </w:pPr>
      <w:r>
        <w:rPr>
          <w:sz w:val="24"/>
          <w:szCs w:val="24"/>
        </w:rPr>
        <w:t>Изменение стоимости Товара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Normal"/>
        <w:widowControl/>
        <w:numPr>
          <w:ilvl w:val="1"/>
          <w:numId w:val="137"/>
        </w:numPr>
        <w:shd w:val="clear" w:color="auto" w:fill="FFFFFF"/>
        <w:tabs>
          <w:tab w:val="clear" w:pos="708"/>
          <w:tab w:val="left" w:pos="568" w:leader="none"/>
          <w:tab w:val="left" w:pos="1134" w:leader="none"/>
        </w:tabs>
        <w:ind w:left="0" w:firstLine="709"/>
        <w:jc w:val="both"/>
        <w:rPr>
          <w:sz w:val="24"/>
          <w:szCs w:val="24"/>
        </w:rPr>
      </w:pPr>
      <w:bookmarkStart w:id="0" w:name="_Ref361858588"/>
      <w:r>
        <w:rPr>
          <w:sz w:val="24"/>
          <w:szCs w:val="24"/>
        </w:rPr>
        <w:t>Оплата по Договору осуществляется Покупателем в следующем порядке:</w:t>
      </w:r>
      <w:bookmarkEnd w:id="0"/>
      <w:r>
        <w:rPr>
          <w:sz w:val="24"/>
          <w:szCs w:val="24"/>
        </w:rPr>
        <w:t xml:space="preserve"> </w:t>
      </w:r>
    </w:p>
    <w:p>
      <w:pPr>
        <w:pStyle w:val="Normal"/>
        <w:widowControl/>
        <w:numPr>
          <w:ilvl w:val="2"/>
          <w:numId w:val="138"/>
        </w:numPr>
        <w:shd w:val="clear" w:color="auto" w:fill="FFFFFF"/>
        <w:tabs>
          <w:tab w:val="clear" w:pos="708"/>
          <w:tab w:val="left" w:pos="1134" w:leader="none"/>
          <w:tab w:val="left" w:pos="1276" w:leader="none"/>
        </w:tabs>
        <w:spacing w:before="0" w:after="0"/>
        <w:ind w:left="0" w:firstLine="709"/>
        <w:contextualSpacing/>
        <w:jc w:val="both"/>
        <w:rPr>
          <w:sz w:val="24"/>
          <w:szCs w:val="24"/>
        </w:rPr>
      </w:pPr>
      <w:bookmarkStart w:id="1" w:name="_Ref361834178"/>
      <w:bookmarkStart w:id="2" w:name="_Ref373240288"/>
      <w:r>
        <w:rPr>
          <w:bCs/>
          <w:sz w:val="24"/>
          <w:szCs w:val="24"/>
        </w:rPr>
        <w:t xml:space="preserve">Авансовые платежи </w:t>
      </w:r>
      <w:r>
        <w:rPr>
          <w:sz w:val="24"/>
          <w:szCs w:val="24"/>
        </w:rPr>
        <w:t xml:space="preserve">в размере 30 (тридцати) процентов от стоимости заявки без учета НДС (при этом НДС исчисляется дополнительно по ставке, установленной статьей 164 Налогового кодекса РФ на дату выплаты авансового платежа) выплачиваются Поставщику в течение 30 (тридцати) календарных дней с даты получения Покупателем счета, выставленного Поставщиком. </w:t>
      </w:r>
      <w:bookmarkEnd w:id="2"/>
    </w:p>
    <w:p>
      <w:pPr>
        <w:pStyle w:val="Normal"/>
        <w:widowControl/>
        <w:numPr>
          <w:ilvl w:val="2"/>
          <w:numId w:val="139"/>
        </w:numPr>
        <w:shd w:val="clear" w:color="auto" w:fill="FFFFFF"/>
        <w:tabs>
          <w:tab w:val="clear" w:pos="708"/>
          <w:tab w:val="left" w:pos="1418" w:leader="none"/>
        </w:tabs>
        <w:spacing w:before="0" w:after="0"/>
        <w:ind w:left="0" w:firstLine="709"/>
        <w:contextualSpacing/>
        <w:jc w:val="both"/>
        <w:rPr>
          <w:sz w:val="24"/>
          <w:szCs w:val="24"/>
        </w:rPr>
      </w:pPr>
      <w:r>
        <w:rPr>
          <w:sz w:val="24"/>
          <w:szCs w:val="24"/>
        </w:rPr>
        <w:t>Последующие платежи в размере разницы между стоимостью заявки, определенной с учетом НДС по ставке,</w:t>
      </w:r>
      <w:r>
        <w:rPr>
          <w:bCs/>
          <w:sz w:val="24"/>
          <w:szCs w:val="24"/>
        </w:rPr>
        <w:t xml:space="preserve"> установленной статьей 164 Налогового кодекса РФ на дату подписания Сторонами </w:t>
      </w:r>
      <w:r>
        <w:rPr>
          <w:sz w:val="24"/>
          <w:szCs w:val="24"/>
        </w:rPr>
        <w:t xml:space="preserve">с даты подписания Сторонами Накладной ТОРГ-12/УПД на основании счета, выставленного Поставщиком, и с учетом пункта 2.6 Договора  </w:t>
      </w:r>
      <w:r>
        <w:rPr>
          <w:color w:val="000000"/>
          <w:sz w:val="24"/>
          <w:szCs w:val="24"/>
          <w:lang w:eastAsia="en-US"/>
        </w:rPr>
        <w:t xml:space="preserve">и ранее выплаченной суммой авансового платежа, </w:t>
      </w:r>
      <w:r>
        <w:rPr>
          <w:sz w:val="24"/>
          <w:szCs w:val="24"/>
        </w:rPr>
        <w:t>выплачиваются в течение 7 (семи) рабочих дней с даты подписания Сторонами документов, указанных в пункте 3.10 Договора по соответствующей заявки, на основании счета, выставленного Поставщиком.</w:t>
      </w:r>
      <w:bookmarkEnd w:id="1"/>
    </w:p>
    <w:p>
      <w:pPr>
        <w:pStyle w:val="Normal"/>
        <w:widowControl/>
        <w:numPr>
          <w:ilvl w:val="1"/>
          <w:numId w:val="140"/>
        </w:numPr>
        <w:shd w:val="clear" w:color="auto" w:fill="FFFFFF"/>
        <w:tabs>
          <w:tab w:val="clear" w:pos="708"/>
          <w:tab w:val="left" w:pos="0" w:leader="none"/>
          <w:tab w:val="left" w:pos="1134" w:leader="none"/>
          <w:tab w:val="left" w:pos="1276" w:leader="none"/>
        </w:tabs>
        <w:spacing w:before="0" w:after="0"/>
        <w:ind w:left="0" w:firstLine="709"/>
        <w:contextualSpacing/>
        <w:jc w:val="both"/>
        <w:rPr>
          <w:sz w:val="24"/>
          <w:szCs w:val="24"/>
        </w:rPr>
      </w:pPr>
      <w:r>
        <w:rPr>
          <w:sz w:val="24"/>
          <w:szCs w:val="24"/>
        </w:rPr>
        <w:t>В случае выставления Поставщиком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Покупателем не принимается и подлежит замене Поставщиком независимо от его фактического вручения Покупателю. В случае выставления Поставщиком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Покупателем.</w:t>
      </w:r>
    </w:p>
    <w:p>
      <w:pPr>
        <w:pStyle w:val="Normal"/>
        <w:widowControl/>
        <w:numPr>
          <w:ilvl w:val="1"/>
          <w:numId w:val="141"/>
        </w:numPr>
        <w:shd w:val="clear" w:color="auto" w:fill="FFFFFF"/>
        <w:tabs>
          <w:tab w:val="clear" w:pos="708"/>
          <w:tab w:val="left" w:pos="0" w:leader="none"/>
          <w:tab w:val="left" w:pos="1134" w:leader="none"/>
        </w:tabs>
        <w:spacing w:before="0" w:after="0"/>
        <w:ind w:left="0" w:firstLine="709"/>
        <w:contextualSpacing/>
        <w:jc w:val="both"/>
        <w:rPr>
          <w:bCs/>
          <w:sz w:val="24"/>
          <w:szCs w:val="24"/>
        </w:rPr>
      </w:pPr>
      <w:r>
        <w:rPr>
          <w:bCs/>
          <w:sz w:val="24"/>
          <w:szCs w:val="24"/>
        </w:rPr>
        <w:t>Расчеты по Договору осуществляются в валюте Российской Федерации. Оплата производится Покупателем путем перечисления денежных средств на расчетный счет Поставщика, указанный в Договоре. Обязательство Покупателя по осуществлению платежа считается исполненным с даты списания денежных средств с расчетного счета Покупателя.</w:t>
      </w:r>
    </w:p>
    <w:p>
      <w:pPr>
        <w:pStyle w:val="Normal"/>
        <w:widowControl/>
        <w:numPr>
          <w:ilvl w:val="1"/>
          <w:numId w:val="142"/>
        </w:numPr>
        <w:shd w:val="clear" w:color="auto" w:fill="FFFFFF"/>
        <w:tabs>
          <w:tab w:val="clear" w:pos="708"/>
          <w:tab w:val="left" w:pos="0" w:leader="none"/>
          <w:tab w:val="left" w:pos="567" w:leader="none"/>
          <w:tab w:val="left" w:pos="716" w:leader="none"/>
          <w:tab w:val="left" w:pos="1134" w:leader="none"/>
        </w:tabs>
        <w:ind w:left="0" w:firstLine="709"/>
        <w:jc w:val="both"/>
        <w:rPr>
          <w:sz w:val="24"/>
          <w:szCs w:val="24"/>
        </w:rPr>
      </w:pPr>
      <w:r>
        <w:rPr>
          <w:sz w:val="24"/>
          <w:szCs w:val="24"/>
        </w:rPr>
        <w:t>Индексация Цены Договора не допускается.</w:t>
      </w:r>
    </w:p>
    <w:p>
      <w:pPr>
        <w:pStyle w:val="Normal"/>
        <w:widowControl/>
        <w:numPr>
          <w:ilvl w:val="1"/>
          <w:numId w:val="143"/>
        </w:numPr>
        <w:shd w:val="clear" w:color="auto" w:fill="FFFFFF"/>
        <w:tabs>
          <w:tab w:val="clear" w:pos="708"/>
          <w:tab w:val="left" w:pos="0" w:leader="none"/>
          <w:tab w:val="left" w:pos="567" w:leader="none"/>
          <w:tab w:val="left" w:pos="716" w:leader="none"/>
          <w:tab w:val="left" w:pos="1134" w:leader="none"/>
        </w:tabs>
        <w:ind w:left="0" w:firstLine="709"/>
        <w:jc w:val="both"/>
        <w:rPr>
          <w:sz w:val="24"/>
          <w:szCs w:val="24"/>
        </w:rPr>
      </w:pPr>
      <w:r>
        <w:rPr>
          <w:sz w:val="24"/>
          <w:szCs w:val="24"/>
        </w:rPr>
        <w:t>Поставщик обязан представить Покупателю счета</w:t>
      </w:r>
      <w:r>
        <w:rPr>
          <w:bCs/>
          <w:sz w:val="24"/>
          <w:szCs w:val="24"/>
        </w:rPr>
        <w:t>-</w:t>
      </w:r>
      <w:r>
        <w:rPr>
          <w:sz w:val="24"/>
          <w:szCs w:val="24"/>
        </w:rPr>
        <w:t>фактуры, выставленные в сроки и оформленные в порядке, установленном законодательством Российской Федерации. В случае нарушения Поставщиком данного требования, он обязан произвести замену счета</w:t>
      </w:r>
      <w:r>
        <w:rPr>
          <w:bCs/>
          <w:sz w:val="24"/>
          <w:szCs w:val="24"/>
        </w:rPr>
        <w:t>-</w:t>
      </w:r>
      <w:r>
        <w:rPr>
          <w:sz w:val="24"/>
          <w:szCs w:val="24"/>
        </w:rPr>
        <w:t xml:space="preserve">фактуры в течение 3 (трех) рабочих дней с даты получения соответствующего письменного требования Покупателя. </w:t>
      </w:r>
      <w:r>
        <w:rPr>
          <w:sz w:val="24"/>
          <w:szCs w:val="24"/>
          <w:shd w:fill="auto" w:val="clear"/>
        </w:rPr>
        <w:t>В случае непредставления Поставщиком в течение 5 (пяти) календарных дней с даты получения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pPr>
        <w:pStyle w:val="Normal"/>
        <w:widowControl/>
        <w:numPr>
          <w:ilvl w:val="1"/>
          <w:numId w:val="144"/>
        </w:numPr>
        <w:shd w:val="clear" w:color="auto" w:fill="FFFFFF"/>
        <w:tabs>
          <w:tab w:val="clear" w:pos="708"/>
          <w:tab w:val="left" w:pos="0" w:leader="none"/>
          <w:tab w:val="left" w:pos="567" w:leader="none"/>
          <w:tab w:val="left" w:pos="716" w:leader="none"/>
          <w:tab w:val="left" w:pos="1134" w:leader="none"/>
        </w:tabs>
        <w:ind w:left="0" w:firstLine="709"/>
        <w:jc w:val="both"/>
        <w:rPr>
          <w:sz w:val="24"/>
          <w:szCs w:val="24"/>
        </w:rPr>
      </w:pPr>
      <w:r>
        <w:rPr>
          <w:sz w:val="24"/>
          <w:szCs w:val="24"/>
        </w:rPr>
        <w:t>Поставщик обязан подписать акты сверки взаимных расчетов, направленные Покупателем в 2 (двух) экземплярах, и вернуть 1 (один) экземпляр Покупателю в течение 5 (пяти) рабочих дней с даты получения экземпляров актов сверки расчетов от Покупателя</w:t>
      </w:r>
    </w:p>
    <w:p>
      <w:pPr>
        <w:pStyle w:val="Normal"/>
        <w:widowControl/>
        <w:numPr>
          <w:ilvl w:val="1"/>
          <w:numId w:val="145"/>
        </w:numPr>
        <w:shd w:val="clear" w:color="auto" w:fill="FFFFFF"/>
        <w:tabs>
          <w:tab w:val="clear" w:pos="708"/>
          <w:tab w:val="left" w:pos="0" w:leader="none"/>
          <w:tab w:val="left" w:pos="567" w:leader="none"/>
          <w:tab w:val="left" w:pos="716" w:leader="none"/>
          <w:tab w:val="left" w:pos="1134" w:leader="none"/>
          <w:tab w:val="left" w:pos="1276" w:leader="none"/>
        </w:tabs>
        <w:ind w:left="0" w:firstLine="709"/>
        <w:jc w:val="both"/>
        <w:rPr>
          <w:sz w:val="24"/>
          <w:szCs w:val="24"/>
        </w:rPr>
      </w:pPr>
      <w:r>
        <w:rPr>
          <w:sz w:val="24"/>
          <w:szCs w:val="24"/>
        </w:rPr>
        <w:t>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Поставщика перед Покупателем,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Товара, поставленного Поставщиком. Покупатель направляет Поставщику уведомление о проведении сальдо взаимных обязательств Сторон по Договору</w:t>
      </w:r>
    </w:p>
    <w:p>
      <w:pPr>
        <w:pStyle w:val="Normal"/>
        <w:widowControl/>
        <w:shd w:val="clear" w:color="auto" w:fill="FFFFFF"/>
        <w:tabs>
          <w:tab w:val="clear" w:pos="708"/>
          <w:tab w:val="left" w:pos="567" w:leader="none"/>
          <w:tab w:val="left" w:pos="716" w:leader="none"/>
          <w:tab w:val="left" w:pos="1134" w:leader="none"/>
          <w:tab w:val="left" w:pos="1276" w:leader="none"/>
        </w:tabs>
        <w:ind w:left="709" w:hanging="0"/>
        <w:jc w:val="both"/>
        <w:rPr>
          <w:sz w:val="24"/>
          <w:szCs w:val="24"/>
        </w:rPr>
      </w:pPr>
      <w:r>
        <w:rPr>
          <w:sz w:val="24"/>
          <w:szCs w:val="24"/>
        </w:rPr>
      </w:r>
    </w:p>
    <w:p>
      <w:pPr>
        <w:pStyle w:val="Normal"/>
        <w:widowControl/>
        <w:numPr>
          <w:ilvl w:val="0"/>
          <w:numId w:val="146"/>
        </w:numPr>
        <w:shd w:val="clear" w:color="auto" w:fill="FFFFFF"/>
        <w:tabs>
          <w:tab w:val="clear" w:pos="708"/>
          <w:tab w:val="left" w:pos="284" w:leader="none"/>
        </w:tabs>
        <w:ind w:left="0" w:hanging="0"/>
        <w:jc w:val="center"/>
        <w:rPr>
          <w:b/>
          <w:bCs/>
          <w:sz w:val="24"/>
          <w:szCs w:val="24"/>
        </w:rPr>
      </w:pPr>
      <w:r>
        <w:rPr>
          <w:b/>
          <w:bCs/>
          <w:sz w:val="24"/>
          <w:szCs w:val="24"/>
        </w:rPr>
        <w:t>Порядок поставки и приемки Товара</w:t>
      </w:r>
    </w:p>
    <w:p>
      <w:pPr>
        <w:pStyle w:val="Normal"/>
        <w:widowControl/>
        <w:numPr>
          <w:ilvl w:val="1"/>
          <w:numId w:val="147"/>
        </w:numPr>
        <w:shd w:val="clear" w:color="auto" w:fill="FFFFFF"/>
        <w:tabs>
          <w:tab w:val="clear" w:pos="708"/>
          <w:tab w:val="left" w:pos="1134" w:leader="none"/>
          <w:tab w:val="left" w:pos="1418" w:leader="none"/>
        </w:tabs>
        <w:spacing w:before="0" w:after="0"/>
        <w:ind w:left="0" w:firstLine="709"/>
        <w:contextualSpacing/>
        <w:jc w:val="both"/>
        <w:rPr>
          <w:sz w:val="24"/>
          <w:szCs w:val="24"/>
        </w:rPr>
      </w:pPr>
      <w:r>
        <w:rPr>
          <w:sz w:val="24"/>
          <w:szCs w:val="24"/>
        </w:rPr>
        <w:t>Поставка Товара (партии Товара) осуществляется по Заявке в следующем порядке:</w:t>
      </w:r>
    </w:p>
    <w:p>
      <w:pPr>
        <w:pStyle w:val="Normal"/>
        <w:widowControl/>
        <w:numPr>
          <w:ilvl w:val="2"/>
          <w:numId w:val="148"/>
        </w:numPr>
        <w:shd w:val="clear" w:color="auto" w:fill="FFFFFF"/>
        <w:tabs>
          <w:tab w:val="clear" w:pos="708"/>
          <w:tab w:val="left" w:pos="1134" w:leader="none"/>
          <w:tab w:val="left" w:pos="1418" w:leader="none"/>
        </w:tabs>
        <w:spacing w:before="0" w:after="0"/>
        <w:ind w:left="0" w:firstLine="709"/>
        <w:contextualSpacing/>
        <w:jc w:val="both"/>
        <w:rPr>
          <w:sz w:val="24"/>
          <w:szCs w:val="24"/>
        </w:rPr>
      </w:pPr>
      <w:r>
        <w:rPr>
          <w:sz w:val="24"/>
          <w:szCs w:val="24"/>
        </w:rPr>
        <w:t xml:space="preserve">Покупатель в срок не позднее </w:t>
      </w:r>
      <w:r>
        <w:rPr>
          <w:bCs/>
          <w:sz w:val="24"/>
          <w:szCs w:val="24"/>
        </w:rPr>
        <w:t>10 (десяти) календарных дней</w:t>
      </w:r>
      <w:r>
        <w:rPr>
          <w:sz w:val="24"/>
          <w:szCs w:val="24"/>
        </w:rPr>
        <w:t xml:space="preserve"> до предполагаемой даты поставки Товара (партии Товара) направляет Поставщику Заявку по электронной почте на адрес:</w:t>
      </w:r>
      <w:r>
        <w:rPr>
          <w:color w:val="000000"/>
          <w:sz w:val="24"/>
          <w:szCs w:val="24"/>
        </w:rPr>
        <w:t xml:space="preserve">  ________________  с </w:t>
      </w:r>
      <w:r>
        <w:rPr>
          <w:sz w:val="24"/>
          <w:szCs w:val="24"/>
        </w:rPr>
        <w:t>последующим направлением оригинала Заявки по адресу, указанному в разделе 14 Договора.</w:t>
      </w:r>
    </w:p>
    <w:p>
      <w:pPr>
        <w:pStyle w:val="Normal"/>
        <w:widowControl/>
        <w:numPr>
          <w:ilvl w:val="2"/>
          <w:numId w:val="149"/>
        </w:numPr>
        <w:tabs>
          <w:tab w:val="clear" w:pos="708"/>
          <w:tab w:val="left" w:pos="993" w:leader="none"/>
          <w:tab w:val="left" w:pos="1418" w:leader="none"/>
        </w:tabs>
        <w:spacing w:before="0" w:after="0"/>
        <w:ind w:left="0" w:firstLine="709"/>
        <w:contextualSpacing/>
        <w:jc w:val="both"/>
        <w:rPr>
          <w:sz w:val="24"/>
          <w:szCs w:val="24"/>
        </w:rPr>
      </w:pPr>
      <w:r>
        <w:rPr>
          <w:sz w:val="24"/>
          <w:szCs w:val="24"/>
        </w:rPr>
        <w:t>Поставщик в течение 3 (трех) календарных дней с даты получения Заявки подтверждает поставку Товара (партии Товара), указанного Покупателем в Заявке, по электронной почте на адрес: ________________________ с последующим направлением письменного ответа по адресу, указанному в разделе 14 Договора.</w:t>
      </w:r>
    </w:p>
    <w:p>
      <w:pPr>
        <w:pStyle w:val="Normal"/>
        <w:widowControl/>
        <w:numPr>
          <w:ilvl w:val="2"/>
          <w:numId w:val="150"/>
        </w:numPr>
        <w:tabs>
          <w:tab w:val="clear" w:pos="708"/>
          <w:tab w:val="left" w:pos="993" w:leader="none"/>
          <w:tab w:val="left" w:pos="1418" w:leader="none"/>
        </w:tabs>
        <w:spacing w:before="0" w:after="0"/>
        <w:ind w:left="0" w:firstLine="709"/>
        <w:contextualSpacing/>
        <w:jc w:val="both"/>
        <w:rPr>
          <w:sz w:val="24"/>
          <w:szCs w:val="24"/>
        </w:rPr>
      </w:pPr>
      <w:r>
        <w:rPr>
          <w:sz w:val="24"/>
          <w:szCs w:val="24"/>
        </w:rPr>
        <w:t>Покупатель не позднее 1 (одного) рабочего дня до предполагаемой даты поставки Товара (партии Товара) вправе вносить изменения в Заявку путем письменного уведомления Поставщика в порядке, предусмотренном для направления Заявки. Поставщик в течение 2 (двух) рабочих дней с даты получения изменений к ранее направленной Заявке рассматривает соответствующего уведомление Покупателя и подтверждает поставку Товара (партии Товара) в соответствии с измененной Заявкой в порядке, указанном в пункте 3.1.2 Договора.</w:t>
      </w:r>
    </w:p>
    <w:p>
      <w:pPr>
        <w:pStyle w:val="Normal"/>
        <w:widowControl/>
        <w:numPr>
          <w:ilvl w:val="2"/>
          <w:numId w:val="151"/>
        </w:numPr>
        <w:tabs>
          <w:tab w:val="clear" w:pos="708"/>
          <w:tab w:val="left" w:pos="993" w:leader="none"/>
          <w:tab w:val="left" w:pos="1418" w:leader="none"/>
        </w:tabs>
        <w:spacing w:before="0" w:after="0"/>
        <w:ind w:left="0" w:firstLine="709"/>
        <w:contextualSpacing/>
        <w:jc w:val="both"/>
        <w:rPr>
          <w:sz w:val="24"/>
          <w:szCs w:val="24"/>
        </w:rPr>
      </w:pPr>
      <w:r>
        <w:rPr>
          <w:sz w:val="24"/>
          <w:szCs w:val="24"/>
        </w:rPr>
        <w:t>В случае невозможности поставить Товар (партию Товара) по Заявке Поставщик обязан незамедлительно известить об этом Покупателя с указанием причин невозможности выполнения поставки Товара и сроков их устранения.</w:t>
      </w:r>
    </w:p>
    <w:p>
      <w:pPr>
        <w:pStyle w:val="Normal"/>
        <w:widowControl/>
        <w:numPr>
          <w:ilvl w:val="2"/>
          <w:numId w:val="152"/>
        </w:numPr>
        <w:tabs>
          <w:tab w:val="clear" w:pos="708"/>
          <w:tab w:val="left" w:pos="993" w:leader="none"/>
          <w:tab w:val="left" w:pos="1418" w:leader="none"/>
        </w:tabs>
        <w:spacing w:before="0" w:after="0"/>
        <w:ind w:left="0" w:firstLine="709"/>
        <w:contextualSpacing/>
        <w:jc w:val="both"/>
        <w:rPr>
          <w:sz w:val="24"/>
          <w:szCs w:val="24"/>
        </w:rPr>
      </w:pPr>
      <w:r>
        <w:rPr>
          <w:sz w:val="24"/>
          <w:szCs w:val="24"/>
        </w:rPr>
        <w:t xml:space="preserve">Стороны вправе запросить друг у друга необходимые дополнительные сведения для поставки Товара по Заявке. </w:t>
      </w:r>
    </w:p>
    <w:p>
      <w:pPr>
        <w:pStyle w:val="Normal"/>
        <w:numPr>
          <w:ilvl w:val="0"/>
          <w:numId w:val="0"/>
        </w:numPr>
        <w:tabs>
          <w:tab w:val="clear" w:pos="708"/>
          <w:tab w:val="left" w:pos="993" w:leader="none"/>
        </w:tabs>
        <w:ind w:left="0" w:hanging="0"/>
        <w:jc w:val="both"/>
        <w:rPr>
          <w:sz w:val="24"/>
          <w:szCs w:val="24"/>
        </w:rPr>
      </w:pPr>
      <w:r>
        <w:rPr>
          <w:sz w:val="24"/>
          <w:szCs w:val="24"/>
        </w:rPr>
        <w:t xml:space="preserve">3.1.5.1. Направить новую Заявку в порядке, установленном пунктом 3.1.1 Договора                   в согласованные с поставщиком сроки; </w:t>
      </w:r>
    </w:p>
    <w:p>
      <w:pPr>
        <w:pStyle w:val="Normal"/>
        <w:numPr>
          <w:ilvl w:val="0"/>
          <w:numId w:val="0"/>
        </w:numPr>
        <w:tabs>
          <w:tab w:val="clear" w:pos="708"/>
          <w:tab w:val="left" w:pos="1134" w:leader="none"/>
        </w:tabs>
        <w:ind w:left="0" w:hanging="0"/>
        <w:jc w:val="both"/>
        <w:rPr>
          <w:sz w:val="24"/>
          <w:szCs w:val="24"/>
        </w:rPr>
      </w:pPr>
      <w:r>
        <w:rPr>
          <w:sz w:val="24"/>
          <w:szCs w:val="24"/>
        </w:rPr>
        <w:t>3.1.5.2. Расторгнуть Договор в порядке, установленном пунктом 11.2 Договора.</w:t>
      </w:r>
    </w:p>
    <w:p>
      <w:pPr>
        <w:pStyle w:val="ListParagraph"/>
        <w:numPr>
          <w:ilvl w:val="2"/>
          <w:numId w:val="153"/>
        </w:numPr>
        <w:tabs>
          <w:tab w:val="clear" w:pos="708"/>
          <w:tab w:val="left" w:pos="993" w:leader="none"/>
          <w:tab w:val="left" w:pos="1418" w:leader="none"/>
        </w:tabs>
        <w:ind w:left="0" w:firstLine="709"/>
        <w:jc w:val="both"/>
        <w:rPr>
          <w:sz w:val="24"/>
          <w:szCs w:val="24"/>
        </w:rPr>
      </w:pPr>
      <w:r>
        <w:rPr>
          <w:sz w:val="24"/>
          <w:szCs w:val="24"/>
        </w:rPr>
        <w:t>В случае, указанном в пункте 3.1.4 Договора, Покупатель вправе по своему усмотрению:</w:t>
      </w:r>
    </w:p>
    <w:p>
      <w:pPr>
        <w:pStyle w:val="Normal"/>
        <w:tabs>
          <w:tab w:val="clear" w:pos="708"/>
          <w:tab w:val="left" w:pos="993" w:leader="none"/>
        </w:tabs>
        <w:ind w:firstLine="709"/>
        <w:jc w:val="both"/>
        <w:rPr>
          <w:sz w:val="24"/>
          <w:szCs w:val="24"/>
        </w:rPr>
      </w:pPr>
      <w:r>
        <w:rPr>
          <w:sz w:val="24"/>
          <w:szCs w:val="24"/>
        </w:rPr>
      </w:r>
    </w:p>
    <w:p>
      <w:pPr>
        <w:pStyle w:val="ListParagraph"/>
        <w:widowControl/>
        <w:numPr>
          <w:ilvl w:val="0"/>
          <w:numId w:val="0"/>
        </w:numPr>
        <w:tabs>
          <w:tab w:val="clear" w:pos="708"/>
          <w:tab w:val="left" w:pos="993" w:leader="none"/>
          <w:tab w:val="left" w:pos="1418" w:leader="none"/>
        </w:tabs>
        <w:ind w:left="0" w:hanging="0"/>
        <w:jc w:val="both"/>
        <w:rPr>
          <w:sz w:val="24"/>
          <w:szCs w:val="24"/>
        </w:rPr>
      </w:pPr>
      <w:r>
        <w:rPr>
          <w:sz w:val="24"/>
          <w:szCs w:val="24"/>
        </w:rPr>
        <w:t>3.1.7. Стороны вправе запросить друг у друга необходимые дополнительные сведения для поставки Товара по Заявке.</w:t>
      </w:r>
    </w:p>
    <w:p>
      <w:pPr>
        <w:pStyle w:val="Normal"/>
        <w:widowControl/>
        <w:numPr>
          <w:ilvl w:val="1"/>
          <w:numId w:val="154"/>
        </w:numPr>
        <w:shd w:val="clear" w:color="auto" w:fill="FFFFFF"/>
        <w:tabs>
          <w:tab w:val="clear" w:pos="708"/>
          <w:tab w:val="left" w:pos="1134" w:leader="none"/>
          <w:tab w:val="left" w:pos="1418" w:leader="none"/>
        </w:tabs>
        <w:spacing w:before="0" w:after="0"/>
        <w:ind w:left="0" w:firstLine="709"/>
        <w:contextualSpacing/>
        <w:jc w:val="both"/>
        <w:rPr>
          <w:bCs/>
          <w:sz w:val="24"/>
          <w:szCs w:val="24"/>
        </w:rPr>
      </w:pPr>
      <w:r>
        <w:rPr>
          <w:bCs/>
          <w:sz w:val="24"/>
          <w:szCs w:val="24"/>
        </w:rPr>
        <w:t xml:space="preserve">В течение 5 (пяти) рабочих дней с даты заключения Договора </w:t>
      </w:r>
      <w:r>
        <w:rPr>
          <w:sz w:val="24"/>
          <w:szCs w:val="24"/>
        </w:rPr>
        <w:t>Стороны определяют своих представителей, уполномоченных подписывать Заявки (изменения к ним) и принимать Заявки к исполнению, и письменно сообщают друг другу</w:t>
      </w:r>
      <w:r>
        <w:rPr>
          <w:bCs/>
        </w:rPr>
        <w:t xml:space="preserve"> </w:t>
      </w:r>
      <w:r>
        <w:rPr>
          <w:bCs/>
          <w:sz w:val="24"/>
          <w:szCs w:val="24"/>
        </w:rPr>
        <w:t>контакты и должность таких представителей</w:t>
      </w:r>
      <w:r>
        <w:rPr>
          <w:sz w:val="24"/>
          <w:szCs w:val="24"/>
        </w:rPr>
        <w:t xml:space="preserve">. </w:t>
      </w:r>
    </w:p>
    <w:p>
      <w:pPr>
        <w:pStyle w:val="Normal"/>
        <w:widowControl/>
        <w:numPr>
          <w:ilvl w:val="1"/>
          <w:numId w:val="155"/>
        </w:numPr>
        <w:shd w:val="clear" w:color="auto" w:fill="FFFFFF"/>
        <w:tabs>
          <w:tab w:val="clear" w:pos="708"/>
          <w:tab w:val="left" w:pos="1134" w:leader="none"/>
        </w:tabs>
        <w:spacing w:before="0" w:after="0"/>
        <w:ind w:left="0" w:firstLine="709"/>
        <w:contextualSpacing/>
        <w:jc w:val="both"/>
        <w:rPr>
          <w:bCs/>
          <w:sz w:val="24"/>
          <w:szCs w:val="24"/>
        </w:rPr>
      </w:pPr>
      <w:r>
        <w:rPr>
          <w:bCs/>
          <w:sz w:val="24"/>
          <w:szCs w:val="24"/>
        </w:rPr>
        <w:t>Качество и количество поставляемого по Договору Товара должны соответствовать Заявке, требованиям Договора,</w:t>
      </w:r>
      <w:r>
        <w:rPr>
          <w:b/>
          <w:bCs/>
          <w:sz w:val="24"/>
          <w:szCs w:val="24"/>
        </w:rPr>
        <w:t xml:space="preserve"> </w:t>
      </w:r>
      <w:r>
        <w:rPr>
          <w:bCs/>
          <w:sz w:val="24"/>
          <w:szCs w:val="24"/>
        </w:rPr>
        <w:t xml:space="preserve">в том числе, указанным в Спецификации (Приложение № 1 к Договору), а также Применимого права. </w:t>
      </w:r>
    </w:p>
    <w:p>
      <w:pPr>
        <w:pStyle w:val="Normal"/>
        <w:widowControl/>
        <w:numPr>
          <w:ilvl w:val="1"/>
          <w:numId w:val="156"/>
        </w:numPr>
        <w:shd w:val="clear" w:color="auto" w:fill="FFFFFF"/>
        <w:tabs>
          <w:tab w:val="clear" w:pos="708"/>
          <w:tab w:val="left" w:pos="1134" w:leader="none"/>
        </w:tabs>
        <w:spacing w:before="0" w:after="0"/>
        <w:ind w:left="0" w:firstLine="709"/>
        <w:contextualSpacing/>
        <w:jc w:val="both"/>
        <w:rPr>
          <w:bCs/>
          <w:sz w:val="24"/>
          <w:szCs w:val="24"/>
        </w:rPr>
      </w:pPr>
      <w:r>
        <w:rPr>
          <w:bCs/>
          <w:sz w:val="24"/>
          <w:szCs w:val="24"/>
        </w:rPr>
        <w:t>Поставляемый Товар должен быть новым, не бывшим в употреблении, пригодным для использования по своему назначению. Поставщик гарантирует, что Товар принадлежит ему на законном основании, в споре, залоге или под арестом не состоит, и не обременен правами третьих лиц.</w:t>
      </w:r>
    </w:p>
    <w:p>
      <w:pPr>
        <w:pStyle w:val="Normal"/>
        <w:widowControl/>
        <w:numPr>
          <w:ilvl w:val="1"/>
          <w:numId w:val="157"/>
        </w:numPr>
        <w:shd w:val="clear" w:color="auto" w:fill="FFFFFF"/>
        <w:tabs>
          <w:tab w:val="clear" w:pos="708"/>
          <w:tab w:val="left" w:pos="1134" w:leader="none"/>
        </w:tabs>
        <w:spacing w:before="0" w:after="0"/>
        <w:ind w:left="0" w:firstLine="709"/>
        <w:contextualSpacing/>
        <w:jc w:val="both"/>
        <w:rPr>
          <w:bCs/>
          <w:sz w:val="24"/>
          <w:szCs w:val="24"/>
        </w:rPr>
      </w:pPr>
      <w:r>
        <w:rPr>
          <w:bCs/>
          <w:sz w:val="24"/>
          <w:szCs w:val="24"/>
        </w:rPr>
        <w:t xml:space="preserve">Одновременно с передачей Товара Поставщик обязан передать Покупателю оригиналы следующих относящихся к Товару документов: </w:t>
      </w:r>
    </w:p>
    <w:p>
      <w:pPr>
        <w:pStyle w:val="Normal"/>
        <w:widowControl/>
        <w:numPr>
          <w:ilvl w:val="0"/>
          <w:numId w:val="2"/>
        </w:numPr>
        <w:tabs>
          <w:tab w:val="clear" w:pos="708"/>
          <w:tab w:val="left" w:pos="1418" w:leader="none"/>
        </w:tabs>
        <w:ind w:left="0" w:firstLine="709"/>
        <w:jc w:val="both"/>
        <w:rPr>
          <w:sz w:val="24"/>
          <w:szCs w:val="24"/>
        </w:rPr>
      </w:pPr>
      <w:r>
        <w:rPr>
          <w:sz w:val="24"/>
          <w:szCs w:val="24"/>
        </w:rPr>
        <w:t>сертификат качества в 1 экз.;</w:t>
      </w:r>
    </w:p>
    <w:p>
      <w:pPr>
        <w:pStyle w:val="Normal"/>
        <w:widowControl/>
        <w:numPr>
          <w:ilvl w:val="0"/>
          <w:numId w:val="2"/>
        </w:numPr>
        <w:tabs>
          <w:tab w:val="clear" w:pos="708"/>
          <w:tab w:val="left" w:pos="1418" w:leader="none"/>
        </w:tabs>
        <w:ind w:left="0" w:firstLine="709"/>
        <w:jc w:val="both"/>
        <w:rPr>
          <w:sz w:val="24"/>
          <w:szCs w:val="24"/>
        </w:rPr>
      </w:pPr>
      <w:r>
        <w:rPr>
          <w:sz w:val="24"/>
          <w:szCs w:val="24"/>
        </w:rPr>
        <w:t>паспорт качества в 1 экз.;</w:t>
      </w:r>
    </w:p>
    <w:p>
      <w:pPr>
        <w:pStyle w:val="Normal"/>
        <w:widowControl/>
        <w:numPr>
          <w:ilvl w:val="0"/>
          <w:numId w:val="3"/>
        </w:numPr>
        <w:tabs>
          <w:tab w:val="clear" w:pos="708"/>
          <w:tab w:val="left" w:pos="1418" w:leader="none"/>
        </w:tabs>
        <w:ind w:left="0" w:firstLine="709"/>
        <w:jc w:val="both"/>
        <w:rPr>
          <w:sz w:val="24"/>
          <w:szCs w:val="24"/>
        </w:rPr>
      </w:pPr>
      <w:r>
        <w:rPr>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сертификат о происхождении товара и т.п.) в зависимости от номенклатуры поставляемого Товара;</w:t>
      </w:r>
    </w:p>
    <w:p>
      <w:pPr>
        <w:pStyle w:val="Normal"/>
        <w:widowControl/>
        <w:numPr>
          <w:ilvl w:val="0"/>
          <w:numId w:val="3"/>
        </w:numPr>
        <w:shd w:val="clear" w:color="auto" w:fill="FFFFFF"/>
        <w:tabs>
          <w:tab w:val="clear" w:pos="708"/>
          <w:tab w:val="left" w:pos="1418" w:leader="none"/>
        </w:tabs>
        <w:ind w:left="0" w:firstLine="709"/>
        <w:jc w:val="both"/>
        <w:rPr>
          <w:sz w:val="24"/>
          <w:szCs w:val="24"/>
        </w:rPr>
      </w:pPr>
      <w:r>
        <w:rPr>
          <w:sz w:val="24"/>
          <w:szCs w:val="24"/>
        </w:rPr>
        <w:t>накладная ТОРГ-12/УПД в 2 (двух) экз.;</w:t>
      </w:r>
    </w:p>
    <w:p>
      <w:pPr>
        <w:pStyle w:val="Normal"/>
        <w:widowControl/>
        <w:numPr>
          <w:ilvl w:val="0"/>
          <w:numId w:val="3"/>
        </w:numPr>
        <w:shd w:val="clear" w:color="auto" w:fill="FFFFFF"/>
        <w:tabs>
          <w:tab w:val="clear" w:pos="708"/>
          <w:tab w:val="left" w:pos="1418" w:leader="none"/>
        </w:tabs>
        <w:ind w:left="0" w:firstLine="709"/>
        <w:jc w:val="both"/>
        <w:rPr>
          <w:sz w:val="24"/>
          <w:szCs w:val="24"/>
        </w:rPr>
      </w:pPr>
      <w:r>
        <w:rPr>
          <w:sz w:val="24"/>
          <w:szCs w:val="24"/>
        </w:rPr>
        <w:t>товарно-транспортная накладная в 2 (двух) экз.</w:t>
      </w:r>
    </w:p>
    <w:p>
      <w:pPr>
        <w:pStyle w:val="Normal"/>
        <w:widowControl/>
        <w:numPr>
          <w:ilvl w:val="1"/>
          <w:numId w:val="158"/>
        </w:numPr>
        <w:shd w:val="clear" w:color="auto" w:fill="FFFFFF"/>
        <w:tabs>
          <w:tab w:val="clear" w:pos="708"/>
          <w:tab w:val="left" w:pos="1134" w:leader="none"/>
          <w:tab w:val="left" w:pos="1418" w:leader="none"/>
        </w:tabs>
        <w:spacing w:before="0" w:after="0"/>
        <w:ind w:left="0" w:firstLine="709"/>
        <w:contextualSpacing/>
        <w:jc w:val="both"/>
        <w:rPr>
          <w:bCs/>
          <w:sz w:val="24"/>
          <w:szCs w:val="24"/>
        </w:rPr>
      </w:pPr>
      <w:r>
        <w:rPr>
          <w:bCs/>
          <w:sz w:val="24"/>
          <w:szCs w:val="24"/>
        </w:rPr>
        <w:t xml:space="preserve">Поставка Товара производится на объект, указанный Покупателем в заявке на отгрузку. </w:t>
      </w:r>
    </w:p>
    <w:p>
      <w:pPr>
        <w:pStyle w:val="Normal"/>
        <w:widowControl/>
        <w:numPr>
          <w:ilvl w:val="1"/>
          <w:numId w:val="159"/>
        </w:numPr>
        <w:shd w:val="clear" w:color="auto" w:fill="FFFFFF"/>
        <w:tabs>
          <w:tab w:val="clear" w:pos="708"/>
          <w:tab w:val="left" w:pos="1134" w:leader="none"/>
          <w:tab w:val="left" w:pos="1418" w:leader="none"/>
        </w:tabs>
        <w:spacing w:before="0" w:after="0"/>
        <w:ind w:left="0" w:firstLine="709"/>
        <w:contextualSpacing/>
        <w:jc w:val="both"/>
        <w:rPr>
          <w:bCs/>
          <w:sz w:val="24"/>
          <w:szCs w:val="24"/>
        </w:rPr>
      </w:pPr>
      <w:r>
        <w:rPr>
          <w:bCs/>
          <w:sz w:val="24"/>
          <w:szCs w:val="24"/>
        </w:rPr>
        <w:t xml:space="preserve">Поставщик обязан обеспечить присутствие во время приемки Товара и в месте поставки своего представителя, уполномоченного надлежащим образом оформленной доверенностью на передачу Товара Покупателю, подписание Акта рекламации. 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приемки Товара, при этом такой отказ не будет являться нарушением обязательств Покупателя по Договору. Стороны будут рассматривать неявку представителя Поставщика как просрочку поставки. </w:t>
      </w:r>
    </w:p>
    <w:p>
      <w:pPr>
        <w:pStyle w:val="Normal"/>
        <w:widowControl/>
        <w:shd w:val="clear" w:color="auto" w:fill="FFFFFF"/>
        <w:tabs>
          <w:tab w:val="clear" w:pos="708"/>
          <w:tab w:val="left" w:pos="1134" w:leader="none"/>
          <w:tab w:val="left" w:pos="1418" w:leader="none"/>
        </w:tabs>
        <w:spacing w:before="0" w:after="0"/>
        <w:ind w:left="709" w:hanging="0"/>
        <w:contextualSpacing/>
        <w:jc w:val="both"/>
        <w:rPr>
          <w:bCs/>
          <w:sz w:val="24"/>
          <w:szCs w:val="24"/>
        </w:rPr>
      </w:pPr>
      <w:r>
        <w:rPr>
          <w:bCs/>
          <w:sz w:val="24"/>
          <w:szCs w:val="24"/>
        </w:rPr>
        <w:t>Оригинал доверенности представителя Поставщика подлежит передаче Покупателю.</w:t>
      </w:r>
    </w:p>
    <w:p>
      <w:pPr>
        <w:pStyle w:val="Normal"/>
        <w:widowControl/>
        <w:numPr>
          <w:ilvl w:val="1"/>
          <w:numId w:val="160"/>
        </w:numPr>
        <w:shd w:val="clear" w:color="auto" w:fill="FFFFFF"/>
        <w:tabs>
          <w:tab w:val="clear" w:pos="708"/>
          <w:tab w:val="left" w:pos="1134" w:leader="none"/>
          <w:tab w:val="left" w:pos="1418" w:leader="none"/>
        </w:tabs>
        <w:spacing w:before="0" w:after="0"/>
        <w:ind w:left="0" w:firstLine="709"/>
        <w:contextualSpacing/>
        <w:jc w:val="both"/>
        <w:rPr>
          <w:bCs/>
          <w:sz w:val="24"/>
          <w:szCs w:val="24"/>
        </w:rPr>
      </w:pPr>
      <w:r>
        <w:rPr>
          <w:bCs/>
          <w:sz w:val="24"/>
          <w:szCs w:val="24"/>
        </w:rPr>
        <w:t>В случае неявки представителя Поставщика и / или его отказа от подписания Акта рекламации при приемке Товара, составленный и подписанный Покупателем в одностороннем порядке Акт рекламации будет являться достаточным основанием для применения к Поставщику мер ответственности, установленных Договором.</w:t>
      </w:r>
    </w:p>
    <w:p>
      <w:pPr>
        <w:pStyle w:val="Normal"/>
        <w:widowControl/>
        <w:numPr>
          <w:ilvl w:val="1"/>
          <w:numId w:val="161"/>
        </w:numPr>
        <w:shd w:val="clear" w:color="auto" w:fill="FFFFFF"/>
        <w:tabs>
          <w:tab w:val="clear" w:pos="708"/>
          <w:tab w:val="left" w:pos="1134" w:leader="none"/>
          <w:tab w:val="left" w:pos="1418" w:leader="none"/>
        </w:tabs>
        <w:spacing w:before="0" w:after="0"/>
        <w:ind w:left="0" w:firstLine="709"/>
        <w:contextualSpacing/>
        <w:jc w:val="both"/>
        <w:rPr>
          <w:sz w:val="24"/>
          <w:szCs w:val="24"/>
        </w:rPr>
      </w:pPr>
      <w:r>
        <w:rPr>
          <w:sz w:val="24"/>
          <w:szCs w:val="24"/>
        </w:rPr>
        <w:t xml:space="preserve">Погрузка, доставка, разгрузка </w:t>
      </w:r>
      <w:r>
        <w:rPr>
          <w:bCs/>
          <w:sz w:val="24"/>
          <w:szCs w:val="24"/>
        </w:rPr>
        <w:t>осуществляется</w:t>
      </w:r>
      <w:r>
        <w:rPr>
          <w:sz w:val="24"/>
          <w:szCs w:val="24"/>
        </w:rPr>
        <w:t xml:space="preserve"> Поставщиком. Стоимость погрузки, доставки, разгрузки включена в Цену Договора.</w:t>
      </w:r>
    </w:p>
    <w:p>
      <w:pPr>
        <w:pStyle w:val="Normal"/>
        <w:widowControl/>
        <w:numPr>
          <w:ilvl w:val="1"/>
          <w:numId w:val="162"/>
        </w:numPr>
        <w:shd w:val="clear" w:color="auto" w:fill="FFFFFF"/>
        <w:tabs>
          <w:tab w:val="clear" w:pos="708"/>
          <w:tab w:val="left" w:pos="1134" w:leader="none"/>
          <w:tab w:val="left" w:pos="1418" w:leader="none"/>
        </w:tabs>
        <w:spacing w:before="0" w:after="0"/>
        <w:ind w:left="0" w:firstLine="709"/>
        <w:contextualSpacing/>
        <w:jc w:val="both"/>
        <w:rPr/>
      </w:pPr>
      <w:r>
        <w:rPr>
          <w:sz w:val="24"/>
          <w:szCs w:val="24"/>
        </w:rPr>
        <w:t>Досрочная поставка Товара допускается только при условии получения Поставщиком письменного согласия Покупателя.</w:t>
      </w:r>
    </w:p>
    <w:p>
      <w:pPr>
        <w:pStyle w:val="Normal"/>
        <w:widowControl/>
        <w:numPr>
          <w:ilvl w:val="1"/>
          <w:numId w:val="163"/>
        </w:numPr>
        <w:shd w:val="clear" w:color="auto" w:fill="FFFFFF"/>
        <w:tabs>
          <w:tab w:val="clear" w:pos="708"/>
          <w:tab w:val="left" w:pos="1418" w:leader="none"/>
        </w:tabs>
        <w:spacing w:before="0" w:after="0"/>
        <w:ind w:left="0" w:firstLine="709"/>
        <w:contextualSpacing/>
        <w:jc w:val="both"/>
        <w:rPr>
          <w:sz w:val="24"/>
          <w:szCs w:val="24"/>
        </w:rPr>
      </w:pPr>
      <w:bookmarkStart w:id="3" w:name="_Ref361396594"/>
      <w:r>
        <w:rPr>
          <w:sz w:val="24"/>
          <w:szCs w:val="24"/>
        </w:rPr>
        <w:t>Датой поставки Товара является дата подписания Сторонами Накладной</w:t>
        <w:br/>
        <w:t>ТОРГ-12</w:t>
      </w:r>
      <w:bookmarkEnd w:id="3"/>
      <w:r>
        <w:rPr>
          <w:sz w:val="24"/>
          <w:szCs w:val="24"/>
        </w:rPr>
        <w:t>/УПД.</w:t>
      </w:r>
    </w:p>
    <w:p>
      <w:pPr>
        <w:pStyle w:val="Normal"/>
        <w:widowControl/>
        <w:numPr>
          <w:ilvl w:val="1"/>
          <w:numId w:val="164"/>
        </w:numPr>
        <w:shd w:val="clear" w:color="auto" w:fill="FFFFFF"/>
        <w:tabs>
          <w:tab w:val="clear" w:pos="708"/>
          <w:tab w:val="left" w:pos="1418" w:leader="none"/>
        </w:tabs>
        <w:spacing w:before="0" w:after="0"/>
        <w:ind w:left="0" w:firstLine="709"/>
        <w:contextualSpacing/>
        <w:jc w:val="both"/>
        <w:rPr>
          <w:sz w:val="24"/>
          <w:szCs w:val="24"/>
        </w:rPr>
      </w:pPr>
      <w:r>
        <w:rPr>
          <w:sz w:val="24"/>
          <w:szCs w:val="24"/>
        </w:rPr>
        <w:t xml:space="preserve">Приемка Товара осуществляется Покупателем в дату поставки Товара в присутствии представителя Поставщика. </w:t>
      </w:r>
    </w:p>
    <w:p>
      <w:pPr>
        <w:pStyle w:val="Normal"/>
        <w:widowControl/>
        <w:numPr>
          <w:ilvl w:val="1"/>
          <w:numId w:val="165"/>
        </w:numPr>
        <w:tabs>
          <w:tab w:val="clear" w:pos="708"/>
          <w:tab w:val="left" w:pos="1418" w:leader="none"/>
        </w:tabs>
        <w:spacing w:before="0" w:after="0"/>
        <w:ind w:left="0" w:firstLine="709"/>
        <w:contextualSpacing/>
        <w:jc w:val="both"/>
        <w:rPr>
          <w:sz w:val="24"/>
          <w:szCs w:val="24"/>
        </w:rPr>
      </w:pPr>
      <w:r>
        <w:rPr>
          <w:sz w:val="24"/>
          <w:szCs w:val="24"/>
        </w:rPr>
        <w:t>Если при передаче Товара Покупателю будет обнаружено несоответствие Товара требованиям Заявки и Договора, Покупатель вправе отказаться от получения Товара, сделав соответствующую отметку в Накладной ТОРГ-12/УПД.</w:t>
      </w:r>
    </w:p>
    <w:p>
      <w:pPr>
        <w:pStyle w:val="Normal"/>
        <w:widowControl/>
        <w:numPr>
          <w:ilvl w:val="1"/>
          <w:numId w:val="166"/>
        </w:numPr>
        <w:tabs>
          <w:tab w:val="clear" w:pos="708"/>
          <w:tab w:val="left" w:pos="1418" w:leader="none"/>
        </w:tabs>
        <w:spacing w:before="0" w:after="0"/>
        <w:ind w:left="0" w:firstLine="709"/>
        <w:contextualSpacing/>
        <w:jc w:val="both"/>
        <w:rPr>
          <w:sz w:val="24"/>
          <w:szCs w:val="24"/>
        </w:rPr>
      </w:pPr>
      <w:r>
        <w:rPr>
          <w:sz w:val="24"/>
          <w:szCs w:val="24"/>
        </w:rPr>
        <w:t xml:space="preserve">В случае обнаружения недопоставки, недостатков, несоответствий и / или дефектов Товара, а также в случае отсутствия необходимых принадлежностей, относящихся к Товару, Стороны составляют Акт рекламации. В Акте рекламации Сторонами указываются, в том числе, сроки и способ устранения недостатков, несоответствий и / или дефектов Товара.  </w:t>
      </w:r>
    </w:p>
    <w:p>
      <w:pPr>
        <w:pStyle w:val="Normal"/>
        <w:shd w:val="clear" w:color="auto" w:fill="FFFFFF"/>
        <w:tabs>
          <w:tab w:val="clear" w:pos="708"/>
          <w:tab w:val="left" w:pos="1134" w:leader="none"/>
          <w:tab w:val="left" w:pos="1418" w:leader="none"/>
          <w:tab w:val="left" w:pos="1851" w:leader="none"/>
        </w:tabs>
        <w:ind w:firstLine="709"/>
        <w:jc w:val="both"/>
        <w:rPr>
          <w:sz w:val="24"/>
          <w:szCs w:val="24"/>
        </w:rPr>
      </w:pPr>
      <w:r>
        <w:rPr>
          <w:sz w:val="24"/>
          <w:szCs w:val="24"/>
        </w:rPr>
        <w:t>Поставщик обязан своими силами и за свой счет устранить выявленные недостатки, несоответствия и / или дефекты Товара, в том числе путем его замены на новый, в течение 10 (десяти) календарных дней со дня составления Сторонами Акта рекламации, если иной способ и сроки не согласованы Сторонами. После устранения недостатков, несоответствий и / или дефектов Товара его приемка осуществляется в соответствии с настоящим разделом Договора.</w:t>
      </w:r>
    </w:p>
    <w:p>
      <w:pPr>
        <w:pStyle w:val="Normal"/>
        <w:shd w:val="clear" w:color="auto" w:fill="FFFFFF"/>
        <w:tabs>
          <w:tab w:val="clear" w:pos="708"/>
          <w:tab w:val="left" w:pos="1134" w:leader="none"/>
          <w:tab w:val="left" w:pos="1418" w:leader="none"/>
          <w:tab w:val="left" w:pos="1851" w:leader="none"/>
        </w:tabs>
        <w:ind w:firstLine="709"/>
        <w:jc w:val="both"/>
        <w:rPr>
          <w:sz w:val="24"/>
          <w:szCs w:val="24"/>
        </w:rPr>
      </w:pPr>
      <w:bookmarkStart w:id="4" w:name="_Ref361408232"/>
      <w:r>
        <w:rPr>
          <w:sz w:val="24"/>
          <w:szCs w:val="24"/>
        </w:rPr>
        <w:t>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 а Поставщик лишается права ссылаться на отсутствие платежа при просрочке поставки Товара по Заявке.</w:t>
      </w:r>
      <w:bookmarkEnd w:id="4"/>
    </w:p>
    <w:p>
      <w:pPr>
        <w:pStyle w:val="Normal"/>
        <w:widowControl/>
        <w:numPr>
          <w:ilvl w:val="1"/>
          <w:numId w:val="167"/>
        </w:numPr>
        <w:shd w:val="clear" w:color="auto" w:fill="FFFFFF"/>
        <w:tabs>
          <w:tab w:val="clear" w:pos="708"/>
          <w:tab w:val="left" w:pos="1418" w:leader="none"/>
          <w:tab w:val="left" w:pos="1851" w:leader="none"/>
        </w:tabs>
        <w:spacing w:before="0" w:after="0"/>
        <w:ind w:left="0" w:firstLine="709"/>
        <w:contextualSpacing/>
        <w:jc w:val="both"/>
        <w:rPr>
          <w:sz w:val="24"/>
          <w:szCs w:val="24"/>
        </w:rPr>
      </w:pPr>
      <w:r>
        <w:rPr>
          <w:sz w:val="24"/>
          <w:szCs w:val="24"/>
        </w:rPr>
        <w:t>В случае неисполнения Поставщиком обязательств по устранению выявленных недостатков, несоответствий и / или дефектов Товара в порядке, предусмотренном пунктом 3.14 Договора, Покупатель вправе отказаться от приемки Товара, направив соответствующее письменное уведомление Поставщику. Поставщик не позднее 5 (пяти) рабочих дней с даты получения уведомления обязан обеспечить вывоз Товара, от которой отказался Покупатель, возвратить ее стоимость, а также возместить убытки, причиненные Покупателю ненадлежащим исполнением Договора, в том числе расходы на хранение Товара.</w:t>
      </w:r>
    </w:p>
    <w:p>
      <w:pPr>
        <w:pStyle w:val="Normal"/>
        <w:shd w:val="clear" w:color="auto" w:fill="FFFFFF"/>
        <w:tabs>
          <w:tab w:val="clear" w:pos="708"/>
          <w:tab w:val="left" w:pos="1283" w:leader="none"/>
          <w:tab w:val="left" w:pos="1851" w:leader="none"/>
        </w:tabs>
        <w:ind w:firstLine="709"/>
        <w:jc w:val="both"/>
        <w:rPr>
          <w:sz w:val="24"/>
          <w:szCs w:val="24"/>
        </w:rPr>
      </w:pPr>
      <w:r>
        <w:rPr>
          <w:sz w:val="24"/>
          <w:szCs w:val="24"/>
        </w:rPr>
        <w:t>Если Поставщик не вывезет Товар в указанный срок, Покупатель вправе самостоятельно возвратить Товар Поставщику. Расходы, понесенные Покупателем в связи                   с возвратом Товара, подлежат возмещению Поставщиком.</w:t>
      </w:r>
    </w:p>
    <w:p>
      <w:pPr>
        <w:pStyle w:val="Normal"/>
        <w:widowControl/>
        <w:numPr>
          <w:ilvl w:val="1"/>
          <w:numId w:val="168"/>
        </w:numPr>
        <w:shd w:val="clear" w:color="auto" w:fill="FFFFFF"/>
        <w:tabs>
          <w:tab w:val="clear" w:pos="708"/>
          <w:tab w:val="left" w:pos="1134" w:leader="none"/>
          <w:tab w:val="left" w:pos="1418" w:leader="none"/>
        </w:tabs>
        <w:spacing w:before="0" w:after="0"/>
        <w:ind w:left="0" w:firstLine="709"/>
        <w:contextualSpacing/>
        <w:jc w:val="both"/>
        <w:rPr>
          <w:b/>
          <w:color w:val="000000"/>
          <w:sz w:val="24"/>
          <w:szCs w:val="24"/>
        </w:rPr>
      </w:pPr>
      <w:r>
        <w:rPr>
          <w:sz w:val="24"/>
          <w:szCs w:val="24"/>
        </w:rPr>
        <w:t>По иным вопросам, касающимся приемки Товара по количеству, качеству и комплектности, в части не противоречащей законодательству Российской Федерации и условиям Договора, Стороны руководствуются Инструкцией Госарбитража при Совете Министров СССР от 15.06.1965 № П-6 (за исключением пунктов 18, 21, 29-32), Инструкцией Госарбитража при Совете Министров СССР от 25.04.1966 № П-7 (за исключением пунктов 20, 23, абз.3 пункта 30, 35, 38-42).</w:t>
      </w:r>
      <w:r>
        <w:rPr>
          <w:b/>
          <w:bCs/>
          <w:color w:val="000000"/>
          <w:sz w:val="24"/>
          <w:szCs w:val="24"/>
        </w:rPr>
        <w:t xml:space="preserve"> </w:t>
      </w:r>
    </w:p>
    <w:p>
      <w:pPr>
        <w:pStyle w:val="Normal"/>
        <w:widowControl/>
        <w:numPr>
          <w:ilvl w:val="1"/>
          <w:numId w:val="169"/>
        </w:numPr>
        <w:shd w:val="clear" w:color="auto" w:fill="FFFFFF"/>
        <w:tabs>
          <w:tab w:val="clear" w:pos="708"/>
          <w:tab w:val="left" w:pos="1134" w:leader="none"/>
          <w:tab w:val="left" w:pos="1418" w:leader="none"/>
        </w:tabs>
        <w:spacing w:before="0" w:after="0"/>
        <w:ind w:left="0" w:firstLine="709"/>
        <w:contextualSpacing/>
        <w:jc w:val="both"/>
        <w:rPr>
          <w:sz w:val="24"/>
          <w:szCs w:val="24"/>
        </w:rPr>
      </w:pPr>
      <w:r>
        <w:rPr>
          <w:sz w:val="24"/>
          <w:szCs w:val="24"/>
        </w:rPr>
        <w:t>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Накладной ТОРГ-12/УПД.</w:t>
      </w:r>
    </w:p>
    <w:p>
      <w:pPr>
        <w:pStyle w:val="Normal"/>
        <w:shd w:val="clear" w:color="auto" w:fill="FFFFFF"/>
        <w:tabs>
          <w:tab w:val="clear" w:pos="708"/>
          <w:tab w:val="left" w:pos="1190" w:leader="none"/>
        </w:tabs>
        <w:jc w:val="both"/>
        <w:rPr>
          <w:sz w:val="24"/>
          <w:szCs w:val="24"/>
        </w:rPr>
      </w:pPr>
      <w:r>
        <w:rPr>
          <w:sz w:val="24"/>
          <w:szCs w:val="24"/>
        </w:rPr>
      </w:r>
    </w:p>
    <w:p>
      <w:pPr>
        <w:pStyle w:val="Normal"/>
        <w:widowControl/>
        <w:numPr>
          <w:ilvl w:val="0"/>
          <w:numId w:val="170"/>
        </w:numPr>
        <w:shd w:val="clear" w:color="auto" w:fill="FFFFFF"/>
        <w:ind w:left="0" w:hanging="0"/>
        <w:jc w:val="center"/>
        <w:rPr>
          <w:b/>
          <w:bCs/>
          <w:sz w:val="24"/>
          <w:szCs w:val="24"/>
        </w:rPr>
      </w:pPr>
      <w:r>
        <w:rPr>
          <w:b/>
          <w:bCs/>
          <w:sz w:val="24"/>
          <w:szCs w:val="24"/>
        </w:rPr>
        <w:t>Ответственность Сторон</w:t>
      </w:r>
    </w:p>
    <w:p>
      <w:pPr>
        <w:pStyle w:val="Normal"/>
        <w:widowControl/>
        <w:numPr>
          <w:ilvl w:val="1"/>
          <w:numId w:val="10"/>
        </w:numPr>
        <w:tabs>
          <w:tab w:val="clear" w:pos="708"/>
          <w:tab w:val="left" w:pos="1276" w:leader="none"/>
        </w:tabs>
        <w:spacing w:before="0" w:after="0"/>
        <w:ind w:left="0" w:firstLine="851"/>
        <w:contextualSpacing/>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Normal"/>
        <w:widowControl/>
        <w:numPr>
          <w:ilvl w:val="1"/>
          <w:numId w:val="10"/>
        </w:numPr>
        <w:shd w:val="clear" w:color="auto" w:fill="FFFFFF"/>
        <w:tabs>
          <w:tab w:val="clear" w:pos="708"/>
          <w:tab w:val="left" w:pos="1134" w:leader="none"/>
        </w:tabs>
        <w:ind w:left="0" w:firstLine="709"/>
        <w:jc w:val="both"/>
        <w:rPr>
          <w:highlight w:val="none"/>
          <w:shd w:fill="auto" w:val="clear"/>
        </w:rPr>
      </w:pPr>
      <w:r>
        <w:rPr>
          <w:bCs/>
          <w:sz w:val="24"/>
          <w:szCs w:val="24"/>
          <w:shd w:fill="auto" w:val="clear"/>
        </w:rPr>
        <w:t xml:space="preserve">Покупатель не несет ответственности за ненадлежащее исполнение обязательств </w:t>
        <w:br/>
        <w:t>по внесению предварительной оплаты (аванса). В случае нарушения Покупателем сроков выплаты авансовых платежей Поставщик имеет право приостановить поставку Товара по Договору при условии предварительного письменного уведомления Покупателя о таком приостановлении.</w:t>
      </w:r>
    </w:p>
    <w:p>
      <w:pPr>
        <w:pStyle w:val="BodyText"/>
        <w:widowControl/>
        <w:numPr>
          <w:ilvl w:val="1"/>
          <w:numId w:val="10"/>
        </w:numPr>
        <w:tabs>
          <w:tab w:val="clear" w:pos="708"/>
          <w:tab w:val="left" w:pos="1276" w:leader="none"/>
        </w:tabs>
        <w:spacing w:before="0" w:after="0"/>
        <w:ind w:left="0" w:firstLine="851"/>
        <w:contextualSpacing/>
        <w:jc w:val="both"/>
        <w:rPr>
          <w:sz w:val="24"/>
          <w:szCs w:val="24"/>
        </w:rPr>
      </w:pPr>
      <w:r>
        <w:rPr>
          <w:sz w:val="24"/>
          <w:szCs w:val="24"/>
          <w:shd w:fill="auto" w:val="clear"/>
        </w:rPr>
        <w:t>В случае</w:t>
      </w:r>
      <w:r>
        <w:rPr>
          <w:sz w:val="24"/>
          <w:szCs w:val="24"/>
        </w:rPr>
        <w:t xml:space="preserve"> нарушения Покупателем сроков оплаты, установленных разделом 2 Договора (за исключением срока оплаты авансовых платежей), Поставщик вправе требовать уплаты Покупателем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w:t>
      </w:r>
      <w:r>
        <w:rPr>
          <w:rFonts w:ascii="Times New              Roman;se" w:hAnsi="Times New              Roman;se"/>
          <w:sz w:val="28"/>
          <w:szCs w:val="24"/>
        </w:rPr>
        <w:t xml:space="preserve">, </w:t>
      </w:r>
      <w:r>
        <w:rPr>
          <w:sz w:val="24"/>
          <w:szCs w:val="24"/>
        </w:rPr>
        <w:t>но не более 5 (Пяти) процентов от несвоевременно оплаченной суммы.</w:t>
      </w:r>
    </w:p>
    <w:p>
      <w:pPr>
        <w:pStyle w:val="Normal"/>
        <w:widowControl/>
        <w:numPr>
          <w:ilvl w:val="1"/>
          <w:numId w:val="10"/>
        </w:numPr>
        <w:tabs>
          <w:tab w:val="clear" w:pos="708"/>
          <w:tab w:val="left" w:pos="1276" w:leader="none"/>
        </w:tabs>
        <w:spacing w:before="0" w:after="0"/>
        <w:ind w:left="0" w:firstLine="709"/>
        <w:contextualSpacing/>
        <w:jc w:val="both"/>
        <w:rPr>
          <w:bCs/>
          <w:sz w:val="24"/>
          <w:szCs w:val="24"/>
        </w:rPr>
      </w:pPr>
      <w:r>
        <w:rPr>
          <w:sz w:val="24"/>
          <w:szCs w:val="24"/>
        </w:rPr>
        <w:t>В случае нарушения Поставщиком обязательств по поставке Товара (нарушение срока поставки, недопоставка), в том числе установленных в Заявке, а также в случае несвоевременного устранения выявленных недостатков Товара, Покупатель вправе требовать уплаты Поставщиком неустойки в размере 0,1 (ноль целых и одна десятая) процента от Цены Договора за каждый день просрочки.</w:t>
      </w:r>
    </w:p>
    <w:p>
      <w:pPr>
        <w:pStyle w:val="Normal"/>
        <w:widowControl/>
        <w:numPr>
          <w:ilvl w:val="1"/>
          <w:numId w:val="10"/>
        </w:numPr>
        <w:tabs>
          <w:tab w:val="clear" w:pos="708"/>
          <w:tab w:val="left" w:pos="1134" w:leader="none"/>
        </w:tabs>
        <w:spacing w:before="0" w:after="0"/>
        <w:ind w:left="0" w:firstLine="709"/>
        <w:contextualSpacing/>
        <w:jc w:val="both"/>
        <w:rPr>
          <w:highlight w:val="none"/>
          <w:shd w:fill="auto" w:val="clear"/>
        </w:rPr>
      </w:pPr>
      <w:r>
        <w:rPr>
          <w:sz w:val="24"/>
          <w:szCs w:val="24"/>
          <w:shd w:fill="auto" w:val="clear"/>
        </w:rPr>
        <w:t>В случае несвоевременного устранения Поставщиком выявленных недостатков товара, Покупатель вправе потребовать уплаты Поставщиком:</w:t>
      </w:r>
    </w:p>
    <w:p>
      <w:pPr>
        <w:pStyle w:val="Normal"/>
        <w:widowControl/>
        <w:numPr>
          <w:ilvl w:val="0"/>
          <w:numId w:val="0"/>
        </w:numPr>
        <w:tabs>
          <w:tab w:val="clear" w:pos="708"/>
          <w:tab w:val="left" w:pos="993" w:leader="none"/>
        </w:tabs>
        <w:ind w:left="0" w:hanging="0"/>
        <w:jc w:val="both"/>
        <w:rPr>
          <w:highlight w:val="none"/>
          <w:shd w:fill="auto" w:val="clear"/>
        </w:rPr>
      </w:pPr>
      <w:r>
        <w:rPr>
          <w:bCs/>
          <w:sz w:val="24"/>
          <w:szCs w:val="24"/>
          <w:shd w:fill="auto" w:val="clear"/>
        </w:rPr>
        <w:t>-неустойки в размере 0,1 (ноль целых и одна десятая) процента от цены Договора за каждый день просрочки – в случае несвоевременного устранения выявленных недостатков товара, влияющих на возможность эксплуатации (использования) товара в целом;</w:t>
      </w:r>
    </w:p>
    <w:p>
      <w:pPr>
        <w:pStyle w:val="Normal"/>
        <w:widowControl/>
        <w:numPr>
          <w:ilvl w:val="0"/>
          <w:numId w:val="0"/>
        </w:numPr>
        <w:tabs>
          <w:tab w:val="clear" w:pos="708"/>
          <w:tab w:val="left" w:pos="993" w:leader="none"/>
        </w:tabs>
        <w:ind w:left="0" w:hanging="0"/>
        <w:jc w:val="both"/>
        <w:rPr>
          <w:highlight w:val="none"/>
          <w:shd w:fill="auto" w:val="clear"/>
        </w:rPr>
      </w:pPr>
      <w:r>
        <w:rPr>
          <w:bCs/>
          <w:sz w:val="24"/>
          <w:szCs w:val="24"/>
          <w:shd w:fill="auto" w:val="clear"/>
        </w:rPr>
        <w:t>-неустойки в размере 0,1 (ноль целых и одна десятая) процента от стоимости некачественного товара за каждый день просрочки – в случае несвоевременного устранения выявленных недостатков товара, не влияющих на возможность эксплуатации (использования) товара в целом.</w:t>
      </w:r>
    </w:p>
    <w:p>
      <w:pPr>
        <w:pStyle w:val="Normal"/>
        <w:widowControl/>
        <w:numPr>
          <w:ilvl w:val="0"/>
          <w:numId w:val="0"/>
        </w:numPr>
        <w:tabs>
          <w:tab w:val="clear" w:pos="708"/>
          <w:tab w:val="left" w:pos="993" w:leader="none"/>
        </w:tabs>
        <w:ind w:left="0" w:hanging="0"/>
        <w:jc w:val="both"/>
        <w:rPr>
          <w:highlight w:val="none"/>
          <w:shd w:fill="auto" w:val="clear"/>
        </w:rPr>
      </w:pPr>
      <w:r>
        <w:rPr>
          <w:rFonts w:eastAsia="Calibri"/>
          <w:bCs/>
          <w:sz w:val="24"/>
          <w:szCs w:val="24"/>
          <w:shd w:fill="auto" w:val="clear"/>
        </w:rPr>
        <w:t xml:space="preserve"> </w:t>
      </w:r>
    </w:p>
    <w:p>
      <w:pPr>
        <w:pStyle w:val="Normal"/>
        <w:widowControl/>
        <w:numPr>
          <w:ilvl w:val="1"/>
          <w:numId w:val="10"/>
        </w:numPr>
        <w:shd w:val="clear" w:color="auto" w:fill="FFFFFF"/>
        <w:tabs>
          <w:tab w:val="clear" w:pos="708"/>
          <w:tab w:val="left" w:pos="1276" w:leader="none"/>
        </w:tabs>
        <w:spacing w:before="0" w:after="0"/>
        <w:ind w:left="0" w:firstLine="709"/>
        <w:contextualSpacing/>
        <w:jc w:val="both"/>
        <w:rPr>
          <w:highlight w:val="none"/>
          <w:shd w:fill="auto" w:val="clear"/>
        </w:rPr>
      </w:pPr>
      <w:r>
        <w:rPr>
          <w:rFonts w:eastAsia="Calibri"/>
          <w:bCs/>
          <w:sz w:val="24"/>
          <w:szCs w:val="24"/>
          <w:shd w:fill="auto" w:val="clear"/>
        </w:rPr>
        <w:t>На сумму подлежащего возврату аванса начисляется неустойка в размере 0,1 (ноль целых и одна десятая) процента с даты, установленной для возврата аванса</w:t>
      </w:r>
      <w:r>
        <w:rPr>
          <w:bCs/>
          <w:sz w:val="24"/>
          <w:szCs w:val="24"/>
          <w:shd w:fill="auto" w:val="clear"/>
        </w:rPr>
        <w:t>.</w:t>
      </w:r>
    </w:p>
    <w:p>
      <w:pPr>
        <w:pStyle w:val="Normal"/>
        <w:widowControl/>
        <w:numPr>
          <w:ilvl w:val="1"/>
          <w:numId w:val="10"/>
        </w:numPr>
        <w:shd w:val="clear" w:color="auto" w:fill="FFFFFF"/>
        <w:tabs>
          <w:tab w:val="clear" w:pos="708"/>
          <w:tab w:val="left" w:pos="1276" w:leader="none"/>
        </w:tabs>
        <w:spacing w:before="0" w:after="0"/>
        <w:ind w:left="0" w:firstLine="709"/>
        <w:contextualSpacing/>
        <w:jc w:val="both"/>
        <w:rPr>
          <w:bCs/>
          <w:sz w:val="24"/>
          <w:szCs w:val="24"/>
        </w:rPr>
      </w:pPr>
      <w:r>
        <w:rPr>
          <w:bCs/>
          <w:sz w:val="24"/>
          <w:szCs w:val="24"/>
          <w:shd w:fill="auto" w:val="clear"/>
        </w:rPr>
        <w:t>В случае нарушения Поставщиком требований пропускного и внутриобъектового режима, требований охраны труда, пожарной и промышленной безопасности, если они зафиксированы Покупателем или уполномоченным государственным органом, Покупатель, пом</w:t>
      </w:r>
      <w:r>
        <w:rPr>
          <w:bCs/>
          <w:sz w:val="24"/>
          <w:szCs w:val="24"/>
        </w:rPr>
        <w:t xml:space="preserve">имо возмещения убытков, вправе требовать уплаты Поставщиком штрафа в размерах, установленных Приложением № 3 к Договору. </w:t>
      </w:r>
    </w:p>
    <w:p>
      <w:pPr>
        <w:pStyle w:val="Normal"/>
        <w:widowControl/>
        <w:numPr>
          <w:ilvl w:val="1"/>
          <w:numId w:val="10"/>
        </w:numPr>
        <w:shd w:val="clear" w:color="auto" w:fill="FFFFFF"/>
        <w:tabs>
          <w:tab w:val="clear" w:pos="708"/>
          <w:tab w:val="left" w:pos="1276" w:leader="none"/>
        </w:tabs>
        <w:spacing w:before="0" w:after="0"/>
        <w:ind w:left="0" w:firstLine="709"/>
        <w:contextualSpacing/>
        <w:jc w:val="both"/>
        <w:rPr>
          <w:bCs/>
          <w:sz w:val="24"/>
          <w:szCs w:val="24"/>
        </w:rPr>
      </w:pPr>
      <w:r>
        <w:rPr>
          <w:bCs/>
          <w:sz w:val="24"/>
          <w:szCs w:val="24"/>
        </w:rPr>
        <w:t xml:space="preserve">Если в результате составления и выставления Поставщиком счетов-фактур </w:t>
        <w:br/>
        <w:t xml:space="preserve">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w:t>
        <w:br/>
        <w:t xml:space="preserve">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w:t>
        <w:br/>
        <w:t>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w:t>
      </w:r>
    </w:p>
    <w:p>
      <w:pPr>
        <w:pStyle w:val="Normal"/>
        <w:widowControl/>
        <w:numPr>
          <w:ilvl w:val="0"/>
          <w:numId w:val="0"/>
        </w:numPr>
        <w:shd w:val="clear" w:color="auto" w:fill="FFFFFF"/>
        <w:tabs>
          <w:tab w:val="clear" w:pos="708"/>
          <w:tab w:val="left" w:pos="1276" w:leader="none"/>
        </w:tabs>
        <w:ind w:left="0" w:hanging="0"/>
        <w:jc w:val="both"/>
        <w:rPr>
          <w:bCs/>
          <w:sz w:val="24"/>
          <w:szCs w:val="24"/>
        </w:rPr>
      </w:pPr>
      <w:r>
        <w:rPr>
          <w:bCs/>
          <w:sz w:val="24"/>
          <w:szCs w:val="24"/>
        </w:rPr>
        <w:t>В случае нарушения Поставщиком сроков предоставления счетов-фактур, установленных пунктом 2.9. Договора, Покупатель вправе требовать уплаты Поставщиком штрафа в размере 50 000 (Пятидесяти тысяч) рублей за каждый случай нарушения.</w:t>
      </w:r>
    </w:p>
    <w:p>
      <w:pPr>
        <w:pStyle w:val="Normal"/>
        <w:widowControl/>
        <w:numPr>
          <w:ilvl w:val="1"/>
          <w:numId w:val="10"/>
        </w:numPr>
        <w:shd w:val="clear" w:color="auto" w:fill="FFFFFF"/>
        <w:tabs>
          <w:tab w:val="clear" w:pos="708"/>
          <w:tab w:val="left" w:pos="1276" w:leader="none"/>
          <w:tab w:val="left" w:pos="4260" w:leader="none"/>
        </w:tabs>
        <w:spacing w:before="0" w:after="0"/>
        <w:ind w:left="0" w:firstLine="709"/>
        <w:contextualSpacing/>
        <w:jc w:val="both"/>
        <w:rPr>
          <w:bCs/>
          <w:sz w:val="24"/>
          <w:szCs w:val="24"/>
        </w:rPr>
      </w:pPr>
      <w:r>
        <w:rPr>
          <w:bCs/>
          <w:sz w:val="24"/>
          <w:szCs w:val="24"/>
        </w:rPr>
        <w:t xml:space="preserve">Поставщик несет ответственность перед Покупателем за причиненный ущерб </w:t>
        <w:br/>
        <w:t xml:space="preserve">в размере фактически понесенных и документально подтвержденных расходов, возникших </w:t>
        <w:br/>
        <w:t>в связи с неисполнением (ненадлежащим исполнением) Поставщиком своих обязательств, произведенных для восстановления нарушенного права, а также упущенной выгоды.</w:t>
      </w:r>
    </w:p>
    <w:p>
      <w:pPr>
        <w:pStyle w:val="Normal"/>
        <w:widowControl/>
        <w:numPr>
          <w:ilvl w:val="1"/>
          <w:numId w:val="10"/>
        </w:numPr>
        <w:shd w:val="clear" w:color="auto" w:fill="FFFFFF"/>
        <w:tabs>
          <w:tab w:val="clear" w:pos="708"/>
          <w:tab w:val="left" w:pos="1276" w:leader="none"/>
        </w:tabs>
        <w:spacing w:before="0" w:after="0"/>
        <w:ind w:left="0" w:firstLine="709"/>
        <w:contextualSpacing/>
        <w:jc w:val="both"/>
        <w:rPr>
          <w:bCs/>
          <w:sz w:val="24"/>
          <w:szCs w:val="24"/>
        </w:rPr>
      </w:pPr>
      <w:r>
        <w:rPr>
          <w:sz w:val="24"/>
          <w:szCs w:val="24"/>
        </w:rPr>
        <w:t>Ответственность Покупателя за причиненные Поставщику убытки ограничивается реальным ущербом, но не более Цены Договора.</w:t>
      </w:r>
    </w:p>
    <w:p>
      <w:pPr>
        <w:pStyle w:val="Normal"/>
        <w:widowControl/>
        <w:numPr>
          <w:ilvl w:val="1"/>
          <w:numId w:val="10"/>
        </w:numPr>
        <w:shd w:val="clear" w:color="auto" w:fill="FFFFFF"/>
        <w:tabs>
          <w:tab w:val="clear" w:pos="708"/>
          <w:tab w:val="left" w:pos="1276" w:leader="none"/>
        </w:tabs>
        <w:spacing w:before="0" w:after="0"/>
        <w:ind w:left="0" w:firstLine="709"/>
        <w:contextualSpacing/>
        <w:jc w:val="both"/>
        <w:rPr>
          <w:bCs/>
          <w:sz w:val="24"/>
          <w:szCs w:val="24"/>
        </w:rPr>
      </w:pPr>
      <w:r>
        <w:rPr>
          <w:bCs/>
          <w:sz w:val="24"/>
          <w:szCs w:val="24"/>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Normal"/>
        <w:widowControl/>
        <w:numPr>
          <w:ilvl w:val="1"/>
          <w:numId w:val="10"/>
        </w:numPr>
        <w:shd w:val="clear" w:color="auto" w:fill="FFFFFF"/>
        <w:tabs>
          <w:tab w:val="clear" w:pos="708"/>
          <w:tab w:val="left" w:pos="1276" w:leader="none"/>
        </w:tabs>
        <w:spacing w:before="0" w:after="0"/>
        <w:ind w:left="0" w:firstLine="709"/>
        <w:contextualSpacing/>
        <w:jc w:val="both"/>
        <w:rPr>
          <w:bCs/>
          <w:sz w:val="24"/>
          <w:szCs w:val="24"/>
        </w:rPr>
      </w:pPr>
      <w:r>
        <w:rPr>
          <w:bCs/>
          <w:sz w:val="24"/>
          <w:szCs w:val="24"/>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Normal"/>
        <w:widowControl/>
        <w:numPr>
          <w:ilvl w:val="1"/>
          <w:numId w:val="10"/>
        </w:numPr>
        <w:shd w:val="clear" w:color="auto" w:fill="FFFFFF"/>
        <w:tabs>
          <w:tab w:val="clear" w:pos="708"/>
          <w:tab w:val="left" w:pos="1276" w:leader="none"/>
        </w:tabs>
        <w:spacing w:before="0" w:after="0"/>
        <w:ind w:left="0" w:firstLine="709"/>
        <w:contextualSpacing/>
        <w:jc w:val="both"/>
        <w:rPr>
          <w:bCs/>
          <w:sz w:val="24"/>
          <w:szCs w:val="24"/>
        </w:rPr>
      </w:pPr>
      <w:r>
        <w:rPr>
          <w:bCs/>
          <w:sz w:val="24"/>
          <w:szCs w:val="24"/>
        </w:rPr>
        <w:t>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pPr>
        <w:pStyle w:val="Normal"/>
        <w:numPr>
          <w:ilvl w:val="1"/>
          <w:numId w:val="10"/>
        </w:numPr>
        <w:tabs>
          <w:tab w:val="clear" w:pos="708"/>
          <w:tab w:val="left" w:pos="1276" w:leader="none"/>
        </w:tabs>
        <w:spacing w:before="0" w:after="0"/>
        <w:ind w:left="0" w:firstLine="709"/>
        <w:contextualSpacing/>
        <w:jc w:val="both"/>
        <w:rPr>
          <w:highlight w:val="none"/>
          <w:shd w:fill="auto" w:val="clear"/>
        </w:rPr>
      </w:pPr>
      <w:r>
        <w:rPr>
          <w:bCs/>
          <w:sz w:val="24"/>
          <w:szCs w:val="24"/>
          <w:shd w:fill="auto" w:val="clear"/>
        </w:rPr>
        <w:t>В случае нарушения Поставщиком обязательств по договору Покупатель вправе удержать начисленную за нарушения обязательств по договору неустойку в одностороннем внесудебном порядке из суммы, подлежащей уплате Поставщику.</w:t>
      </w:r>
    </w:p>
    <w:p>
      <w:pPr>
        <w:pStyle w:val="Normal"/>
        <w:shd w:val="clear" w:color="auto" w:fill="FFFFFF"/>
        <w:ind w:firstLine="709"/>
        <w:jc w:val="both"/>
        <w:rPr>
          <w:sz w:val="24"/>
          <w:szCs w:val="24"/>
        </w:rPr>
      </w:pPr>
      <w:r>
        <w:rPr>
          <w:sz w:val="24"/>
          <w:szCs w:val="24"/>
        </w:rPr>
      </w:r>
    </w:p>
    <w:p>
      <w:pPr>
        <w:pStyle w:val="Normal"/>
        <w:widowControl/>
        <w:numPr>
          <w:ilvl w:val="0"/>
          <w:numId w:val="171"/>
        </w:numPr>
        <w:shd w:val="clear" w:color="auto" w:fill="FFFFFF"/>
        <w:tabs>
          <w:tab w:val="clear" w:pos="708"/>
          <w:tab w:val="left" w:pos="0" w:leader="none"/>
        </w:tabs>
        <w:spacing w:before="0" w:after="0"/>
        <w:ind w:left="0" w:hanging="0"/>
        <w:contextualSpacing/>
        <w:jc w:val="center"/>
        <w:rPr>
          <w:b/>
          <w:bCs/>
          <w:sz w:val="24"/>
          <w:szCs w:val="24"/>
        </w:rPr>
      </w:pPr>
      <w:r>
        <w:rPr>
          <w:b/>
          <w:bCs/>
          <w:sz w:val="24"/>
          <w:szCs w:val="24"/>
        </w:rPr>
        <w:t>Конфиденциальность</w:t>
      </w:r>
    </w:p>
    <w:p>
      <w:pPr>
        <w:pStyle w:val="Normal"/>
        <w:widowControl/>
        <w:numPr>
          <w:ilvl w:val="1"/>
          <w:numId w:val="172"/>
        </w:numPr>
        <w:shd w:val="clear" w:color="auto" w:fill="FFFFFF"/>
        <w:tabs>
          <w:tab w:val="clear" w:pos="708"/>
          <w:tab w:val="left" w:pos="0" w:leader="none"/>
          <w:tab w:val="left" w:pos="1134" w:leader="none"/>
        </w:tabs>
        <w:spacing w:before="0" w:after="0"/>
        <w:ind w:left="0" w:firstLine="709"/>
        <w:contextualSpacing/>
        <w:jc w:val="both"/>
        <w:rPr>
          <w:bCs/>
          <w:sz w:val="24"/>
          <w:szCs w:val="24"/>
        </w:rPr>
      </w:pPr>
      <w:r>
        <w:rPr>
          <w:bCs/>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территорию Покупателя в процессе проведения переговоров, заключения и исполнения Договора, в отношении которой соблюдаются следующие условия:</w:t>
      </w:r>
    </w:p>
    <w:p>
      <w:pPr>
        <w:pStyle w:val="Normal"/>
        <w:widowControl/>
        <w:numPr>
          <w:ilvl w:val="0"/>
          <w:numId w:val="4"/>
        </w:numPr>
        <w:tabs>
          <w:tab w:val="clear" w:pos="708"/>
          <w:tab w:val="left" w:pos="0" w:leader="none"/>
          <w:tab w:val="left" w:pos="709" w:leader="none"/>
          <w:tab w:val="left" w:pos="1418" w:leader="none"/>
        </w:tabs>
        <w:ind w:left="0" w:firstLine="709"/>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w:t>
      </w:r>
      <w:r>
        <w:rPr>
          <w:sz w:val="24"/>
          <w:szCs w:val="24"/>
        </w:rPr>
        <w:t xml:space="preserve">м, в том числе по причине </w:t>
      </w:r>
      <w:r>
        <w:rPr>
          <w:bCs/>
          <w:sz w:val="24"/>
          <w:szCs w:val="24"/>
        </w:rPr>
        <w:t>введения в отношении нее режима Коммерческой тайны;</w:t>
      </w:r>
    </w:p>
    <w:p>
      <w:pPr>
        <w:pStyle w:val="Normal"/>
        <w:widowControl/>
        <w:numPr>
          <w:ilvl w:val="0"/>
          <w:numId w:val="4"/>
        </w:numPr>
        <w:tabs>
          <w:tab w:val="clear" w:pos="708"/>
          <w:tab w:val="left" w:pos="0" w:leader="none"/>
          <w:tab w:val="left" w:pos="709" w:leader="none"/>
          <w:tab w:val="left" w:pos="1418" w:leader="none"/>
        </w:tabs>
        <w:ind w:left="0" w:firstLine="709"/>
        <w:jc w:val="both"/>
        <w:rPr>
          <w:bCs/>
          <w:sz w:val="24"/>
          <w:szCs w:val="24"/>
        </w:rPr>
      </w:pPr>
      <w:r>
        <w:rPr>
          <w:bCs/>
          <w:sz w:val="24"/>
          <w:szCs w:val="24"/>
        </w:rPr>
        <w:t xml:space="preserve">данная Информация не относится к категории общедоступной </w:t>
        <w:br/>
        <w:t>или обязательной к раскрытию Покупателем в соответствии с законодательством Российской Федерации.</w:t>
      </w:r>
    </w:p>
    <w:p>
      <w:pPr>
        <w:pStyle w:val="Normal"/>
        <w:widowControl/>
        <w:numPr>
          <w:ilvl w:val="1"/>
          <w:numId w:val="173"/>
        </w:numPr>
        <w:shd w:val="clear" w:color="auto" w:fill="FFFFFF"/>
        <w:tabs>
          <w:tab w:val="clear" w:pos="708"/>
          <w:tab w:val="left" w:pos="0" w:leader="none"/>
          <w:tab w:val="left" w:pos="1134" w:leader="none"/>
        </w:tabs>
        <w:spacing w:before="0" w:after="0"/>
        <w:ind w:left="0" w:firstLine="709"/>
        <w:contextualSpacing/>
        <w:jc w:val="both"/>
        <w:rPr>
          <w:bCs/>
          <w:sz w:val="24"/>
          <w:szCs w:val="24"/>
        </w:rPr>
      </w:pPr>
      <w:r>
        <w:rPr>
          <w:bCs/>
          <w:sz w:val="24"/>
          <w:szCs w:val="24"/>
        </w:rPr>
        <w:t xml:space="preserve">Условия Договора и сам факт его заключения составляют Информацию </w:t>
        <w:br/>
        <w:t xml:space="preserve">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Normal"/>
        <w:widowControl/>
        <w:numPr>
          <w:ilvl w:val="1"/>
          <w:numId w:val="174"/>
        </w:numPr>
        <w:shd w:val="clear" w:color="auto" w:fill="FFFFFF"/>
        <w:tabs>
          <w:tab w:val="clear" w:pos="708"/>
          <w:tab w:val="left" w:pos="0" w:leader="none"/>
          <w:tab w:val="left" w:pos="1134" w:leader="none"/>
        </w:tabs>
        <w:spacing w:before="0" w:after="0"/>
        <w:ind w:left="0" w:firstLine="709"/>
        <w:contextualSpacing/>
        <w:jc w:val="both"/>
        <w:rPr>
          <w:bCs/>
          <w:sz w:val="24"/>
          <w:szCs w:val="24"/>
        </w:rPr>
      </w:pPr>
      <w:r>
        <w:rPr>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Normal"/>
        <w:widowControl/>
        <w:numPr>
          <w:ilvl w:val="1"/>
          <w:numId w:val="175"/>
        </w:numPr>
        <w:shd w:val="clear" w:color="auto" w:fill="FFFFFF"/>
        <w:tabs>
          <w:tab w:val="clear" w:pos="708"/>
          <w:tab w:val="left" w:pos="0" w:leader="none"/>
          <w:tab w:val="left" w:pos="1134" w:leader="none"/>
        </w:tabs>
        <w:spacing w:before="0" w:after="0"/>
        <w:ind w:left="0" w:firstLine="709"/>
        <w:contextualSpacing/>
        <w:jc w:val="both"/>
        <w:rPr>
          <w:bCs/>
          <w:sz w:val="24"/>
          <w:szCs w:val="24"/>
        </w:rPr>
      </w:pPr>
      <w:r>
        <w:rPr>
          <w:bCs/>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pPr>
        <w:pStyle w:val="Normal"/>
        <w:widowControl/>
        <w:numPr>
          <w:ilvl w:val="1"/>
          <w:numId w:val="176"/>
        </w:numPr>
        <w:shd w:val="clear" w:color="auto" w:fill="FFFFFF"/>
        <w:tabs>
          <w:tab w:val="clear" w:pos="708"/>
          <w:tab w:val="left" w:pos="0" w:leader="none"/>
          <w:tab w:val="left" w:pos="1134" w:leader="none"/>
        </w:tabs>
        <w:spacing w:before="0" w:after="0"/>
        <w:ind w:left="0" w:firstLine="709"/>
        <w:contextualSpacing/>
        <w:jc w:val="both"/>
        <w:rPr>
          <w:bCs/>
          <w:sz w:val="24"/>
          <w:szCs w:val="24"/>
        </w:rPr>
      </w:pPr>
      <w:r>
        <w:rPr>
          <w:bCs/>
          <w:sz w:val="24"/>
          <w:szCs w:val="24"/>
        </w:rPr>
        <w:t>Информация может включать в себя, в том числе, но не ограничиваясь:</w:t>
      </w:r>
    </w:p>
    <w:p>
      <w:pPr>
        <w:pStyle w:val="Normal"/>
        <w:widowControl/>
        <w:numPr>
          <w:ilvl w:val="0"/>
          <w:numId w:val="4"/>
        </w:numPr>
        <w:tabs>
          <w:tab w:val="clear" w:pos="708"/>
          <w:tab w:val="left" w:pos="0" w:leader="none"/>
          <w:tab w:val="left" w:pos="1418" w:leader="none"/>
        </w:tabs>
        <w:ind w:left="0" w:firstLine="709"/>
        <w:jc w:val="both"/>
        <w:rPr>
          <w:bCs/>
          <w:sz w:val="24"/>
          <w:szCs w:val="24"/>
        </w:rPr>
      </w:pPr>
      <w:r>
        <w:rPr>
          <w:bCs/>
          <w:sz w:val="24"/>
          <w:szCs w:val="24"/>
        </w:rPr>
        <w:t xml:space="preserve">финансовую </w:t>
      </w:r>
      <w:r>
        <w:rPr>
          <w:bCs/>
          <w:sz w:val="24"/>
          <w:szCs w:val="24"/>
          <w:lang w:val="en-US"/>
        </w:rPr>
        <w:t>(</w:t>
      </w:r>
      <w:r>
        <w:rPr>
          <w:bCs/>
          <w:sz w:val="24"/>
          <w:szCs w:val="24"/>
        </w:rPr>
        <w:t>бухгалтерскую) отчетность;</w:t>
      </w:r>
    </w:p>
    <w:p>
      <w:pPr>
        <w:pStyle w:val="Normal"/>
        <w:widowControl/>
        <w:numPr>
          <w:ilvl w:val="0"/>
          <w:numId w:val="4"/>
        </w:numPr>
        <w:tabs>
          <w:tab w:val="clear" w:pos="708"/>
          <w:tab w:val="left" w:pos="0" w:leader="none"/>
          <w:tab w:val="left" w:pos="1418" w:leader="none"/>
        </w:tabs>
        <w:ind w:left="0" w:firstLine="709"/>
        <w:jc w:val="both"/>
        <w:rPr>
          <w:bCs/>
          <w:sz w:val="24"/>
          <w:szCs w:val="24"/>
        </w:rPr>
      </w:pPr>
      <w:r>
        <w:rPr>
          <w:bCs/>
          <w:sz w:val="24"/>
          <w:szCs w:val="24"/>
        </w:rPr>
        <w:t>учетные регистры бухгалтерского учета;</w:t>
      </w:r>
    </w:p>
    <w:p>
      <w:pPr>
        <w:pStyle w:val="Normal"/>
        <w:widowControl/>
        <w:numPr>
          <w:ilvl w:val="0"/>
          <w:numId w:val="4"/>
        </w:numPr>
        <w:tabs>
          <w:tab w:val="clear" w:pos="708"/>
          <w:tab w:val="left" w:pos="0" w:leader="none"/>
          <w:tab w:val="left" w:pos="1418" w:leader="none"/>
        </w:tabs>
        <w:ind w:left="0" w:firstLine="709"/>
        <w:jc w:val="both"/>
        <w:rPr>
          <w:bCs/>
          <w:sz w:val="24"/>
          <w:szCs w:val="24"/>
        </w:rPr>
      </w:pPr>
      <w:r>
        <w:rPr>
          <w:bCs/>
          <w:sz w:val="24"/>
          <w:szCs w:val="24"/>
        </w:rPr>
        <w:t>бизнес-планы;</w:t>
      </w:r>
    </w:p>
    <w:p>
      <w:pPr>
        <w:pStyle w:val="Normal"/>
        <w:widowControl/>
        <w:numPr>
          <w:ilvl w:val="0"/>
          <w:numId w:val="4"/>
        </w:numPr>
        <w:tabs>
          <w:tab w:val="clear" w:pos="708"/>
          <w:tab w:val="left" w:pos="0" w:leader="none"/>
          <w:tab w:val="left" w:pos="1418" w:leader="none"/>
        </w:tabs>
        <w:ind w:left="0" w:firstLine="709"/>
        <w:jc w:val="both"/>
        <w:rPr>
          <w:bCs/>
          <w:sz w:val="24"/>
          <w:szCs w:val="24"/>
        </w:rPr>
      </w:pPr>
      <w:r>
        <w:rPr>
          <w:bCs/>
          <w:sz w:val="24"/>
          <w:szCs w:val="24"/>
        </w:rPr>
        <w:t>договоры (соглашения), заключаемые или заключенные непосредственно Покупателем либо в его пользу, а также информацию и сведения, содержащиеся в данных договорах (соглашениях);</w:t>
      </w:r>
    </w:p>
    <w:p>
      <w:pPr>
        <w:pStyle w:val="Normal"/>
        <w:widowControl/>
        <w:numPr>
          <w:ilvl w:val="0"/>
          <w:numId w:val="4"/>
        </w:numPr>
        <w:tabs>
          <w:tab w:val="clear" w:pos="708"/>
          <w:tab w:val="left" w:pos="0" w:leader="none"/>
          <w:tab w:val="left" w:pos="1418" w:leader="none"/>
        </w:tabs>
        <w:ind w:left="0" w:firstLine="709"/>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pPr>
        <w:pStyle w:val="Normal"/>
        <w:widowControl/>
        <w:numPr>
          <w:ilvl w:val="0"/>
          <w:numId w:val="4"/>
        </w:numPr>
        <w:tabs>
          <w:tab w:val="clear" w:pos="708"/>
          <w:tab w:val="left" w:pos="0" w:leader="none"/>
          <w:tab w:val="left" w:pos="1418" w:leader="none"/>
        </w:tabs>
        <w:ind w:left="0" w:firstLine="709"/>
        <w:jc w:val="both"/>
        <w:rPr>
          <w:bCs/>
          <w:sz w:val="24"/>
          <w:szCs w:val="24"/>
        </w:rPr>
      </w:pPr>
      <w:r>
        <w:rPr>
          <w:bCs/>
          <w:sz w:val="24"/>
          <w:szCs w:val="24"/>
        </w:rPr>
        <w:t xml:space="preserve">сведения о находящихся на регистрации товарных знаках Покупателя, а также </w:t>
        <w:br/>
        <w:t>об объектах интеллектуальной собственности Покупателя, сведения о которых не являются опубликованными;</w:t>
      </w:r>
    </w:p>
    <w:p>
      <w:pPr>
        <w:pStyle w:val="Normal"/>
        <w:widowControl/>
        <w:numPr>
          <w:ilvl w:val="0"/>
          <w:numId w:val="4"/>
        </w:numPr>
        <w:tabs>
          <w:tab w:val="clear" w:pos="708"/>
          <w:tab w:val="left" w:pos="0" w:leader="none"/>
          <w:tab w:val="left" w:pos="1418" w:leader="none"/>
        </w:tabs>
        <w:ind w:left="0" w:firstLine="709"/>
        <w:jc w:val="both"/>
        <w:rPr>
          <w:bCs/>
          <w:sz w:val="24"/>
          <w:szCs w:val="24"/>
        </w:rPr>
      </w:pPr>
      <w:r>
        <w:rPr>
          <w:bCs/>
          <w:sz w:val="24"/>
          <w:szCs w:val="24"/>
        </w:rPr>
        <w:t xml:space="preserve">сведения о Поставщиках, поставщиках оборудования и материалов, а также </w:t>
        <w:br/>
        <w:t>о покупателях продукции Покупателя и их аффилированных лицах;</w:t>
      </w:r>
    </w:p>
    <w:p>
      <w:pPr>
        <w:pStyle w:val="Normal"/>
        <w:widowControl/>
        <w:numPr>
          <w:ilvl w:val="0"/>
          <w:numId w:val="4"/>
        </w:numPr>
        <w:tabs>
          <w:tab w:val="clear" w:pos="708"/>
          <w:tab w:val="left" w:pos="0" w:leader="none"/>
          <w:tab w:val="left" w:pos="1418" w:leader="none"/>
        </w:tabs>
        <w:ind w:left="0" w:firstLine="709"/>
        <w:jc w:val="both"/>
        <w:rPr>
          <w:bCs/>
          <w:sz w:val="24"/>
          <w:szCs w:val="24"/>
        </w:rPr>
      </w:pPr>
      <w:r>
        <w:rPr>
          <w:bCs/>
          <w:sz w:val="24"/>
          <w:szCs w:val="24"/>
        </w:rPr>
        <w:t>сведения об объемах производства и / или реализации продукции и услуг Покупателя или его аффилированных лиц;</w:t>
      </w:r>
    </w:p>
    <w:p>
      <w:pPr>
        <w:pStyle w:val="Normal"/>
        <w:widowControl/>
        <w:numPr>
          <w:ilvl w:val="0"/>
          <w:numId w:val="4"/>
        </w:numPr>
        <w:tabs>
          <w:tab w:val="clear" w:pos="708"/>
          <w:tab w:val="left" w:pos="0" w:leader="none"/>
          <w:tab w:val="left" w:pos="1418" w:leader="none"/>
        </w:tabs>
        <w:ind w:left="0" w:firstLine="709"/>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pPr>
        <w:pStyle w:val="Normal"/>
        <w:widowControl/>
        <w:numPr>
          <w:ilvl w:val="1"/>
          <w:numId w:val="177"/>
        </w:numPr>
        <w:shd w:val="clear" w:color="auto" w:fill="FFFFFF"/>
        <w:tabs>
          <w:tab w:val="clear" w:pos="708"/>
          <w:tab w:val="left" w:pos="0" w:leader="none"/>
          <w:tab w:val="left" w:pos="1134" w:leader="none"/>
        </w:tabs>
        <w:spacing w:before="0" w:after="0"/>
        <w:ind w:left="0" w:firstLine="709"/>
        <w:contextualSpacing/>
        <w:jc w:val="both"/>
        <w:rPr>
          <w:bCs/>
          <w:sz w:val="24"/>
          <w:szCs w:val="24"/>
        </w:rPr>
      </w:pPr>
      <w:bookmarkStart w:id="5" w:name="_Ref361337849"/>
      <w:r>
        <w:rPr>
          <w:bCs/>
          <w:sz w:val="24"/>
          <w:szCs w:val="24"/>
        </w:rPr>
        <w:t>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sz w:val="24"/>
          <w:szCs w:val="24"/>
        </w:rPr>
        <w:t xml:space="preserve"> </w:t>
      </w:r>
      <w:r>
        <w:rPr>
          <w:bCs/>
          <w:sz w:val="24"/>
          <w:szCs w:val="24"/>
        </w:rPr>
        <w:t>(расторжения) или исполнения, в том числе:</w:t>
      </w:r>
      <w:bookmarkEnd w:id="5"/>
      <w:r>
        <w:rPr>
          <w:bCs/>
          <w:sz w:val="24"/>
          <w:szCs w:val="24"/>
        </w:rPr>
        <w:t xml:space="preserve"> </w:t>
      </w:r>
    </w:p>
    <w:p>
      <w:pPr>
        <w:pStyle w:val="Normal"/>
        <w:widowControl/>
        <w:numPr>
          <w:ilvl w:val="2"/>
          <w:numId w:val="178"/>
        </w:numPr>
        <w:shd w:val="clear" w:color="auto" w:fill="FFFFFF"/>
        <w:tabs>
          <w:tab w:val="clear" w:pos="708"/>
          <w:tab w:val="left" w:pos="1418" w:leader="none"/>
        </w:tabs>
        <w:spacing w:before="0" w:after="0"/>
        <w:ind w:left="0" w:firstLine="709"/>
        <w:contextualSpacing/>
        <w:jc w:val="both"/>
        <w:rPr>
          <w:bCs/>
          <w:sz w:val="24"/>
          <w:szCs w:val="24"/>
        </w:rPr>
      </w:pPr>
      <w:r>
        <w:rPr>
          <w:bCs/>
          <w:sz w:val="24"/>
          <w:szCs w:val="24"/>
        </w:rPr>
        <w:t xml:space="preserve">Не разглашать, не обсуждать содержание, не предоставлять копий, </w:t>
        <w:br/>
        <w:t xml:space="preserve">не публиковать и не </w:t>
      </w:r>
      <w:r>
        <w:rPr>
          <w:sz w:val="24"/>
          <w:szCs w:val="24"/>
        </w:rPr>
        <w:t>раскрывать</w:t>
      </w:r>
      <w:r>
        <w:rPr>
          <w:bCs/>
          <w:sz w:val="24"/>
          <w:szCs w:val="24"/>
        </w:rPr>
        <w:t xml:space="preserve"> в какой-либо иной форме третьим лицам Информацию </w:t>
        <w:br/>
        <w:t>без получения предварительного письменного согласия Покупателя, за исключением случаев, предусмотренных законодательством Российской Федерации и пункте 5.6.7 Договора.</w:t>
      </w:r>
    </w:p>
    <w:p>
      <w:pPr>
        <w:pStyle w:val="Normal"/>
        <w:widowControl/>
        <w:numPr>
          <w:ilvl w:val="2"/>
          <w:numId w:val="179"/>
        </w:numPr>
        <w:shd w:val="clear" w:color="auto" w:fill="FFFFFF"/>
        <w:tabs>
          <w:tab w:val="clear" w:pos="708"/>
          <w:tab w:val="left" w:pos="1418" w:leader="none"/>
        </w:tabs>
        <w:spacing w:before="0" w:after="0"/>
        <w:ind w:left="0" w:firstLine="709"/>
        <w:contextualSpacing/>
        <w:jc w:val="both"/>
        <w:rPr>
          <w:bCs/>
          <w:sz w:val="24"/>
          <w:szCs w:val="24"/>
        </w:rPr>
      </w:pPr>
      <w:r>
        <w:rPr>
          <w:bCs/>
          <w:sz w:val="24"/>
          <w:szCs w:val="24"/>
        </w:rPr>
        <w:t xml:space="preserve">Принимать меры предосторожности, обычно используемые для защиты такого рода информации в деловом обороте, при этом если Поставщиком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Поставщик обязан использовать </w:t>
        <w:br/>
        <w:t>в отношении защиты Информации, обычно используемые им меры защиты.</w:t>
      </w:r>
    </w:p>
    <w:p>
      <w:pPr>
        <w:pStyle w:val="Normal"/>
        <w:widowControl/>
        <w:numPr>
          <w:ilvl w:val="2"/>
          <w:numId w:val="180"/>
        </w:numPr>
        <w:shd w:val="clear" w:color="auto" w:fill="FFFFFF"/>
        <w:tabs>
          <w:tab w:val="clear" w:pos="708"/>
          <w:tab w:val="left" w:pos="1418" w:leader="none"/>
        </w:tabs>
        <w:spacing w:before="0" w:after="0"/>
        <w:ind w:left="0" w:firstLine="709"/>
        <w:contextualSpacing/>
        <w:jc w:val="both"/>
        <w:rPr>
          <w:bCs/>
          <w:sz w:val="24"/>
          <w:szCs w:val="24"/>
        </w:rPr>
      </w:pPr>
      <w:r>
        <w:rPr>
          <w:bCs/>
          <w:sz w:val="24"/>
          <w:szCs w:val="24"/>
        </w:rPr>
        <w:t xml:space="preserve">Использовать Информацию исключительно для целей, для которых она была предоставлена. </w:t>
      </w:r>
    </w:p>
    <w:p>
      <w:pPr>
        <w:pStyle w:val="Normal"/>
        <w:widowControl/>
        <w:numPr>
          <w:ilvl w:val="2"/>
          <w:numId w:val="181"/>
        </w:numPr>
        <w:shd w:val="clear" w:color="auto" w:fill="FFFFFF"/>
        <w:tabs>
          <w:tab w:val="clear" w:pos="708"/>
          <w:tab w:val="left" w:pos="1418" w:leader="none"/>
        </w:tabs>
        <w:spacing w:before="0" w:after="0"/>
        <w:ind w:left="0" w:firstLine="709"/>
        <w:contextualSpacing/>
        <w:jc w:val="both"/>
        <w:rPr>
          <w:bCs/>
          <w:sz w:val="24"/>
          <w:szCs w:val="24"/>
        </w:rPr>
      </w:pPr>
      <w:r>
        <w:rPr>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Normal"/>
        <w:widowControl/>
        <w:numPr>
          <w:ilvl w:val="2"/>
          <w:numId w:val="182"/>
        </w:numPr>
        <w:shd w:val="clear" w:color="auto" w:fill="FFFFFF"/>
        <w:tabs>
          <w:tab w:val="clear" w:pos="708"/>
          <w:tab w:val="left" w:pos="1418" w:leader="none"/>
        </w:tabs>
        <w:spacing w:before="0" w:after="0"/>
        <w:ind w:left="0" w:firstLine="709"/>
        <w:contextualSpacing/>
        <w:jc w:val="both"/>
        <w:rPr>
          <w:bCs/>
          <w:sz w:val="24"/>
          <w:szCs w:val="24"/>
        </w:rPr>
      </w:pPr>
      <w:r>
        <w:rPr>
          <w:bCs/>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такого несанкционированного раскрытия.</w:t>
      </w:r>
    </w:p>
    <w:p>
      <w:pPr>
        <w:pStyle w:val="Normal"/>
        <w:widowControl/>
        <w:numPr>
          <w:ilvl w:val="2"/>
          <w:numId w:val="183"/>
        </w:numPr>
        <w:shd w:val="clear" w:color="auto" w:fill="FFFFFF"/>
        <w:tabs>
          <w:tab w:val="clear" w:pos="708"/>
          <w:tab w:val="left" w:pos="1418" w:leader="none"/>
        </w:tabs>
        <w:spacing w:before="0" w:after="0"/>
        <w:ind w:left="0" w:firstLine="709"/>
        <w:contextualSpacing/>
        <w:jc w:val="both"/>
        <w:rPr>
          <w:bCs/>
          <w:sz w:val="24"/>
          <w:szCs w:val="24"/>
        </w:rPr>
      </w:pPr>
      <w:r>
        <w:rPr>
          <w:bCs/>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w:t>
        <w:br/>
        <w:t xml:space="preserve">на технических средствах Поставщика. При этом Покупатель признает, что обязательства </w:t>
        <w:br/>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w:t>
        <w:br/>
        <w:t xml:space="preserve">или методики создания резервных копий. </w:t>
      </w:r>
    </w:p>
    <w:p>
      <w:pPr>
        <w:pStyle w:val="Normal"/>
        <w:widowControl/>
        <w:numPr>
          <w:ilvl w:val="2"/>
          <w:numId w:val="184"/>
        </w:numPr>
        <w:shd w:val="clear" w:color="auto" w:fill="FFFFFF"/>
        <w:tabs>
          <w:tab w:val="clear" w:pos="708"/>
          <w:tab w:val="left" w:pos="1418" w:leader="none"/>
        </w:tabs>
        <w:spacing w:before="0" w:after="0"/>
        <w:ind w:left="0" w:firstLine="709"/>
        <w:contextualSpacing/>
        <w:jc w:val="both"/>
        <w:rPr>
          <w:bCs/>
          <w:sz w:val="24"/>
          <w:szCs w:val="24"/>
        </w:rPr>
      </w:pPr>
      <w:bookmarkStart w:id="6" w:name="_Ref361337832"/>
      <w:r>
        <w:rPr>
          <w:bCs/>
          <w:sz w:val="24"/>
          <w:szCs w:val="24"/>
        </w:rPr>
        <w:t xml:space="preserve">Раскрывать Информацию своим работникам, членам органов управления </w:t>
        <w:br/>
        <w:t xml:space="preserve">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br/>
        <w:t>за свои собственные.</w:t>
      </w:r>
      <w:bookmarkEnd w:id="6"/>
    </w:p>
    <w:p>
      <w:pPr>
        <w:pStyle w:val="Normal"/>
        <w:widowControl/>
        <w:numPr>
          <w:ilvl w:val="2"/>
          <w:numId w:val="185"/>
        </w:numPr>
        <w:shd w:val="clear" w:color="auto" w:fill="FFFFFF"/>
        <w:tabs>
          <w:tab w:val="clear" w:pos="708"/>
          <w:tab w:val="left" w:pos="1418" w:leader="none"/>
        </w:tabs>
        <w:spacing w:before="0" w:after="0"/>
        <w:ind w:left="0" w:firstLine="709"/>
        <w:contextualSpacing/>
        <w:jc w:val="both"/>
        <w:rPr>
          <w:bCs/>
          <w:sz w:val="24"/>
          <w:szCs w:val="24"/>
        </w:rPr>
      </w:pPr>
      <w:r>
        <w:rPr>
          <w:bCs/>
          <w:sz w:val="24"/>
          <w:szCs w:val="24"/>
        </w:rPr>
        <w:t>Не разглашать третьим лицам факты передачи или получения Информации.</w:t>
      </w:r>
    </w:p>
    <w:p>
      <w:pPr>
        <w:pStyle w:val="Normal"/>
        <w:widowControl/>
        <w:numPr>
          <w:ilvl w:val="1"/>
          <w:numId w:val="186"/>
        </w:numPr>
        <w:shd w:val="clear" w:color="auto" w:fill="FFFFFF"/>
        <w:tabs>
          <w:tab w:val="clear" w:pos="708"/>
          <w:tab w:val="left" w:pos="1134" w:leader="none"/>
        </w:tabs>
        <w:spacing w:before="0" w:after="0"/>
        <w:ind w:left="0" w:firstLine="709"/>
        <w:contextualSpacing/>
        <w:jc w:val="both"/>
        <w:rPr>
          <w:bCs/>
          <w:sz w:val="24"/>
          <w:szCs w:val="24"/>
        </w:rPr>
      </w:pPr>
      <w:bookmarkStart w:id="7" w:name="_Ref361337863"/>
      <w:r>
        <w:rPr>
          <w:bCs/>
          <w:sz w:val="24"/>
          <w:szCs w:val="24"/>
        </w:rPr>
        <w:t xml:space="preserve">Поставщик, нарушивший условия настоящего раздела Договора, возмещает Покупателю убытки, вызванные таким нарушением, в течение 10 (десяти) календарных дней </w:t>
        <w:br/>
        <w:t>с даты получения соответствующего письменного требования Покупателя.</w:t>
      </w:r>
      <w:bookmarkEnd w:id="7"/>
    </w:p>
    <w:p>
      <w:pPr>
        <w:pStyle w:val="Normal"/>
        <w:widowControl/>
        <w:numPr>
          <w:ilvl w:val="1"/>
          <w:numId w:val="187"/>
        </w:numPr>
        <w:shd w:val="clear" w:color="auto" w:fill="FFFFFF"/>
        <w:tabs>
          <w:tab w:val="clear" w:pos="708"/>
          <w:tab w:val="left" w:pos="1134" w:leader="none"/>
        </w:tabs>
        <w:ind w:left="0" w:firstLine="709"/>
        <w:jc w:val="both"/>
        <w:rPr>
          <w:bCs/>
          <w:sz w:val="24"/>
          <w:szCs w:val="24"/>
        </w:rPr>
      </w:pPr>
      <w:r>
        <w:rPr>
          <w:bCs/>
          <w:sz w:val="24"/>
          <w:szCs w:val="24"/>
        </w:rPr>
        <w:t xml:space="preserve">Условия защиты Информации, представляемой Поставщиком Покупателю, могут быть дополнительно урегулированы отдельно заключаемым Сторонами соглашением. </w:t>
      </w:r>
    </w:p>
    <w:p>
      <w:pPr>
        <w:pStyle w:val="Normal"/>
        <w:shd w:val="clear" w:color="auto" w:fill="FFFFFF"/>
        <w:ind w:firstLine="709"/>
        <w:jc w:val="both"/>
        <w:rPr>
          <w:bCs/>
          <w:sz w:val="24"/>
          <w:szCs w:val="24"/>
        </w:rPr>
      </w:pPr>
      <w:r>
        <w:rPr>
          <w:bCs/>
          <w:sz w:val="24"/>
          <w:szCs w:val="24"/>
        </w:rPr>
      </w:r>
    </w:p>
    <w:p>
      <w:pPr>
        <w:pStyle w:val="Normal"/>
        <w:widowControl/>
        <w:numPr>
          <w:ilvl w:val="0"/>
          <w:numId w:val="188"/>
        </w:numPr>
        <w:shd w:val="clear" w:color="auto" w:fill="FFFFFF"/>
        <w:tabs>
          <w:tab w:val="clear" w:pos="708"/>
          <w:tab w:val="left" w:pos="426" w:leader="none"/>
        </w:tabs>
        <w:spacing w:before="0" w:after="0"/>
        <w:ind w:left="0" w:hanging="0"/>
        <w:contextualSpacing/>
        <w:jc w:val="center"/>
        <w:rPr>
          <w:b/>
          <w:bCs/>
          <w:sz w:val="24"/>
          <w:szCs w:val="24"/>
        </w:rPr>
      </w:pPr>
      <w:r>
        <w:rPr>
          <w:b/>
          <w:bCs/>
          <w:sz w:val="24"/>
          <w:szCs w:val="24"/>
        </w:rPr>
        <w:t>Разрешение споров</w:t>
      </w:r>
    </w:p>
    <w:p>
      <w:pPr>
        <w:pStyle w:val="Normal"/>
        <w:widowControl/>
        <w:numPr>
          <w:ilvl w:val="1"/>
          <w:numId w:val="189"/>
        </w:numPr>
        <w:shd w:val="clear" w:color="auto" w:fill="FFFFFF"/>
        <w:tabs>
          <w:tab w:val="clear" w:pos="708"/>
          <w:tab w:val="left" w:pos="0" w:leader="none"/>
          <w:tab w:val="left" w:pos="1418" w:leader="none"/>
        </w:tabs>
        <w:spacing w:before="0" w:after="0"/>
        <w:ind w:left="0" w:firstLine="709"/>
        <w:contextualSpacing/>
        <w:jc w:val="both"/>
        <w:rPr>
          <w:bCs/>
          <w:sz w:val="24"/>
          <w:szCs w:val="24"/>
        </w:rPr>
      </w:pPr>
      <w:r>
        <w:rPr>
          <w:bCs/>
          <w:sz w:val="24"/>
          <w:szCs w:val="24"/>
        </w:rPr>
        <w:t xml:space="preserve">Все споры, разногласия и требования, возникающие между Сторонами </w:t>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Normal"/>
        <w:widowControl/>
        <w:numPr>
          <w:ilvl w:val="1"/>
          <w:numId w:val="190"/>
        </w:numPr>
        <w:shd w:val="clear" w:color="auto" w:fill="FFFFFF"/>
        <w:tabs>
          <w:tab w:val="clear" w:pos="708"/>
          <w:tab w:val="left" w:pos="0" w:leader="none"/>
          <w:tab w:val="left" w:pos="1418" w:leader="none"/>
        </w:tabs>
        <w:spacing w:before="0" w:after="0"/>
        <w:ind w:left="0" w:firstLine="709"/>
        <w:contextualSpacing/>
        <w:jc w:val="both"/>
        <w:rPr>
          <w:bCs/>
          <w:sz w:val="24"/>
          <w:szCs w:val="24"/>
        </w:rPr>
      </w:pPr>
      <w:r>
        <w:rPr>
          <w:bCs/>
          <w:sz w:val="24"/>
          <w:szCs w:val="24"/>
        </w:rPr>
        <w:t xml:space="preserve">Споры, указанные в пункте 6.1 Договора, которые не были урегулированы Сторонами путем переговоров, подлежат разрешению в Арбитражном суде города Москвы.  </w:t>
      </w:r>
    </w:p>
    <w:p>
      <w:pPr>
        <w:pStyle w:val="Normal"/>
        <w:widowControl/>
        <w:numPr>
          <w:ilvl w:val="1"/>
          <w:numId w:val="191"/>
        </w:numPr>
        <w:shd w:val="clear" w:color="auto" w:fill="FFFFFF"/>
        <w:tabs>
          <w:tab w:val="clear" w:pos="708"/>
          <w:tab w:val="left" w:pos="0" w:leader="none"/>
          <w:tab w:val="left" w:pos="1418" w:leader="none"/>
        </w:tabs>
        <w:spacing w:before="0" w:after="0"/>
        <w:ind w:left="0" w:firstLine="709"/>
        <w:contextualSpacing/>
        <w:jc w:val="both"/>
        <w:rPr>
          <w:bCs/>
          <w:sz w:val="24"/>
          <w:szCs w:val="24"/>
        </w:rPr>
      </w:pPr>
      <w:r>
        <w:rPr>
          <w:bCs/>
          <w:sz w:val="24"/>
          <w:szCs w:val="24"/>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12.8 Договора.</w:t>
      </w:r>
    </w:p>
    <w:p>
      <w:pPr>
        <w:pStyle w:val="Normal"/>
        <w:widowControl/>
        <w:numPr>
          <w:ilvl w:val="1"/>
          <w:numId w:val="192"/>
        </w:numPr>
        <w:shd w:val="clear" w:color="auto" w:fill="FFFFFF"/>
        <w:tabs>
          <w:tab w:val="clear" w:pos="708"/>
          <w:tab w:val="left" w:pos="0" w:leader="none"/>
          <w:tab w:val="left" w:pos="1418" w:leader="none"/>
        </w:tabs>
        <w:spacing w:before="0" w:after="0"/>
        <w:ind w:left="0" w:firstLine="709"/>
        <w:contextualSpacing/>
        <w:jc w:val="both"/>
        <w:rPr>
          <w:bCs/>
          <w:sz w:val="24"/>
          <w:szCs w:val="24"/>
        </w:rPr>
      </w:pPr>
      <w:r>
        <w:rPr>
          <w:bCs/>
          <w:sz w:val="24"/>
          <w:szCs w:val="24"/>
        </w:rPr>
        <w:t xml:space="preserve">Срок для рассмотрения претензии – 15 (пятнадцать) рабочих дней со дня </w:t>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br/>
        <w:t>с иском в суд.</w:t>
      </w:r>
    </w:p>
    <w:p>
      <w:pPr>
        <w:pStyle w:val="Normal"/>
        <w:widowControl/>
        <w:numPr>
          <w:ilvl w:val="1"/>
          <w:numId w:val="193"/>
        </w:numPr>
        <w:shd w:val="clear" w:color="auto" w:fill="FFFFFF"/>
        <w:tabs>
          <w:tab w:val="clear" w:pos="708"/>
          <w:tab w:val="left" w:pos="0" w:leader="none"/>
          <w:tab w:val="left" w:pos="1418" w:leader="none"/>
        </w:tabs>
        <w:spacing w:before="0" w:after="0"/>
        <w:ind w:left="0" w:firstLine="709"/>
        <w:contextualSpacing/>
        <w:jc w:val="both"/>
        <w:rPr>
          <w:bCs/>
          <w:sz w:val="24"/>
          <w:szCs w:val="24"/>
        </w:rPr>
      </w:pPr>
      <w:r>
        <w:rPr>
          <w:bCs/>
          <w:sz w:val="24"/>
          <w:szCs w:val="24"/>
        </w:rPr>
        <w:t>Условия настоящего раздела сохраняют свою силу в случае признания Договора незаключенным и / или недействительным.</w:t>
      </w:r>
    </w:p>
    <w:p>
      <w:pPr>
        <w:pStyle w:val="Normal"/>
        <w:shd w:val="clear" w:color="auto" w:fill="FFFFFF"/>
        <w:ind w:firstLine="709"/>
        <w:jc w:val="both"/>
        <w:rPr>
          <w:sz w:val="24"/>
          <w:szCs w:val="24"/>
        </w:rPr>
      </w:pPr>
      <w:r>
        <w:rPr>
          <w:sz w:val="24"/>
          <w:szCs w:val="24"/>
        </w:rPr>
      </w:r>
    </w:p>
    <w:p>
      <w:pPr>
        <w:pStyle w:val="Normal"/>
        <w:widowControl/>
        <w:numPr>
          <w:ilvl w:val="0"/>
          <w:numId w:val="194"/>
        </w:numPr>
        <w:shd w:val="clear" w:color="auto" w:fill="FFFFFF"/>
        <w:spacing w:before="0" w:after="0"/>
        <w:ind w:left="0" w:hanging="0"/>
        <w:contextualSpacing/>
        <w:jc w:val="center"/>
        <w:rPr>
          <w:b/>
          <w:bCs/>
          <w:sz w:val="24"/>
          <w:szCs w:val="24"/>
        </w:rPr>
      </w:pPr>
      <w:r>
        <w:rPr>
          <w:b/>
          <w:bCs/>
          <w:sz w:val="24"/>
          <w:szCs w:val="24"/>
        </w:rPr>
        <w:t>Антикоррупционная оговорка</w:t>
      </w:r>
    </w:p>
    <w:p>
      <w:pPr>
        <w:pStyle w:val="Normal"/>
        <w:widowControl/>
        <w:numPr>
          <w:ilvl w:val="1"/>
          <w:numId w:val="195"/>
        </w:numPr>
        <w:shd w:val="clear" w:color="auto" w:fill="FFFFFF"/>
        <w:tabs>
          <w:tab w:val="clear" w:pos="708"/>
          <w:tab w:val="left" w:pos="1134" w:leader="none"/>
        </w:tabs>
        <w:spacing w:before="0" w:after="0"/>
        <w:ind w:left="0" w:firstLine="709"/>
        <w:contextualSpacing/>
        <w:jc w:val="both"/>
        <w:rPr>
          <w:bCs/>
          <w:color w:val="000000"/>
          <w:sz w:val="24"/>
          <w:szCs w:val="24"/>
        </w:rPr>
      </w:pPr>
      <w:r>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widowControl/>
        <w:numPr>
          <w:ilvl w:val="1"/>
          <w:numId w:val="196"/>
        </w:numPr>
        <w:shd w:val="clear" w:color="auto" w:fill="FFFFFF"/>
        <w:tabs>
          <w:tab w:val="clear" w:pos="708"/>
          <w:tab w:val="left" w:pos="1134" w:leader="none"/>
          <w:tab w:val="left" w:pos="1276" w:leader="none"/>
        </w:tabs>
        <w:spacing w:before="0" w:after="0"/>
        <w:ind w:left="0" w:firstLine="709"/>
        <w:contextualSpacing/>
        <w:jc w:val="both"/>
        <w:rPr>
          <w:bCs/>
          <w:color w:val="000000"/>
          <w:sz w:val="24"/>
          <w:szCs w:val="24"/>
        </w:rPr>
      </w:pPr>
      <w:r>
        <w:rPr>
          <w:bCs/>
          <w:color w:val="000000"/>
          <w:sz w:val="24"/>
          <w:szCs w:val="24"/>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widowControl/>
        <w:numPr>
          <w:ilvl w:val="1"/>
          <w:numId w:val="197"/>
        </w:numPr>
        <w:shd w:val="clear" w:color="auto" w:fill="FFFFFF"/>
        <w:tabs>
          <w:tab w:val="clear" w:pos="708"/>
          <w:tab w:val="left" w:pos="1134" w:leader="none"/>
          <w:tab w:val="left" w:pos="1276" w:leader="none"/>
        </w:tabs>
        <w:spacing w:before="0" w:after="0"/>
        <w:ind w:left="0" w:firstLine="709"/>
        <w:contextualSpacing/>
        <w:jc w:val="both"/>
        <w:rPr>
          <w:bCs/>
          <w:color w:val="000000"/>
          <w:sz w:val="24"/>
          <w:szCs w:val="24"/>
        </w:rPr>
      </w:pPr>
      <w:r>
        <w:rPr>
          <w:bCs/>
          <w:color w:val="000000"/>
          <w:sz w:val="24"/>
          <w:szCs w:val="24"/>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widowControl/>
        <w:numPr>
          <w:ilvl w:val="1"/>
          <w:numId w:val="198"/>
        </w:numPr>
        <w:shd w:val="clear" w:color="auto" w:fill="FFFFFF"/>
        <w:tabs>
          <w:tab w:val="clear" w:pos="708"/>
          <w:tab w:val="left" w:pos="1134" w:leader="none"/>
          <w:tab w:val="left" w:pos="1276" w:leader="none"/>
        </w:tabs>
        <w:spacing w:before="0" w:after="0"/>
        <w:ind w:left="0" w:firstLine="709"/>
        <w:contextualSpacing/>
        <w:jc w:val="both"/>
        <w:rPr>
          <w:bCs/>
          <w:color w:val="000000"/>
          <w:sz w:val="24"/>
          <w:szCs w:val="24"/>
        </w:rPr>
      </w:pPr>
      <w:r>
        <w:rPr>
          <w:bCs/>
          <w:color w:val="000000"/>
          <w:sz w:val="24"/>
          <w:szCs w:val="24"/>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widowControl/>
        <w:numPr>
          <w:ilvl w:val="1"/>
          <w:numId w:val="199"/>
        </w:numPr>
        <w:shd w:val="clear" w:color="auto" w:fill="FFFFFF"/>
        <w:tabs>
          <w:tab w:val="clear" w:pos="708"/>
          <w:tab w:val="left" w:pos="1134" w:leader="none"/>
          <w:tab w:val="left" w:pos="1276" w:leader="none"/>
        </w:tabs>
        <w:spacing w:before="0" w:after="0"/>
        <w:ind w:left="0" w:firstLine="709"/>
        <w:contextualSpacing/>
        <w:jc w:val="both"/>
        <w:rPr>
          <w:bCs/>
          <w:color w:val="000000"/>
          <w:sz w:val="24"/>
          <w:szCs w:val="24"/>
        </w:rPr>
      </w:pPr>
      <w:r>
        <w:rPr>
          <w:bCs/>
          <w:color w:val="000000"/>
          <w:sz w:val="24"/>
          <w:szCs w:val="24"/>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widowControl/>
        <w:numPr>
          <w:ilvl w:val="1"/>
          <w:numId w:val="200"/>
        </w:numPr>
        <w:shd w:val="clear" w:color="auto" w:fill="FFFFFF"/>
        <w:tabs>
          <w:tab w:val="clear" w:pos="708"/>
          <w:tab w:val="left" w:pos="1134" w:leader="none"/>
          <w:tab w:val="left" w:pos="1276" w:leader="none"/>
        </w:tabs>
        <w:spacing w:before="0" w:after="0"/>
        <w:ind w:left="0" w:firstLine="709"/>
        <w:contextualSpacing/>
        <w:jc w:val="both"/>
        <w:rPr>
          <w:bCs/>
          <w:color w:val="000000"/>
          <w:sz w:val="24"/>
          <w:szCs w:val="24"/>
        </w:rPr>
      </w:pPr>
      <w:r>
        <w:rPr>
          <w:bCs/>
          <w:color w:val="000000"/>
          <w:sz w:val="24"/>
          <w:szCs w:val="24"/>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widowControl/>
        <w:numPr>
          <w:ilvl w:val="1"/>
          <w:numId w:val="201"/>
        </w:numPr>
        <w:shd w:val="clear" w:color="auto" w:fill="FFFFFF"/>
        <w:tabs>
          <w:tab w:val="clear" w:pos="708"/>
          <w:tab w:val="left" w:pos="1134" w:leader="none"/>
          <w:tab w:val="left" w:pos="1276" w:leader="none"/>
        </w:tabs>
        <w:spacing w:before="0" w:after="0"/>
        <w:ind w:left="0" w:firstLine="709"/>
        <w:contextualSpacing/>
        <w:jc w:val="both"/>
        <w:rPr>
          <w:bCs/>
          <w:color w:val="000000"/>
          <w:sz w:val="24"/>
          <w:szCs w:val="24"/>
        </w:rPr>
      </w:pPr>
      <w:r>
        <w:rPr>
          <w:bCs/>
          <w:color w:val="000000"/>
          <w:sz w:val="24"/>
          <w:szCs w:val="24"/>
        </w:rPr>
        <w:t xml:space="preserve">Каналы связи Линия доверия Группы РусГидро: </w:t>
      </w:r>
    </w:p>
    <w:p>
      <w:pPr>
        <w:pStyle w:val="Normal"/>
        <w:shd w:val="clear" w:color="auto" w:fill="FFFFFF"/>
        <w:tabs>
          <w:tab w:val="clear" w:pos="708"/>
          <w:tab w:val="left" w:pos="567" w:leader="none"/>
          <w:tab w:val="left" w:pos="1134" w:leader="none"/>
        </w:tabs>
        <w:ind w:firstLine="709"/>
        <w:jc w:val="both"/>
        <w:rPr>
          <w:sz w:val="24"/>
          <w:szCs w:val="24"/>
        </w:rPr>
      </w:pPr>
      <w:r>
        <w:rPr>
          <w:sz w:val="24"/>
          <w:szCs w:val="24"/>
        </w:rPr>
        <w:t>7.7.1. Электронная почта: ld@rushydro.ru.</w:t>
      </w:r>
    </w:p>
    <w:p>
      <w:pPr>
        <w:pStyle w:val="Normal"/>
        <w:shd w:val="clear" w:color="auto" w:fill="FFFFFF"/>
        <w:tabs>
          <w:tab w:val="clear" w:pos="708"/>
          <w:tab w:val="left" w:pos="567" w:leader="none"/>
          <w:tab w:val="left" w:pos="1134" w:leader="none"/>
        </w:tabs>
        <w:ind w:firstLine="709"/>
        <w:jc w:val="both"/>
        <w:rPr>
          <w:sz w:val="24"/>
          <w:szCs w:val="24"/>
        </w:rPr>
      </w:pPr>
      <w:r>
        <w:rPr>
          <w:sz w:val="24"/>
          <w:szCs w:val="24"/>
        </w:rPr>
        <w:t>7.7.2. 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Normal"/>
        <w:ind w:firstLine="709"/>
        <w:jc w:val="both"/>
        <w:rPr>
          <w:sz w:val="24"/>
          <w:szCs w:val="24"/>
        </w:rPr>
      </w:pPr>
      <w:r>
        <w:rPr>
          <w:sz w:val="24"/>
          <w:szCs w:val="24"/>
        </w:rPr>
        <w:t>7.7.3.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Normal"/>
        <w:shd w:val="clear" w:color="auto" w:fill="FFFFFF"/>
        <w:tabs>
          <w:tab w:val="clear" w:pos="708"/>
          <w:tab w:val="left" w:pos="0" w:leader="none"/>
          <w:tab w:val="left" w:pos="284" w:leader="none"/>
          <w:tab w:val="left" w:pos="567" w:leader="none"/>
        </w:tabs>
        <w:ind w:firstLine="709"/>
        <w:jc w:val="both"/>
        <w:rPr>
          <w:b/>
          <w:bCs/>
          <w:sz w:val="24"/>
          <w:szCs w:val="24"/>
        </w:rPr>
      </w:pPr>
      <w:r>
        <w:rPr>
          <w:b/>
          <w:bCs/>
          <w:sz w:val="24"/>
          <w:szCs w:val="24"/>
        </w:rPr>
      </w:r>
    </w:p>
    <w:p>
      <w:pPr>
        <w:pStyle w:val="Normal"/>
        <w:widowControl/>
        <w:numPr>
          <w:ilvl w:val="0"/>
          <w:numId w:val="202"/>
        </w:numPr>
        <w:shd w:val="clear" w:color="auto" w:fill="FFFFFF"/>
        <w:spacing w:before="0" w:after="0"/>
        <w:ind w:left="0" w:hanging="0"/>
        <w:contextualSpacing/>
        <w:jc w:val="center"/>
        <w:rPr>
          <w:b/>
          <w:bCs/>
          <w:sz w:val="24"/>
          <w:szCs w:val="24"/>
        </w:rPr>
      </w:pPr>
      <w:r>
        <w:rPr>
          <w:b/>
          <w:bCs/>
          <w:sz w:val="24"/>
          <w:szCs w:val="24"/>
        </w:rPr>
        <w:t>Обстоятельства непреодолимой силы (форс-мажор)</w:t>
      </w:r>
    </w:p>
    <w:p>
      <w:pPr>
        <w:pStyle w:val="Normal"/>
        <w:widowControl/>
        <w:numPr>
          <w:ilvl w:val="1"/>
          <w:numId w:val="203"/>
        </w:numPr>
        <w:shd w:val="clear" w:color="auto" w:fill="FFFFFF"/>
        <w:tabs>
          <w:tab w:val="clear" w:pos="708"/>
          <w:tab w:val="left" w:pos="0" w:leader="none"/>
          <w:tab w:val="left" w:pos="1134" w:leader="none"/>
          <w:tab w:val="left" w:pos="1418" w:leader="none"/>
        </w:tabs>
        <w:spacing w:before="0" w:after="0"/>
        <w:ind w:left="0" w:firstLine="709"/>
        <w:contextualSpacing/>
        <w:jc w:val="both"/>
        <w:rPr>
          <w:bCs/>
          <w:sz w:val="24"/>
          <w:szCs w:val="24"/>
        </w:rPr>
      </w:pPr>
      <w:r>
        <w:rPr>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Normal"/>
        <w:widowControl/>
        <w:numPr>
          <w:ilvl w:val="1"/>
          <w:numId w:val="204"/>
        </w:numPr>
        <w:shd w:val="clear" w:color="auto" w:fill="FFFFFF"/>
        <w:tabs>
          <w:tab w:val="clear" w:pos="708"/>
          <w:tab w:val="left" w:pos="0" w:leader="none"/>
          <w:tab w:val="left" w:pos="1134" w:leader="none"/>
          <w:tab w:val="left" w:pos="1418" w:leader="none"/>
        </w:tabs>
        <w:spacing w:before="0" w:after="0"/>
        <w:ind w:left="0" w:firstLine="709"/>
        <w:contextualSpacing/>
        <w:jc w:val="both"/>
        <w:rPr>
          <w:bCs/>
          <w:sz w:val="24"/>
          <w:szCs w:val="24"/>
        </w:rPr>
      </w:pPr>
      <w:r>
        <w:rPr>
          <w:bCs/>
          <w:sz w:val="24"/>
          <w:szCs w:val="24"/>
        </w:rPr>
        <w:t xml:space="preserve">Сторона имеет право ссылаться на обстоятельства непреодолимой силы только </w:t>
        <w:br/>
        <w:t>в случае, если такие обстоятельства непосредственно повлияли на возможность исполнения этой Стороной условий Договора.</w:t>
      </w:r>
    </w:p>
    <w:p>
      <w:pPr>
        <w:pStyle w:val="Normal"/>
        <w:widowControl/>
        <w:numPr>
          <w:ilvl w:val="1"/>
          <w:numId w:val="205"/>
        </w:numPr>
        <w:shd w:val="clear" w:color="auto" w:fill="FFFFFF"/>
        <w:tabs>
          <w:tab w:val="clear" w:pos="708"/>
          <w:tab w:val="left" w:pos="0" w:leader="none"/>
          <w:tab w:val="left" w:pos="1134" w:leader="none"/>
          <w:tab w:val="left" w:pos="1418" w:leader="none"/>
        </w:tabs>
        <w:spacing w:before="0" w:after="0"/>
        <w:ind w:left="0" w:firstLine="709"/>
        <w:contextualSpacing/>
        <w:jc w:val="both"/>
        <w:rPr>
          <w:bCs/>
          <w:sz w:val="24"/>
          <w:szCs w:val="24"/>
        </w:rPr>
      </w:pPr>
      <w:r>
        <w:rPr>
          <w:bCs/>
          <w:sz w:val="24"/>
          <w:szCs w:val="24"/>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br/>
        <w:t>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Normal"/>
        <w:widowControl/>
        <w:numPr>
          <w:ilvl w:val="1"/>
          <w:numId w:val="206"/>
        </w:numPr>
        <w:shd w:val="clear" w:color="auto" w:fill="FFFFFF"/>
        <w:tabs>
          <w:tab w:val="clear" w:pos="708"/>
          <w:tab w:val="left" w:pos="0" w:leader="none"/>
          <w:tab w:val="left" w:pos="1134" w:leader="none"/>
          <w:tab w:val="left" w:pos="1418" w:leader="none"/>
        </w:tabs>
        <w:spacing w:before="0" w:after="0"/>
        <w:ind w:left="0" w:firstLine="709"/>
        <w:contextualSpacing/>
        <w:jc w:val="both"/>
        <w:rPr>
          <w:bCs/>
          <w:sz w:val="24"/>
          <w:szCs w:val="24"/>
        </w:rPr>
      </w:pPr>
      <w:r>
        <w:rPr>
          <w:sz w:val="24"/>
          <w:szCs w:val="24"/>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Normal"/>
        <w:widowControl/>
        <w:numPr>
          <w:ilvl w:val="1"/>
          <w:numId w:val="207"/>
        </w:numPr>
        <w:shd w:val="clear" w:color="auto" w:fill="FFFFFF"/>
        <w:tabs>
          <w:tab w:val="clear" w:pos="708"/>
          <w:tab w:val="left" w:pos="0" w:leader="none"/>
          <w:tab w:val="left" w:pos="1134" w:leader="none"/>
          <w:tab w:val="left" w:pos="1418" w:leader="none"/>
        </w:tabs>
        <w:spacing w:before="0" w:after="0"/>
        <w:ind w:left="0" w:firstLine="709"/>
        <w:contextualSpacing/>
        <w:jc w:val="both"/>
        <w:rPr>
          <w:bCs/>
          <w:sz w:val="24"/>
          <w:szCs w:val="24"/>
        </w:rPr>
      </w:pPr>
      <w:r>
        <w:rPr>
          <w:bCs/>
          <w:sz w:val="24"/>
          <w:szCs w:val="24"/>
        </w:rPr>
        <w:t xml:space="preserve">Отсутствие уведомления или несвоевременное уведомление </w:t>
        <w:br/>
        <w:t xml:space="preserve">об обстоятельствах непреодолимой силы лишает соответствующую Сторону права </w:t>
        <w:br/>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Normal"/>
        <w:widowControl/>
        <w:numPr>
          <w:ilvl w:val="1"/>
          <w:numId w:val="208"/>
        </w:numPr>
        <w:shd w:val="clear" w:color="auto" w:fill="FFFFFF"/>
        <w:tabs>
          <w:tab w:val="clear" w:pos="708"/>
          <w:tab w:val="left" w:pos="0" w:leader="none"/>
          <w:tab w:val="left" w:pos="568" w:leader="none"/>
          <w:tab w:val="left" w:pos="1134" w:leader="none"/>
          <w:tab w:val="left" w:pos="1418" w:leader="none"/>
        </w:tabs>
        <w:spacing w:before="0" w:after="0"/>
        <w:ind w:left="0" w:firstLine="709"/>
        <w:contextualSpacing/>
        <w:jc w:val="both"/>
        <w:rPr>
          <w:bCs/>
          <w:sz w:val="24"/>
          <w:szCs w:val="24"/>
        </w:rPr>
      </w:pPr>
      <w:r>
        <w:rPr>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Normal"/>
        <w:shd w:val="clear" w:color="auto" w:fill="FFFFFF"/>
        <w:tabs>
          <w:tab w:val="clear" w:pos="708"/>
          <w:tab w:val="left" w:pos="0" w:leader="none"/>
          <w:tab w:val="left" w:pos="568" w:leader="none"/>
          <w:tab w:val="left" w:pos="1418" w:leader="none"/>
        </w:tabs>
        <w:ind w:firstLine="709"/>
        <w:jc w:val="both"/>
        <w:rPr>
          <w:bCs/>
          <w:sz w:val="24"/>
          <w:szCs w:val="24"/>
        </w:rPr>
      </w:pPr>
      <w:r>
        <w:rPr>
          <w:bCs/>
          <w:sz w:val="24"/>
          <w:szCs w:val="24"/>
        </w:rPr>
        <w:t xml:space="preserve">При этом любая из Сторон вправе отказаться от исполнения Договора </w:t>
        <w:br/>
        <w:t>в одностороннем внесудебном порядке.</w:t>
      </w:r>
    </w:p>
    <w:p>
      <w:pPr>
        <w:pStyle w:val="Normal"/>
        <w:shd w:val="clear" w:color="auto" w:fill="FFFFFF"/>
        <w:ind w:firstLine="709"/>
        <w:jc w:val="both"/>
        <w:rPr>
          <w:sz w:val="24"/>
          <w:szCs w:val="24"/>
        </w:rPr>
      </w:pPr>
      <w:r>
        <w:rPr>
          <w:sz w:val="24"/>
          <w:szCs w:val="24"/>
        </w:rPr>
      </w:r>
    </w:p>
    <w:p>
      <w:pPr>
        <w:pStyle w:val="Normal"/>
        <w:widowControl/>
        <w:numPr>
          <w:ilvl w:val="0"/>
          <w:numId w:val="209"/>
        </w:numPr>
        <w:shd w:val="clear" w:color="auto" w:fill="FFFFFF"/>
        <w:spacing w:before="0" w:after="0"/>
        <w:ind w:left="0" w:hanging="0"/>
        <w:contextualSpacing/>
        <w:jc w:val="center"/>
        <w:rPr>
          <w:b/>
          <w:bCs/>
          <w:sz w:val="24"/>
          <w:szCs w:val="24"/>
        </w:rPr>
      </w:pPr>
      <w:r>
        <w:rPr>
          <w:b/>
          <w:bCs/>
          <w:sz w:val="24"/>
          <w:szCs w:val="24"/>
        </w:rPr>
        <w:t>Особые положения</w:t>
      </w:r>
    </w:p>
    <w:p>
      <w:pPr>
        <w:pStyle w:val="Normal"/>
        <w:widowControl/>
        <w:numPr>
          <w:ilvl w:val="1"/>
          <w:numId w:val="210"/>
        </w:numPr>
        <w:shd w:val="clear" w:color="auto" w:fill="FFFFFF"/>
        <w:tabs>
          <w:tab w:val="clear" w:pos="708"/>
          <w:tab w:val="left" w:pos="0" w:leader="none"/>
          <w:tab w:val="left" w:pos="568" w:leader="none"/>
          <w:tab w:val="left" w:pos="1134" w:leader="none"/>
          <w:tab w:val="left" w:pos="1418" w:leader="none"/>
        </w:tabs>
        <w:spacing w:before="0" w:after="0"/>
        <w:ind w:left="0" w:firstLine="709"/>
        <w:contextualSpacing/>
        <w:jc w:val="both"/>
        <w:rPr>
          <w:bCs/>
          <w:sz w:val="24"/>
          <w:szCs w:val="24"/>
        </w:rPr>
      </w:pPr>
      <w:bookmarkStart w:id="8" w:name="_Ref361337900"/>
      <w:r>
        <w:rPr>
          <w:bCs/>
          <w:sz w:val="24"/>
          <w:szCs w:val="24"/>
        </w:rPr>
        <w:t>Поставщик обязуется не привлекать и не допускать привлечения к исполнению обязательств по Договору организации:</w:t>
      </w:r>
    </w:p>
    <w:p>
      <w:pPr>
        <w:pStyle w:val="Normal"/>
        <w:widowControl/>
        <w:numPr>
          <w:ilvl w:val="1"/>
          <w:numId w:val="5"/>
        </w:numPr>
        <w:shd w:val="clear" w:color="auto" w:fill="FFFFFF"/>
        <w:tabs>
          <w:tab w:val="clear" w:pos="708"/>
          <w:tab w:val="left" w:pos="1134" w:leader="none"/>
        </w:tabs>
        <w:spacing w:before="0" w:after="0"/>
        <w:ind w:left="0" w:firstLine="709"/>
        <w:contextualSpacing/>
        <w:jc w:val="both"/>
        <w:rPr>
          <w:bCs/>
          <w:sz w:val="24"/>
          <w:szCs w:val="24"/>
        </w:rPr>
      </w:pPr>
      <w:r>
        <w:rPr>
          <w:bCs/>
          <w:sz w:val="24"/>
          <w:szCs w:val="24"/>
        </w:rPr>
        <w:t xml:space="preserve"> </w:t>
      </w:r>
      <w:r>
        <w:rPr>
          <w:bCs/>
          <w:sz w:val="24"/>
          <w:szCs w:val="24"/>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3">
        <w:r>
          <w:rPr>
            <w:rStyle w:val="Hyperlink"/>
            <w:bCs/>
            <w:color w:val="auto"/>
            <w:sz w:val="24"/>
            <w:szCs w:val="24"/>
            <w:u w:val="none"/>
          </w:rPr>
          <w:t>№ 18162/09</w:t>
        </w:r>
      </w:hyperlink>
      <w:r>
        <w:rPr>
          <w:bCs/>
          <w:sz w:val="24"/>
          <w:szCs w:val="24"/>
        </w:rPr>
        <w:t xml:space="preserve"> </w:t>
        <w:br/>
        <w:t xml:space="preserve">и от 25.05.2010 </w:t>
      </w:r>
      <w:hyperlink r:id="rId4">
        <w:r>
          <w:rPr>
            <w:rStyle w:val="Hyperlink"/>
            <w:bCs/>
            <w:color w:val="auto"/>
            <w:sz w:val="24"/>
            <w:szCs w:val="24"/>
            <w:u w:val="none"/>
          </w:rPr>
          <w:t>№ 15658/09</w:t>
        </w:r>
      </w:hyperlink>
      <w:r>
        <w:rPr>
          <w:bCs/>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w:t>
        <w:br/>
        <w:t xml:space="preserve">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w:t>
        <w:br/>
        <w:t xml:space="preserve">и / или </w:t>
      </w:r>
    </w:p>
    <w:p>
      <w:pPr>
        <w:pStyle w:val="Normal"/>
        <w:widowControl/>
        <w:numPr>
          <w:ilvl w:val="1"/>
          <w:numId w:val="5"/>
        </w:numPr>
        <w:shd w:val="clear" w:color="auto" w:fill="FFFFFF"/>
        <w:tabs>
          <w:tab w:val="clear" w:pos="708"/>
          <w:tab w:val="left" w:pos="1134" w:leader="none"/>
        </w:tabs>
        <w:spacing w:before="0" w:after="0"/>
        <w:ind w:left="0" w:firstLine="709"/>
        <w:contextualSpacing/>
        <w:jc w:val="both"/>
        <w:rPr>
          <w:bCs/>
          <w:sz w:val="24"/>
          <w:szCs w:val="24"/>
        </w:rPr>
      </w:pPr>
      <w:r>
        <w:rPr>
          <w:bCs/>
          <w:sz w:val="24"/>
          <w:szCs w:val="24"/>
        </w:rPr>
        <w:t xml:space="preserve">соответствующие </w:t>
      </w:r>
      <w:hyperlink r:id="rId5">
        <w:r>
          <w:rPr>
            <w:rStyle w:val="Hyperlink"/>
            <w:bCs/>
            <w:color w:val="auto"/>
            <w:sz w:val="24"/>
            <w:szCs w:val="24"/>
            <w:u w:val="none"/>
          </w:rPr>
          <w:t>Критери</w:t>
        </w:r>
      </w:hyperlink>
      <w:r>
        <w:rPr>
          <w:bCs/>
          <w:sz w:val="24"/>
          <w:szCs w:val="24"/>
        </w:rPr>
        <w:t xml:space="preserve">ям самостоятельной оценки рисков </w:t>
        <w:br/>
        <w:t xml:space="preserve">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w:t>
        <w:br/>
        <w:t>от 30.05.2007 № ММ-3-06/333@).</w:t>
      </w:r>
      <w:bookmarkEnd w:id="8"/>
    </w:p>
    <w:p>
      <w:pPr>
        <w:pStyle w:val="Normal"/>
        <w:widowControl/>
        <w:numPr>
          <w:ilvl w:val="1"/>
          <w:numId w:val="211"/>
        </w:numPr>
        <w:shd w:val="clear" w:color="auto" w:fill="FFFFFF"/>
        <w:tabs>
          <w:tab w:val="clear" w:pos="708"/>
          <w:tab w:val="left" w:pos="0" w:leader="none"/>
          <w:tab w:val="left" w:pos="568" w:leader="none"/>
          <w:tab w:val="left" w:pos="1134" w:leader="none"/>
          <w:tab w:val="left" w:pos="1418" w:leader="none"/>
        </w:tabs>
        <w:spacing w:before="0" w:after="0"/>
        <w:ind w:left="0" w:firstLine="709"/>
        <w:contextualSpacing/>
        <w:jc w:val="both"/>
        <w:rPr>
          <w:bCs/>
          <w:sz w:val="24"/>
          <w:szCs w:val="24"/>
        </w:rPr>
      </w:pPr>
      <w:bookmarkStart w:id="9" w:name="_Ref361337921"/>
      <w:r>
        <w:rPr>
          <w:bCs/>
          <w:sz w:val="24"/>
          <w:szCs w:val="24"/>
        </w:rPr>
        <w:t xml:space="preserve"> </w:t>
      </w:r>
      <w:r>
        <w:rPr>
          <w:bCs/>
          <w:sz w:val="24"/>
          <w:szCs w:val="24"/>
        </w:rPr>
        <w:t xml:space="preserve">Поставщик обязуется незамедлительно уведомить Покупателя о появлении </w:t>
        <w:br/>
        <w:t>в ходе исполнения Договора у привлеченных Поставщиком Субпоставщиков признаков недобросовестности, указанных в пункте 9.1 Договора, а также обеспечить прекращение участия таких организаций в исполнении Договора.</w:t>
      </w:r>
      <w:bookmarkEnd w:id="9"/>
    </w:p>
    <w:p>
      <w:pPr>
        <w:pStyle w:val="Normal"/>
        <w:widowControl/>
        <w:numPr>
          <w:ilvl w:val="1"/>
          <w:numId w:val="212"/>
        </w:numPr>
        <w:shd w:val="clear" w:color="auto" w:fill="FFFFFF"/>
        <w:tabs>
          <w:tab w:val="clear" w:pos="708"/>
          <w:tab w:val="left" w:pos="0" w:leader="none"/>
          <w:tab w:val="left" w:pos="568" w:leader="none"/>
          <w:tab w:val="left" w:pos="1134" w:leader="none"/>
          <w:tab w:val="left" w:pos="1418" w:leader="none"/>
        </w:tabs>
        <w:spacing w:before="0" w:after="0"/>
        <w:ind w:left="0" w:firstLine="709"/>
        <w:contextualSpacing/>
        <w:jc w:val="both"/>
        <w:rPr>
          <w:bCs/>
          <w:sz w:val="24"/>
          <w:szCs w:val="24"/>
        </w:rPr>
      </w:pPr>
      <w:bookmarkStart w:id="10" w:name="_Ref361337948"/>
      <w:r>
        <w:rPr>
          <w:bCs/>
          <w:sz w:val="24"/>
          <w:szCs w:val="24"/>
        </w:rPr>
        <w:t xml:space="preserve"> </w:t>
      </w:r>
      <w:r>
        <w:rPr>
          <w:bCs/>
          <w:sz w:val="24"/>
          <w:szCs w:val="24"/>
        </w:rPr>
        <w:t xml:space="preserve">В случае нарушения Поставщиком обязательств, установленных пунктами 9.1, 9.2 Договора, Покупатель вправе в одностороннем внесудебном порядке отказаться </w:t>
        <w:br/>
        <w:t xml:space="preserve">от Договора путем направления уведомления об отказе от Договора (исполнения Договора) </w:t>
        <w:br/>
        <w:t xml:space="preserve">с указанием даты прекращения (расторжения) Договора, которая не должна наступать ранее 10 (десяти) рабочих дней с даты получения Поставщиком такого уведомления. Договор считается прекращенным (расторгнутым) с даты, указанной в уведомлении об отказе </w:t>
        <w:br/>
        <w:t>от Договора (исполнения Договора) при условии, что Покупатель не отзовет указанное уведомление по итогам рассмотрения мотивированных письменных возражений Поставщика, представленных до наступления указанной Покупателем даты расторжения.</w:t>
      </w:r>
      <w:bookmarkEnd w:id="10"/>
    </w:p>
    <w:p>
      <w:pPr>
        <w:pStyle w:val="Normal"/>
        <w:widowControl/>
        <w:numPr>
          <w:ilvl w:val="1"/>
          <w:numId w:val="213"/>
        </w:numPr>
        <w:shd w:val="clear" w:color="auto" w:fill="FFFFFF"/>
        <w:tabs>
          <w:tab w:val="clear" w:pos="708"/>
          <w:tab w:val="left" w:pos="0" w:leader="none"/>
          <w:tab w:val="left" w:pos="568" w:leader="none"/>
          <w:tab w:val="left" w:pos="1134" w:leader="none"/>
          <w:tab w:val="left" w:pos="1418" w:leader="none"/>
        </w:tabs>
        <w:spacing w:before="0" w:after="0"/>
        <w:ind w:left="0" w:firstLine="709"/>
        <w:contextualSpacing/>
        <w:jc w:val="both"/>
        <w:rPr>
          <w:bCs/>
          <w:sz w:val="24"/>
          <w:szCs w:val="24"/>
        </w:rPr>
      </w:pPr>
      <w:bookmarkStart w:id="11" w:name="_Ref361337980"/>
      <w:r>
        <w:rPr>
          <w:bCs/>
          <w:sz w:val="24"/>
          <w:szCs w:val="24"/>
        </w:rPr>
        <w:t>Поставщик обязан уплатить Покупателю штраф в размере суммы денежных средств, перечисленных организации, отвечающей признакам недобросовестности, а также дополнительно компенсировать Покупателю убытки, причиненные в результате нарушения обязательств, установленных пунктами 9.1, 9.2 Договора.</w:t>
      </w:r>
      <w:bookmarkEnd w:id="11"/>
    </w:p>
    <w:p>
      <w:pPr>
        <w:pStyle w:val="Normal"/>
        <w:widowControl/>
        <w:numPr>
          <w:ilvl w:val="1"/>
          <w:numId w:val="214"/>
        </w:numPr>
        <w:shd w:val="clear" w:color="auto" w:fill="FFFFFF"/>
        <w:tabs>
          <w:tab w:val="clear" w:pos="708"/>
          <w:tab w:val="left" w:pos="0" w:leader="none"/>
          <w:tab w:val="left" w:pos="568" w:leader="none"/>
          <w:tab w:val="left" w:pos="1134" w:leader="none"/>
          <w:tab w:val="left" w:pos="1418" w:leader="none"/>
        </w:tabs>
        <w:spacing w:before="0" w:after="0"/>
        <w:ind w:left="0" w:firstLine="709"/>
        <w:contextualSpacing/>
        <w:jc w:val="both"/>
        <w:rPr>
          <w:bCs/>
          <w:sz w:val="24"/>
          <w:szCs w:val="24"/>
        </w:rPr>
      </w:pPr>
      <w:bookmarkStart w:id="12" w:name="_Ref373243071"/>
      <w:r>
        <w:rPr>
          <w:bCs/>
          <w:sz w:val="24"/>
          <w:szCs w:val="24"/>
        </w:rPr>
        <w:t xml:space="preserve">Штраф, предусмотренный пунктом 9.4 Договора, оплачивается Поставщиком </w:t>
        <w:br/>
        <w:t xml:space="preserve">в течение 10 (десяти) рабочих дней с даты получения соответствующего письменного требования Покупателя. Покупатель вправе предъявить требование об уплате штрафа </w:t>
        <w:br/>
        <w:t>вне независимости от направления уведомления об отказе от Договора (исполнения Договора), предусмотренного пунктом 9.3 Договора.</w:t>
      </w:r>
      <w:bookmarkEnd w:id="12"/>
    </w:p>
    <w:p>
      <w:pPr>
        <w:pStyle w:val="Normal"/>
        <w:widowControl/>
        <w:numPr>
          <w:ilvl w:val="1"/>
          <w:numId w:val="215"/>
        </w:numPr>
        <w:shd w:val="clear" w:color="auto" w:fill="FFFFFF"/>
        <w:tabs>
          <w:tab w:val="clear" w:pos="708"/>
          <w:tab w:val="left" w:pos="0" w:leader="none"/>
          <w:tab w:val="left" w:pos="568" w:leader="none"/>
          <w:tab w:val="left" w:pos="1134" w:leader="none"/>
          <w:tab w:val="left" w:pos="1418" w:leader="none"/>
        </w:tabs>
        <w:spacing w:before="0" w:after="0"/>
        <w:ind w:left="0" w:firstLine="709"/>
        <w:contextualSpacing/>
        <w:jc w:val="both"/>
        <w:rPr>
          <w:bCs/>
          <w:sz w:val="24"/>
          <w:szCs w:val="24"/>
        </w:rPr>
      </w:pPr>
      <w:bookmarkStart w:id="13" w:name="_Ref361337992"/>
      <w:r>
        <w:rPr>
          <w:bCs/>
          <w:sz w:val="24"/>
          <w:szCs w:val="24"/>
        </w:rPr>
        <w:t xml:space="preserve">Покупатель вправе приостановить осуществление любых платежей по Договору, причитающихся Поставщику, независимо от наличия оснований и наступления сроков таких платежей, до уплаты Поставщиком штрафа, предусмотренного пунктом 9.4. Договора. </w:t>
        <w:br/>
        <w:t>При этом Покупатель не будет считаться просрочившим и / или нарушившим свои обязательства по Договору.</w:t>
      </w:r>
      <w:bookmarkEnd w:id="13"/>
    </w:p>
    <w:p>
      <w:pPr>
        <w:pStyle w:val="Normal"/>
        <w:widowControl/>
        <w:numPr>
          <w:ilvl w:val="1"/>
          <w:numId w:val="216"/>
        </w:numPr>
        <w:shd w:val="clear" w:color="auto" w:fill="FFFFFF"/>
        <w:tabs>
          <w:tab w:val="clear" w:pos="708"/>
          <w:tab w:val="left" w:pos="0" w:leader="none"/>
          <w:tab w:val="left" w:pos="568" w:leader="none"/>
          <w:tab w:val="left" w:pos="1134" w:leader="none"/>
          <w:tab w:val="left" w:pos="1418" w:leader="none"/>
        </w:tabs>
        <w:spacing w:before="0" w:after="0"/>
        <w:ind w:left="0" w:firstLine="709"/>
        <w:contextualSpacing/>
        <w:jc w:val="both"/>
        <w:rPr>
          <w:bCs/>
          <w:sz w:val="24"/>
          <w:szCs w:val="24"/>
        </w:rPr>
      </w:pPr>
      <w:r>
        <w:rPr>
          <w:bCs/>
          <w:sz w:val="24"/>
          <w:szCs w:val="24"/>
        </w:rPr>
        <w:t>Независимо от других положений Договора, положения пунктов 9.4, 9.5 Договора продолжают действовать в течение 4 (четырех) лет после его прекращения (расторжения) или исполнения.</w:t>
      </w:r>
    </w:p>
    <w:p>
      <w:pPr>
        <w:pStyle w:val="Normal"/>
        <w:widowControl/>
        <w:shd w:val="clear" w:color="auto" w:fill="FFFFFF"/>
        <w:tabs>
          <w:tab w:val="clear" w:pos="708"/>
          <w:tab w:val="left" w:pos="1134" w:leader="none"/>
        </w:tabs>
        <w:jc w:val="both"/>
        <w:rPr>
          <w:bCs/>
          <w:sz w:val="24"/>
          <w:szCs w:val="24"/>
        </w:rPr>
      </w:pPr>
      <w:r>
        <w:rPr>
          <w:bCs/>
          <w:sz w:val="24"/>
          <w:szCs w:val="24"/>
        </w:rPr>
      </w:r>
    </w:p>
    <w:p>
      <w:pPr>
        <w:pStyle w:val="Normal"/>
        <w:widowControl/>
        <w:numPr>
          <w:ilvl w:val="0"/>
          <w:numId w:val="217"/>
        </w:numPr>
        <w:shd w:val="clear" w:color="auto" w:fill="FFFFFF"/>
        <w:tabs>
          <w:tab w:val="clear" w:pos="708"/>
          <w:tab w:val="left" w:pos="426" w:leader="none"/>
        </w:tabs>
        <w:spacing w:before="0" w:after="0"/>
        <w:ind w:left="0" w:hanging="0"/>
        <w:contextualSpacing/>
        <w:jc w:val="center"/>
        <w:rPr>
          <w:b/>
          <w:sz w:val="24"/>
          <w:szCs w:val="24"/>
        </w:rPr>
      </w:pPr>
      <w:r>
        <w:rPr>
          <w:b/>
          <w:bCs/>
          <w:sz w:val="24"/>
          <w:szCs w:val="24"/>
        </w:rPr>
        <w:t>Заверения</w:t>
      </w:r>
      <w:r>
        <w:rPr>
          <w:b/>
          <w:sz w:val="24"/>
          <w:szCs w:val="24"/>
        </w:rPr>
        <w:t xml:space="preserve"> Сторон</w:t>
      </w:r>
    </w:p>
    <w:p>
      <w:pPr>
        <w:pStyle w:val="Normal"/>
        <w:widowControl/>
        <w:numPr>
          <w:ilvl w:val="1"/>
          <w:numId w:val="218"/>
        </w:numPr>
        <w:shd w:val="clear" w:color="auto" w:fill="FFFFFF"/>
        <w:tabs>
          <w:tab w:val="clear" w:pos="708"/>
          <w:tab w:val="left" w:pos="1134" w:leader="none"/>
          <w:tab w:val="left" w:pos="1418" w:leader="none"/>
        </w:tabs>
        <w:spacing w:before="0" w:after="0"/>
        <w:ind w:left="0" w:firstLine="709"/>
        <w:contextualSpacing/>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pPr>
        <w:pStyle w:val="Normal"/>
        <w:widowControl/>
        <w:numPr>
          <w:ilvl w:val="0"/>
          <w:numId w:val="6"/>
        </w:numPr>
        <w:shd w:val="clear" w:color="auto" w:fill="FFFFFF"/>
        <w:tabs>
          <w:tab w:val="clear" w:pos="708"/>
          <w:tab w:val="left" w:pos="0" w:leader="none"/>
          <w:tab w:val="left" w:pos="709" w:leader="none"/>
          <w:tab w:val="left" w:pos="1418" w:leader="none"/>
        </w:tabs>
        <w:spacing w:before="0" w:after="0"/>
        <w:ind w:left="0" w:firstLine="709"/>
        <w:contextualSpacing/>
        <w:jc w:val="both"/>
        <w:rPr>
          <w:sz w:val="24"/>
          <w:szCs w:val="24"/>
        </w:rPr>
      </w:pPr>
      <w:r>
        <w:rPr>
          <w:sz w:val="24"/>
          <w:szCs w:val="24"/>
        </w:rPr>
        <w:t xml:space="preserve">она является юридическим лицом, надлежащим образом учрежденным </w:t>
        <w:br/>
        <w:t>и правомерно осуществляющим свою деятельность в соответствии с законодательством Российской Федерации;</w:t>
      </w:r>
    </w:p>
    <w:p>
      <w:pPr>
        <w:pStyle w:val="Normal"/>
        <w:widowControl/>
        <w:numPr>
          <w:ilvl w:val="0"/>
          <w:numId w:val="6"/>
        </w:numPr>
        <w:shd w:val="clear" w:color="auto" w:fill="FFFFFF"/>
        <w:tabs>
          <w:tab w:val="clear" w:pos="708"/>
          <w:tab w:val="left" w:pos="0" w:leader="none"/>
          <w:tab w:val="left" w:pos="709" w:leader="none"/>
          <w:tab w:val="left" w:pos="1418" w:leader="none"/>
        </w:tabs>
        <w:spacing w:before="0" w:after="0"/>
        <w:ind w:left="0" w:firstLine="709"/>
        <w:contextualSpacing/>
        <w:jc w:val="both"/>
        <w:rPr>
          <w:sz w:val="24"/>
          <w:szCs w:val="24"/>
        </w:rPr>
      </w:pPr>
      <w:r>
        <w:rPr>
          <w:sz w:val="24"/>
          <w:szCs w:val="24"/>
        </w:rPr>
        <w:t xml:space="preserve">она обладает полной правоспособностью на заключение Договора </w:t>
        <w:br/>
        <w:t>и исполнение всех своих обязательств, возникающих из Договора или в связи с ним;</w:t>
      </w:r>
    </w:p>
    <w:p>
      <w:pPr>
        <w:pStyle w:val="Normal"/>
        <w:widowControl/>
        <w:numPr>
          <w:ilvl w:val="0"/>
          <w:numId w:val="6"/>
        </w:numPr>
        <w:shd w:val="clear" w:color="auto" w:fill="FFFFFF"/>
        <w:tabs>
          <w:tab w:val="clear" w:pos="708"/>
          <w:tab w:val="left" w:pos="0" w:leader="none"/>
          <w:tab w:val="left" w:pos="709" w:leader="none"/>
          <w:tab w:val="left" w:pos="1418" w:leader="none"/>
        </w:tabs>
        <w:spacing w:before="0" w:after="0"/>
        <w:ind w:left="0" w:firstLine="709"/>
        <w:contextualSpacing/>
        <w:jc w:val="both"/>
        <w:rPr>
          <w:sz w:val="24"/>
          <w:szCs w:val="24"/>
        </w:rPr>
      </w:pPr>
      <w:r>
        <w:rPr>
          <w:sz w:val="24"/>
          <w:szCs w:val="24"/>
        </w:rPr>
        <w:t xml:space="preserve">она получила все корпоративные одобрения Договора органами управления </w:t>
        <w:br/>
        <w:t xml:space="preserve">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w:t>
        <w:br/>
        <w:t>и иных лиц, необходимые для заключения и исполнения Договора;</w:t>
      </w:r>
    </w:p>
    <w:p>
      <w:pPr>
        <w:pStyle w:val="Normal"/>
        <w:widowControl/>
        <w:numPr>
          <w:ilvl w:val="0"/>
          <w:numId w:val="6"/>
        </w:numPr>
        <w:shd w:val="clear" w:color="auto" w:fill="FFFFFF"/>
        <w:tabs>
          <w:tab w:val="clear" w:pos="708"/>
          <w:tab w:val="left" w:pos="0" w:leader="none"/>
          <w:tab w:val="left" w:pos="709" w:leader="none"/>
          <w:tab w:val="left" w:pos="1418" w:leader="none"/>
        </w:tabs>
        <w:spacing w:before="0" w:after="0"/>
        <w:ind w:left="0" w:firstLine="709"/>
        <w:contextualSpacing/>
        <w:jc w:val="both"/>
        <w:rPr>
          <w:sz w:val="24"/>
          <w:szCs w:val="24"/>
        </w:rPr>
      </w:pPr>
      <w:r>
        <w:rPr>
          <w:sz w:val="24"/>
          <w:szCs w:val="24"/>
        </w:rPr>
        <w:t>лица, подписывающие от имени Сторон Договор, надлежащим образом уполномочены на его подписание;</w:t>
      </w:r>
    </w:p>
    <w:p>
      <w:pPr>
        <w:pStyle w:val="Normal"/>
        <w:widowControl/>
        <w:numPr>
          <w:ilvl w:val="0"/>
          <w:numId w:val="6"/>
        </w:numPr>
        <w:shd w:val="clear" w:color="auto" w:fill="FFFFFF"/>
        <w:tabs>
          <w:tab w:val="clear" w:pos="708"/>
          <w:tab w:val="left" w:pos="0" w:leader="none"/>
          <w:tab w:val="left" w:pos="709" w:leader="none"/>
          <w:tab w:val="left" w:pos="1418" w:leader="none"/>
        </w:tabs>
        <w:spacing w:before="0" w:after="0"/>
        <w:ind w:left="0" w:firstLine="709"/>
        <w:contextualSpacing/>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w:t>
        <w:br/>
        <w:t xml:space="preserve">или в связи с ним. </w:t>
      </w:r>
    </w:p>
    <w:p>
      <w:pPr>
        <w:pStyle w:val="Normal"/>
        <w:widowControl/>
        <w:numPr>
          <w:ilvl w:val="1"/>
          <w:numId w:val="219"/>
        </w:numPr>
        <w:shd w:val="clear" w:color="auto" w:fill="FFFFFF"/>
        <w:tabs>
          <w:tab w:val="clear" w:pos="708"/>
          <w:tab w:val="left" w:pos="1418" w:leader="none"/>
        </w:tabs>
        <w:spacing w:before="0" w:after="0"/>
        <w:ind w:left="0" w:firstLine="709"/>
        <w:contextualSpacing/>
        <w:jc w:val="both"/>
        <w:rPr>
          <w:sz w:val="24"/>
          <w:szCs w:val="24"/>
        </w:rPr>
      </w:pPr>
      <w:r>
        <w:rPr>
          <w:sz w:val="24"/>
          <w:szCs w:val="24"/>
        </w:rPr>
        <w:t>Поставщик заявляет и заверяет Покупателя в том, что на момент заключения Договора:</w:t>
      </w:r>
    </w:p>
    <w:p>
      <w:pPr>
        <w:pStyle w:val="Normal"/>
        <w:widowControl/>
        <w:numPr>
          <w:ilvl w:val="0"/>
          <w:numId w:val="7"/>
        </w:numPr>
        <w:shd w:val="clear" w:color="auto" w:fill="FFFFFF"/>
        <w:tabs>
          <w:tab w:val="clear" w:pos="708"/>
          <w:tab w:val="left" w:pos="0" w:leader="none"/>
          <w:tab w:val="left" w:pos="709" w:leader="none"/>
        </w:tabs>
        <w:spacing w:before="0" w:after="0"/>
        <w:ind w:left="0" w:firstLine="709"/>
        <w:contextualSpacing/>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pPr>
        <w:pStyle w:val="Normal"/>
        <w:widowControl/>
        <w:numPr>
          <w:ilvl w:val="0"/>
          <w:numId w:val="7"/>
        </w:numPr>
        <w:shd w:val="clear" w:color="auto" w:fill="FFFFFF"/>
        <w:tabs>
          <w:tab w:val="clear" w:pos="708"/>
          <w:tab w:val="left" w:pos="0" w:leader="none"/>
          <w:tab w:val="left" w:pos="709" w:leader="none"/>
        </w:tabs>
        <w:spacing w:before="0" w:after="0"/>
        <w:ind w:left="0" w:firstLine="709"/>
        <w:contextualSpacing/>
        <w:jc w:val="both"/>
        <w:rPr>
          <w:sz w:val="24"/>
          <w:szCs w:val="24"/>
        </w:rPr>
      </w:pPr>
      <w:r>
        <w:rPr>
          <w:sz w:val="24"/>
          <w:szCs w:val="24"/>
        </w:rPr>
        <w:t>руководителем Поставщика является лицо, не являющееся массовым руководителем;</w:t>
      </w:r>
    </w:p>
    <w:p>
      <w:pPr>
        <w:pStyle w:val="Normal"/>
        <w:widowControl/>
        <w:numPr>
          <w:ilvl w:val="0"/>
          <w:numId w:val="7"/>
        </w:numPr>
        <w:shd w:val="clear" w:color="auto" w:fill="FFFFFF"/>
        <w:tabs>
          <w:tab w:val="clear" w:pos="708"/>
          <w:tab w:val="left" w:pos="0" w:leader="none"/>
          <w:tab w:val="left" w:pos="709" w:leader="none"/>
        </w:tabs>
        <w:spacing w:before="0" w:after="0"/>
        <w:ind w:left="0" w:firstLine="709"/>
        <w:contextualSpacing/>
        <w:jc w:val="both"/>
        <w:rPr>
          <w:sz w:val="24"/>
          <w:szCs w:val="24"/>
        </w:rPr>
      </w:pPr>
      <w:r>
        <w:rPr>
          <w:sz w:val="24"/>
          <w:szCs w:val="24"/>
        </w:rPr>
        <w:t xml:space="preserve">Поставщик фактически находится по адресу, указанному в Едином государственном реестре юридических лиц; </w:t>
      </w:r>
    </w:p>
    <w:p>
      <w:pPr>
        <w:pStyle w:val="Normal"/>
        <w:widowControl/>
        <w:numPr>
          <w:ilvl w:val="0"/>
          <w:numId w:val="7"/>
        </w:numPr>
        <w:shd w:val="clear" w:color="auto" w:fill="FFFFFF"/>
        <w:tabs>
          <w:tab w:val="clear" w:pos="708"/>
          <w:tab w:val="left" w:pos="0" w:leader="none"/>
          <w:tab w:val="left" w:pos="709" w:leader="none"/>
        </w:tabs>
        <w:spacing w:before="0" w:after="0"/>
        <w:ind w:left="0" w:firstLine="709"/>
        <w:contextualSpacing/>
        <w:jc w:val="both"/>
        <w:rPr>
          <w:sz w:val="24"/>
          <w:szCs w:val="24"/>
        </w:rPr>
      </w:pPr>
      <w:r>
        <w:rPr>
          <w:sz w:val="24"/>
          <w:szCs w:val="24"/>
        </w:rPr>
        <w:t xml:space="preserve">Поставщик своевременно и в полном объеме уплачивает налоги и сборы </w:t>
        <w:br/>
        <w:t>в соответствии с законодательством Российской Федерации;</w:t>
      </w:r>
    </w:p>
    <w:p>
      <w:pPr>
        <w:pStyle w:val="Normal"/>
        <w:widowControl/>
        <w:numPr>
          <w:ilvl w:val="0"/>
          <w:numId w:val="8"/>
        </w:numPr>
        <w:shd w:val="clear" w:color="auto" w:fill="FFFFFF"/>
        <w:tabs>
          <w:tab w:val="clear" w:pos="708"/>
          <w:tab w:val="left" w:pos="0" w:leader="none"/>
          <w:tab w:val="left" w:pos="567" w:leader="none"/>
        </w:tabs>
        <w:spacing w:before="0" w:after="0"/>
        <w:ind w:left="0" w:firstLine="709"/>
        <w:contextualSpacing/>
        <w:jc w:val="both"/>
        <w:rPr>
          <w:sz w:val="24"/>
          <w:szCs w:val="24"/>
        </w:rPr>
      </w:pPr>
      <w:r>
        <w:rPr>
          <w:sz w:val="24"/>
          <w:szCs w:val="24"/>
        </w:rPr>
        <w:t xml:space="preserve">Поставщик не находится в процедуре несостоятельности (банкротства) </w:t>
        <w:br/>
        <w:t>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Договору или в связи с ним;</w:t>
      </w:r>
    </w:p>
    <w:p>
      <w:pPr>
        <w:pStyle w:val="Normal"/>
        <w:widowControl/>
        <w:numPr>
          <w:ilvl w:val="0"/>
          <w:numId w:val="8"/>
        </w:numPr>
        <w:shd w:val="clear" w:color="auto" w:fill="FFFFFF"/>
        <w:tabs>
          <w:tab w:val="clear" w:pos="708"/>
          <w:tab w:val="left" w:pos="0" w:leader="none"/>
          <w:tab w:val="left" w:pos="567" w:leader="none"/>
        </w:tabs>
        <w:spacing w:before="0" w:after="0"/>
        <w:ind w:left="0" w:firstLine="709"/>
        <w:contextualSpacing/>
        <w:jc w:val="both"/>
        <w:rPr>
          <w:sz w:val="24"/>
          <w:szCs w:val="24"/>
        </w:rPr>
      </w:pPr>
      <w:r>
        <w:rPr>
          <w:sz w:val="24"/>
          <w:szCs w:val="24"/>
        </w:rPr>
        <w:t xml:space="preserve">Поставщик тщательно изучил всю информацию, связанную с Договором, </w:t>
        <w:br/>
        <w:t>в том числе по вопросам, влияющим на сроки, стоимость и качество Товара, полностью ознакомлен со всеми условиями поставки Товара, и принимает на себя все расходы, риски и трудности исполнения обязательств, возникающих из Договора или в связи с ним;</w:t>
      </w:r>
    </w:p>
    <w:p>
      <w:pPr>
        <w:pStyle w:val="Normal"/>
        <w:widowControl/>
        <w:numPr>
          <w:ilvl w:val="0"/>
          <w:numId w:val="8"/>
        </w:numPr>
        <w:shd w:val="clear" w:color="auto" w:fill="FFFFFF"/>
        <w:tabs>
          <w:tab w:val="clear" w:pos="708"/>
          <w:tab w:val="left" w:pos="0" w:leader="none"/>
          <w:tab w:val="left" w:pos="567" w:leader="none"/>
        </w:tabs>
        <w:spacing w:before="0" w:after="0"/>
        <w:ind w:left="0" w:firstLine="709"/>
        <w:contextualSpacing/>
        <w:jc w:val="both"/>
        <w:rPr>
          <w:sz w:val="24"/>
          <w:szCs w:val="24"/>
        </w:rPr>
      </w:pPr>
      <w:r>
        <w:rPr>
          <w:sz w:val="24"/>
          <w:szCs w:val="24"/>
        </w:rPr>
        <w:t xml:space="preserve">Поставщик своевременно и в полном объеме в соответствии </w:t>
        <w:br/>
        <w:t>с законодательством Российской Федерации намерен отражать все финансово-хозяйственные операции, связанные с исполнением Договора;</w:t>
      </w:r>
    </w:p>
    <w:p>
      <w:pPr>
        <w:pStyle w:val="Normal"/>
        <w:widowControl/>
        <w:numPr>
          <w:ilvl w:val="0"/>
          <w:numId w:val="8"/>
        </w:numPr>
        <w:shd w:val="clear" w:color="auto" w:fill="FFFFFF"/>
        <w:tabs>
          <w:tab w:val="clear" w:pos="708"/>
          <w:tab w:val="left" w:pos="0" w:leader="none"/>
          <w:tab w:val="left" w:pos="567" w:leader="none"/>
        </w:tabs>
        <w:spacing w:before="0" w:after="0"/>
        <w:ind w:left="0" w:firstLine="709"/>
        <w:contextualSpacing/>
        <w:jc w:val="both"/>
        <w:rPr>
          <w:sz w:val="24"/>
          <w:szCs w:val="24"/>
        </w:rPr>
      </w:pPr>
      <w:r>
        <w:rPr>
          <w:sz w:val="24"/>
          <w:szCs w:val="24"/>
        </w:rPr>
        <w:t xml:space="preserve">вся информация, предоставленная Покупателю, является достоверной, полной </w:t>
        <w:br/>
        <w:t xml:space="preserve">и точной, и Поставщик не скрыл никаких обстоятельств, которые при их обнаружении могли </w:t>
        <w:br/>
        <w:t>бы негативно повлиять на решение Покупателя заключить Договор на указанных в нем условиях.</w:t>
      </w:r>
    </w:p>
    <w:p>
      <w:pPr>
        <w:pStyle w:val="Normal"/>
        <w:widowControl/>
        <w:numPr>
          <w:ilvl w:val="1"/>
          <w:numId w:val="220"/>
        </w:numPr>
        <w:tabs>
          <w:tab w:val="clear" w:pos="708"/>
          <w:tab w:val="left" w:pos="1418" w:leader="none"/>
        </w:tabs>
        <w:ind w:left="0" w:firstLine="709"/>
        <w:jc w:val="both"/>
        <w:rPr>
          <w:sz w:val="24"/>
          <w:szCs w:val="24"/>
        </w:rPr>
      </w:pPr>
      <w:r>
        <w:rPr>
          <w:sz w:val="24"/>
          <w:szCs w:val="24"/>
        </w:rPr>
        <w:t xml:space="preserve">При заключении и исполнении Договора каждая Сторона полагается </w:t>
        <w:br/>
        <w:t xml:space="preserve">на достоверность, точность и полноту заверений другой Стороны, изложенных в настоящем разделе Договора. </w:t>
      </w:r>
    </w:p>
    <w:p>
      <w:pPr>
        <w:pStyle w:val="Normal"/>
        <w:widowControl/>
        <w:numPr>
          <w:ilvl w:val="1"/>
          <w:numId w:val="221"/>
        </w:numPr>
        <w:shd w:val="clear" w:color="auto" w:fill="FFFFFF"/>
        <w:tabs>
          <w:tab w:val="clear" w:pos="708"/>
          <w:tab w:val="left" w:pos="1418" w:leader="none"/>
        </w:tabs>
        <w:spacing w:before="0" w:after="0"/>
        <w:ind w:left="0" w:firstLine="709"/>
        <w:contextualSpacing/>
        <w:jc w:val="both"/>
        <w:rPr>
          <w:sz w:val="24"/>
          <w:szCs w:val="24"/>
        </w:rPr>
      </w:pPr>
      <w:r>
        <w:rPr>
          <w:sz w:val="24"/>
          <w:szCs w:val="24"/>
        </w:rPr>
        <w:t xml:space="preserve">В случае, если </w:t>
      </w:r>
      <w:r>
        <w:rPr>
          <w:bCs/>
          <w:sz w:val="24"/>
          <w:szCs w:val="24"/>
        </w:rPr>
        <w:t xml:space="preserve">Поставщик </w:t>
      </w:r>
      <w:r>
        <w:rPr>
          <w:sz w:val="24"/>
          <w:szCs w:val="24"/>
        </w:rPr>
        <w:t xml:space="preserve">при заключении Договора предоставил Покупателю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 xml:space="preserve">обязан </w:t>
        <w:br/>
        <w:t>по письменному требованию Покупателя уплатить последнему штраф в размере 5 (пяти) процентов от Цены Договора, указанной в пункте 2.1 Договора.</w:t>
      </w:r>
    </w:p>
    <w:p>
      <w:pPr>
        <w:pStyle w:val="Normal"/>
        <w:widowControl/>
        <w:numPr>
          <w:ilvl w:val="1"/>
          <w:numId w:val="222"/>
        </w:numPr>
        <w:shd w:val="clear" w:color="auto" w:fill="FFFFFF"/>
        <w:tabs>
          <w:tab w:val="clear" w:pos="708"/>
          <w:tab w:val="left" w:pos="1418" w:leader="none"/>
        </w:tabs>
        <w:spacing w:before="0" w:after="0"/>
        <w:ind w:left="0" w:firstLine="709"/>
        <w:contextualSpacing/>
        <w:jc w:val="both"/>
        <w:rPr>
          <w:sz w:val="24"/>
          <w:szCs w:val="24"/>
        </w:rPr>
      </w:pPr>
      <w:r>
        <w:rPr>
          <w:sz w:val="24"/>
          <w:szCs w:val="24"/>
        </w:rPr>
        <w:t>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Normal"/>
        <w:widowControl/>
        <w:shd w:val="clear" w:color="auto" w:fill="FFFFFF"/>
        <w:tabs>
          <w:tab w:val="clear" w:pos="708"/>
          <w:tab w:val="left" w:pos="1134" w:leader="none"/>
          <w:tab w:val="left" w:pos="1418" w:leader="none"/>
        </w:tabs>
        <w:ind w:firstLine="709"/>
        <w:jc w:val="both"/>
        <w:rPr>
          <w:sz w:val="24"/>
          <w:szCs w:val="24"/>
        </w:rPr>
      </w:pPr>
      <w:r>
        <w:rPr>
          <w:sz w:val="24"/>
          <w:szCs w:val="24"/>
        </w:rPr>
      </w:r>
    </w:p>
    <w:p>
      <w:pPr>
        <w:pStyle w:val="Normal"/>
        <w:widowControl/>
        <w:numPr>
          <w:ilvl w:val="0"/>
          <w:numId w:val="223"/>
        </w:numPr>
        <w:shd w:val="clear" w:color="auto" w:fill="FFFFFF"/>
        <w:tabs>
          <w:tab w:val="clear" w:pos="708"/>
          <w:tab w:val="left" w:pos="426" w:leader="none"/>
        </w:tabs>
        <w:spacing w:before="0" w:after="0"/>
        <w:ind w:left="0" w:hanging="0"/>
        <w:contextualSpacing/>
        <w:jc w:val="center"/>
        <w:rPr>
          <w:b/>
          <w:sz w:val="24"/>
          <w:szCs w:val="24"/>
        </w:rPr>
      </w:pPr>
      <w:r>
        <w:rPr>
          <w:b/>
          <w:bCs/>
          <w:sz w:val="24"/>
          <w:szCs w:val="24"/>
        </w:rPr>
        <w:t>П</w:t>
      </w:r>
      <w:r>
        <w:rPr>
          <w:b/>
          <w:sz w:val="24"/>
          <w:szCs w:val="24"/>
        </w:rPr>
        <w:t>рекращение (расторжение) Договора</w:t>
      </w:r>
    </w:p>
    <w:p>
      <w:pPr>
        <w:pStyle w:val="Normal"/>
        <w:widowControl/>
        <w:numPr>
          <w:ilvl w:val="1"/>
          <w:numId w:val="224"/>
        </w:numPr>
        <w:shd w:val="clear" w:color="auto" w:fill="FFFFFF"/>
        <w:tabs>
          <w:tab w:val="clear" w:pos="708"/>
          <w:tab w:val="left" w:pos="1418" w:leader="none"/>
        </w:tabs>
        <w:spacing w:before="0" w:after="0"/>
        <w:ind w:left="0" w:firstLine="709"/>
        <w:contextualSpacing/>
        <w:jc w:val="both"/>
        <w:rPr>
          <w:sz w:val="24"/>
          <w:szCs w:val="24"/>
        </w:rPr>
      </w:pPr>
      <w:r>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12.8 Договора, с приложением подписанного соглашения о расторжении Договора. Уведомление должно быть рассмотрено Стороной</w:t>
      </w:r>
      <w:r>
        <w:rPr>
          <w:spacing w:val="2"/>
          <w:sz w:val="24"/>
          <w:szCs w:val="24"/>
        </w:rPr>
        <w:t>–</w:t>
      </w:r>
      <w:r>
        <w:rPr>
          <w:sz w:val="24"/>
          <w:szCs w:val="24"/>
        </w:rPr>
        <w:t>получателем в течение 30 (тридцати) календарных дней со дня его получения.</w:t>
      </w:r>
    </w:p>
    <w:p>
      <w:pPr>
        <w:pStyle w:val="Normal"/>
        <w:widowControl/>
        <w:numPr>
          <w:ilvl w:val="1"/>
          <w:numId w:val="225"/>
        </w:numPr>
        <w:shd w:val="clear" w:color="auto" w:fill="FFFFFF"/>
        <w:tabs>
          <w:tab w:val="clear" w:pos="708"/>
          <w:tab w:val="left" w:pos="1418" w:leader="none"/>
        </w:tabs>
        <w:spacing w:before="0" w:after="0"/>
        <w:ind w:left="0" w:firstLine="709"/>
        <w:contextualSpacing/>
        <w:jc w:val="both"/>
        <w:rPr>
          <w:sz w:val="24"/>
          <w:szCs w:val="24"/>
        </w:rPr>
      </w:pPr>
      <w:r>
        <w:rPr>
          <w:sz w:val="24"/>
          <w:szCs w:val="24"/>
        </w:rPr>
        <w:t xml:space="preserve">Покупатель вправе в одностороннем внесудебном порядке отказаться от Договора при условии обязательного направления письменного уведомления об этом Поставщику не позднее чем за 30 (тридцать) календарных дней до предполагаемой даты расторжения Договора. В этом случае Договор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pPr>
        <w:pStyle w:val="Normal"/>
        <w:widowControl/>
        <w:numPr>
          <w:ilvl w:val="1"/>
          <w:numId w:val="226"/>
        </w:numPr>
        <w:shd w:val="clear" w:color="auto" w:fill="FFFFFF"/>
        <w:tabs>
          <w:tab w:val="clear" w:pos="708"/>
          <w:tab w:val="left" w:pos="709" w:leader="none"/>
          <w:tab w:val="left" w:pos="1418" w:leader="none"/>
        </w:tabs>
        <w:spacing w:before="0" w:after="0"/>
        <w:ind w:left="0" w:firstLine="709"/>
        <w:contextualSpacing/>
        <w:jc w:val="both"/>
        <w:rPr/>
      </w:pPr>
      <w:r>
        <w:rPr>
          <w:sz w:val="24"/>
          <w:szCs w:val="24"/>
        </w:rPr>
        <w:t xml:space="preserve">В случае существенного нарушения Договора Поставщиком Покупатель вправе в одностороннем внесудебном порядке отказаться от Договора. </w:t>
      </w:r>
    </w:p>
    <w:p>
      <w:pPr>
        <w:pStyle w:val="Normal"/>
        <w:widowControl/>
        <w:shd w:val="clear" w:color="auto" w:fill="FFFFFF"/>
        <w:tabs>
          <w:tab w:val="clear" w:pos="708"/>
          <w:tab w:val="left" w:pos="1134" w:leader="none"/>
          <w:tab w:val="left" w:pos="1418" w:leader="none"/>
        </w:tabs>
        <w:ind w:firstLine="709"/>
        <w:jc w:val="both"/>
        <w:rPr/>
      </w:pPr>
      <w:r>
        <w:rPr>
          <w:sz w:val="24"/>
          <w:szCs w:val="24"/>
        </w:rPr>
        <w:t xml:space="preserve">Стороны установили, что существенным нарушением Договора Поставщиком является: </w:t>
      </w:r>
    </w:p>
    <w:p>
      <w:pPr>
        <w:pStyle w:val="Normal"/>
        <w:widowControl/>
        <w:numPr>
          <w:ilvl w:val="0"/>
          <w:numId w:val="9"/>
        </w:numPr>
        <w:tabs>
          <w:tab w:val="clear" w:pos="708"/>
          <w:tab w:val="left" w:pos="1418" w:leader="none"/>
        </w:tabs>
        <w:ind w:left="0" w:firstLine="709"/>
        <w:jc w:val="both"/>
        <w:rPr>
          <w:sz w:val="24"/>
          <w:szCs w:val="24"/>
        </w:rPr>
      </w:pPr>
      <w:r>
        <w:rPr>
          <w:sz w:val="24"/>
          <w:szCs w:val="24"/>
        </w:rPr>
        <w:t xml:space="preserve">нарушение Поставщиком общего срока поставки Товара по Договору, а также промежуточных сроков поставки Товара (партий Товара), установленных Заявками Покупателя, более чем на 30 (тридцать) календарных дней по причинам, не зависящим от Покупателя; </w:t>
      </w:r>
    </w:p>
    <w:p>
      <w:pPr>
        <w:pStyle w:val="Normal"/>
        <w:widowControl/>
        <w:numPr>
          <w:ilvl w:val="0"/>
          <w:numId w:val="9"/>
        </w:numPr>
        <w:tabs>
          <w:tab w:val="clear" w:pos="708"/>
          <w:tab w:val="left" w:pos="1418" w:leader="none"/>
        </w:tabs>
        <w:ind w:left="0" w:firstLine="709"/>
        <w:jc w:val="both"/>
        <w:rPr>
          <w:sz w:val="24"/>
          <w:szCs w:val="24"/>
        </w:rPr>
      </w:pPr>
      <w:r>
        <w:rPr>
          <w:sz w:val="24"/>
          <w:szCs w:val="24"/>
        </w:rPr>
        <w:t xml:space="preserve">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более чем на 30 (тридцать) календарных дней, либо такие недостатки (дефекты) являются неустранимыми; </w:t>
      </w:r>
    </w:p>
    <w:p>
      <w:pPr>
        <w:pStyle w:val="Normal"/>
        <w:widowControl/>
        <w:numPr>
          <w:ilvl w:val="0"/>
          <w:numId w:val="9"/>
        </w:numPr>
        <w:tabs>
          <w:tab w:val="clear" w:pos="708"/>
          <w:tab w:val="left" w:pos="1418" w:leader="none"/>
        </w:tabs>
        <w:ind w:left="0" w:firstLine="709"/>
        <w:jc w:val="both"/>
        <w:rPr>
          <w:sz w:val="24"/>
          <w:szCs w:val="24"/>
        </w:rPr>
      </w:pPr>
      <w:r>
        <w:rPr>
          <w:sz w:val="24"/>
          <w:szCs w:val="24"/>
        </w:rPr>
        <w:t xml:space="preserve">наложение ареста на имущество Поставщика, введение арбитражным судом процедуры несостоятельности (банкротства) в отношении Поставщика; </w:t>
      </w:r>
    </w:p>
    <w:p>
      <w:pPr>
        <w:pStyle w:val="Normal"/>
        <w:widowControl/>
        <w:numPr>
          <w:ilvl w:val="0"/>
          <w:numId w:val="9"/>
        </w:numPr>
        <w:tabs>
          <w:tab w:val="clear" w:pos="708"/>
          <w:tab w:val="left" w:pos="1418" w:leader="none"/>
        </w:tabs>
        <w:ind w:left="0" w:firstLine="709"/>
        <w:jc w:val="both"/>
        <w:rPr>
          <w:sz w:val="24"/>
          <w:szCs w:val="24"/>
        </w:rPr>
      </w:pPr>
      <w:r>
        <w:rPr>
          <w:sz w:val="24"/>
          <w:szCs w:val="24"/>
        </w:rPr>
        <w:t xml:space="preserve">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10 Договора, и имеющих существенное значение для его заключения и исполнения. </w:t>
      </w:r>
    </w:p>
    <w:p>
      <w:pPr>
        <w:pStyle w:val="Normal"/>
        <w:widowControl/>
        <w:numPr>
          <w:ilvl w:val="1"/>
          <w:numId w:val="227"/>
        </w:numPr>
        <w:shd w:val="clear" w:color="auto" w:fill="FFFFFF"/>
        <w:tabs>
          <w:tab w:val="clear" w:pos="708"/>
          <w:tab w:val="left" w:pos="709" w:leader="none"/>
          <w:tab w:val="left" w:pos="1418" w:leader="none"/>
        </w:tabs>
        <w:spacing w:before="0" w:after="0"/>
        <w:ind w:left="0" w:firstLine="709"/>
        <w:contextualSpacing/>
        <w:jc w:val="both"/>
        <w:rPr>
          <w:sz w:val="24"/>
          <w:szCs w:val="24"/>
        </w:rPr>
      </w:pPr>
      <w:r>
        <w:rPr>
          <w:sz w:val="24"/>
          <w:szCs w:val="24"/>
        </w:rPr>
        <w:t>В случае отказа Покупателя от Договора в случаях, предусмотренных пунктами 11.3, 11.3 Договора, последний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pPr>
        <w:pStyle w:val="Normal"/>
        <w:widowControl/>
        <w:numPr>
          <w:ilvl w:val="1"/>
          <w:numId w:val="228"/>
        </w:numPr>
        <w:shd w:val="clear" w:color="auto" w:fill="FFFFFF"/>
        <w:tabs>
          <w:tab w:val="clear" w:pos="708"/>
          <w:tab w:val="left" w:pos="709" w:leader="none"/>
          <w:tab w:val="left" w:pos="1418" w:leader="none"/>
        </w:tabs>
        <w:spacing w:before="0" w:after="0"/>
        <w:ind w:left="0" w:firstLine="709"/>
        <w:contextualSpacing/>
        <w:jc w:val="both"/>
        <w:rPr>
          <w:sz w:val="24"/>
          <w:szCs w:val="24"/>
        </w:rPr>
      </w:pPr>
      <w:r>
        <w:rPr>
          <w:sz w:val="24"/>
          <w:szCs w:val="24"/>
        </w:rPr>
        <w:t>С даты прекращения (расторжения) Договора Поставщик обязан прекратить поставку Товара.</w:t>
      </w:r>
    </w:p>
    <w:p>
      <w:pPr>
        <w:pStyle w:val="Normal"/>
        <w:widowControl/>
        <w:numPr>
          <w:ilvl w:val="1"/>
          <w:numId w:val="229"/>
        </w:numPr>
        <w:shd w:val="clear" w:color="auto" w:fill="FFFFFF"/>
        <w:tabs>
          <w:tab w:val="clear" w:pos="708"/>
          <w:tab w:val="left" w:pos="709" w:leader="none"/>
          <w:tab w:val="left" w:pos="1418" w:leader="none"/>
        </w:tabs>
        <w:spacing w:before="0" w:after="0"/>
        <w:ind w:left="0" w:firstLine="709"/>
        <w:contextualSpacing/>
        <w:jc w:val="both"/>
        <w:rPr>
          <w:sz w:val="24"/>
          <w:szCs w:val="24"/>
        </w:rPr>
      </w:pPr>
      <w:r>
        <w:rPr>
          <w:sz w:val="24"/>
          <w:szCs w:val="24"/>
        </w:rPr>
        <w:t xml:space="preserve">При прекращении (расторжении) Договора по основаниям, указанным </w:t>
        <w:br/>
        <w:t>в настоящем разделе Договора, все обязательства Сторон по Договору считаются прекратившимися, за исключением обязательств по незавершенным расчетам, а также обязательств Поставщика по оплате неустойки, штрафов, возмещению убытков в случаях и размерах, предусмотренных Договором.</w:t>
      </w:r>
    </w:p>
    <w:p>
      <w:pPr>
        <w:pStyle w:val="Normal"/>
        <w:ind w:left="709" w:hanging="0"/>
        <w:jc w:val="both"/>
        <w:rPr>
          <w:sz w:val="24"/>
          <w:szCs w:val="24"/>
        </w:rPr>
      </w:pPr>
      <w:r>
        <w:rPr>
          <w:sz w:val="24"/>
          <w:szCs w:val="24"/>
        </w:rPr>
      </w:r>
    </w:p>
    <w:p>
      <w:pPr>
        <w:pStyle w:val="Normal"/>
        <w:widowControl/>
        <w:numPr>
          <w:ilvl w:val="0"/>
          <w:numId w:val="230"/>
        </w:numPr>
        <w:shd w:val="clear" w:color="auto" w:fill="FFFFFF"/>
        <w:tabs>
          <w:tab w:val="clear" w:pos="708"/>
          <w:tab w:val="left" w:pos="426" w:leader="none"/>
        </w:tabs>
        <w:spacing w:before="0" w:after="0"/>
        <w:ind w:left="0" w:hanging="0"/>
        <w:contextualSpacing/>
        <w:jc w:val="center"/>
        <w:rPr>
          <w:b/>
          <w:bCs/>
          <w:sz w:val="24"/>
          <w:szCs w:val="24"/>
        </w:rPr>
      </w:pPr>
      <w:r>
        <w:rPr>
          <w:b/>
          <w:bCs/>
          <w:sz w:val="24"/>
          <w:szCs w:val="24"/>
        </w:rPr>
        <w:t>Заключительные положения</w:t>
      </w:r>
    </w:p>
    <w:p>
      <w:pPr>
        <w:pStyle w:val="Normal"/>
        <w:widowControl/>
        <w:shd w:val="clear" w:color="auto" w:fill="FFFFFF"/>
        <w:tabs>
          <w:tab w:val="clear" w:pos="708"/>
          <w:tab w:val="left" w:pos="142" w:leader="none"/>
          <w:tab w:val="left" w:pos="1418" w:leader="none"/>
        </w:tabs>
        <w:spacing w:before="0" w:after="0"/>
        <w:ind w:firstLine="709"/>
        <w:contextualSpacing/>
        <w:jc w:val="both"/>
        <w:rPr>
          <w:sz w:val="24"/>
          <w:szCs w:val="24"/>
        </w:rPr>
      </w:pPr>
      <w:r>
        <w:rPr>
          <w:sz w:val="24"/>
          <w:szCs w:val="24"/>
        </w:rPr>
        <w:t>12.1.</w:t>
        <w:tab/>
        <w:t>Договор вступает в силу с даты его подписания Сторонами и действует в течение 12 (двенадцати) месяцев.</w:t>
      </w:r>
    </w:p>
    <w:p>
      <w:pPr>
        <w:pStyle w:val="Normal"/>
        <w:widowControl/>
        <w:shd w:val="clear" w:color="auto" w:fill="FFFFFF"/>
        <w:tabs>
          <w:tab w:val="clear" w:pos="708"/>
          <w:tab w:val="left" w:pos="0" w:leader="none"/>
          <w:tab w:val="left" w:pos="1418" w:leader="none"/>
        </w:tabs>
        <w:ind w:firstLine="709"/>
        <w:jc w:val="both"/>
        <w:rPr>
          <w:sz w:val="24"/>
          <w:szCs w:val="24"/>
        </w:rPr>
      </w:pPr>
      <w:r>
        <w:rPr>
          <w:sz w:val="24"/>
          <w:szCs w:val="24"/>
        </w:rPr>
        <w:t>12.2.</w:t>
        <w:tab/>
        <w:t>Договор заключается в электронной форме с использованием программно-аппаратных средств электронной площадки путем его подписания усиленными квалифицированными электронными подписями (далее – УКЭП) уполномоченных представителей Сторон.</w:t>
      </w:r>
    </w:p>
    <w:p>
      <w:pPr>
        <w:pStyle w:val="Normal"/>
        <w:widowControl/>
        <w:shd w:val="clear" w:color="auto" w:fill="FFFFFF"/>
        <w:tabs>
          <w:tab w:val="clear" w:pos="708"/>
          <w:tab w:val="left" w:pos="0" w:leader="none"/>
          <w:tab w:val="left" w:pos="1418" w:leader="none"/>
        </w:tabs>
        <w:ind w:firstLine="709"/>
        <w:jc w:val="both"/>
        <w:rPr>
          <w:sz w:val="24"/>
          <w:szCs w:val="24"/>
        </w:rPr>
      </w:pPr>
      <w:r>
        <w:rPr>
          <w:sz w:val="24"/>
          <w:szCs w:val="24"/>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p>
    <w:p>
      <w:pPr>
        <w:pStyle w:val="Normal"/>
        <w:widowControl/>
        <w:shd w:val="clear" w:color="auto" w:fill="FFFFFF"/>
        <w:tabs>
          <w:tab w:val="clear" w:pos="708"/>
          <w:tab w:val="left" w:pos="0" w:leader="none"/>
          <w:tab w:val="left" w:pos="1418" w:leader="none"/>
        </w:tabs>
        <w:ind w:firstLine="709"/>
        <w:jc w:val="both"/>
        <w:rPr>
          <w:sz w:val="24"/>
          <w:szCs w:val="24"/>
        </w:rPr>
      </w:pPr>
      <w:r>
        <w:rPr>
          <w:sz w:val="24"/>
          <w:szCs w:val="24"/>
        </w:rPr>
        <w:t>12.3.</w:t>
        <w:tab/>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12.7 Договора. </w:t>
      </w:r>
    </w:p>
    <w:p>
      <w:pPr>
        <w:pStyle w:val="Normal"/>
        <w:widowControl/>
        <w:shd w:val="clear" w:color="auto" w:fill="FFFFFF"/>
        <w:tabs>
          <w:tab w:val="clear" w:pos="708"/>
          <w:tab w:val="left" w:pos="0" w:leader="none"/>
          <w:tab w:val="left" w:pos="1418" w:leader="none"/>
        </w:tabs>
        <w:ind w:firstLine="709"/>
        <w:jc w:val="both"/>
        <w:rPr>
          <w:sz w:val="24"/>
          <w:szCs w:val="24"/>
        </w:rPr>
      </w:pPr>
      <w:r>
        <w:rPr>
          <w:sz w:val="24"/>
          <w:szCs w:val="24"/>
        </w:rPr>
        <w:t>12.4.</w:t>
        <w:tab/>
        <w:t>Все приложения к Договору, а также любые изменения и дополнения, оформленные надлежащим образом, являются неотъемлемой частью Договора.</w:t>
      </w:r>
    </w:p>
    <w:p>
      <w:pPr>
        <w:pStyle w:val="Normal"/>
        <w:widowControl/>
        <w:shd w:val="clear" w:color="auto" w:fill="FFFFFF"/>
        <w:tabs>
          <w:tab w:val="clear" w:pos="708"/>
          <w:tab w:val="left" w:pos="0" w:leader="none"/>
          <w:tab w:val="left" w:pos="1418" w:leader="none"/>
        </w:tabs>
        <w:ind w:firstLine="709"/>
        <w:jc w:val="both"/>
        <w:rPr>
          <w:sz w:val="24"/>
          <w:szCs w:val="24"/>
        </w:rPr>
      </w:pPr>
      <w:r>
        <w:rPr>
          <w:sz w:val="24"/>
          <w:szCs w:val="24"/>
        </w:rPr>
        <w:t>12.5.</w:t>
        <w:tab/>
        <w:t xml:space="preserve">В случае наличия любых расхождений между содержанием Договора </w:t>
      </w:r>
    </w:p>
    <w:p>
      <w:pPr>
        <w:pStyle w:val="Normal"/>
        <w:widowControl/>
        <w:shd w:val="clear" w:color="auto" w:fill="FFFFFF"/>
        <w:tabs>
          <w:tab w:val="clear" w:pos="708"/>
          <w:tab w:val="left" w:pos="0" w:leader="none"/>
          <w:tab w:val="left" w:pos="1418" w:leader="none"/>
        </w:tabs>
        <w:ind w:firstLine="709"/>
        <w:jc w:val="both"/>
        <w:rPr>
          <w:sz w:val="24"/>
          <w:szCs w:val="24"/>
        </w:rPr>
      </w:pPr>
      <w:r>
        <w:rPr>
          <w:sz w:val="24"/>
          <w:szCs w:val="24"/>
        </w:rPr>
        <w:t>и приложений к нему, приоритет имеет текст Договора.</w:t>
      </w:r>
    </w:p>
    <w:p>
      <w:pPr>
        <w:pStyle w:val="Normal"/>
        <w:widowControl/>
        <w:shd w:val="clear" w:color="auto" w:fill="FFFFFF"/>
        <w:tabs>
          <w:tab w:val="clear" w:pos="708"/>
          <w:tab w:val="left" w:pos="0" w:leader="none"/>
          <w:tab w:val="left" w:pos="1418" w:leader="none"/>
        </w:tabs>
        <w:ind w:firstLine="709"/>
        <w:jc w:val="both"/>
        <w:rPr>
          <w:sz w:val="24"/>
          <w:szCs w:val="24"/>
        </w:rPr>
      </w:pPr>
      <w:r>
        <w:rPr>
          <w:sz w:val="24"/>
          <w:szCs w:val="24"/>
        </w:rPr>
        <w:t>12.6.</w:t>
        <w:tab/>
        <w:t>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12.8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Normal"/>
        <w:widowControl/>
        <w:shd w:val="clear" w:color="auto" w:fill="FFFFFF"/>
        <w:tabs>
          <w:tab w:val="clear" w:pos="708"/>
          <w:tab w:val="left" w:pos="0" w:leader="none"/>
          <w:tab w:val="left" w:pos="1418" w:leader="none"/>
        </w:tabs>
        <w:ind w:firstLine="709"/>
        <w:jc w:val="both"/>
        <w:rPr>
          <w:sz w:val="24"/>
          <w:szCs w:val="24"/>
        </w:rPr>
      </w:pPr>
      <w:r>
        <w:rPr>
          <w:sz w:val="24"/>
          <w:szCs w:val="24"/>
        </w:rPr>
        <w:t>12.7.</w:t>
        <w:tab/>
        <w:t xml:space="preserve">Стороны обязуются уведомлять друг друга об изменении адреса и / или реквизитов, указанных в разделе 14 Договора, не позднее 3 (трех) рабочих дней после такого изменения в порядке, установленном пунктом 12.8 Договора. </w:t>
      </w:r>
    </w:p>
    <w:p>
      <w:pPr>
        <w:pStyle w:val="Normal"/>
        <w:widowControl/>
        <w:shd w:val="clear" w:color="auto" w:fill="FFFFFF"/>
        <w:tabs>
          <w:tab w:val="clear" w:pos="708"/>
          <w:tab w:val="left" w:pos="0" w:leader="none"/>
          <w:tab w:val="left" w:pos="1418" w:leader="none"/>
        </w:tabs>
        <w:ind w:firstLine="709"/>
        <w:jc w:val="both"/>
        <w:rPr>
          <w:sz w:val="24"/>
          <w:szCs w:val="24"/>
        </w:rPr>
      </w:pPr>
      <w:r>
        <w:rPr>
          <w:sz w:val="24"/>
          <w:szCs w:val="24"/>
        </w:rPr>
        <w:t>12.8.</w:t>
        <w:tab/>
        <w:t xml:space="preserve">Письма, уведомления и / или сообщения направляются Стороне-получателю по адресу ее места нахождения, указанному в разделе 14 Договора, или в ранее полученном уведомлении Стороны об изменении адреса, одним из следующих способов, при этом документ будет считаться полученным: </w:t>
      </w:r>
    </w:p>
    <w:p>
      <w:pPr>
        <w:pStyle w:val="Normal"/>
        <w:widowControl/>
        <w:shd w:val="clear" w:color="auto" w:fill="FFFFFF"/>
        <w:tabs>
          <w:tab w:val="clear" w:pos="708"/>
          <w:tab w:val="left" w:pos="0" w:leader="none"/>
          <w:tab w:val="left" w:pos="1418" w:leader="none"/>
        </w:tabs>
        <w:ind w:firstLine="709"/>
        <w:jc w:val="both"/>
        <w:rPr>
          <w:sz w:val="24"/>
          <w:szCs w:val="24"/>
        </w:rPr>
      </w:pPr>
      <w:r>
        <w:rPr>
          <w:sz w:val="24"/>
          <w:szCs w:val="24"/>
        </w:rPr>
        <w:t>12.8.1.</w:t>
        <w:tab/>
        <w:t>Заказным почтовым отправлением с уведомлением о вручении – 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Normal"/>
        <w:widowControl/>
        <w:shd w:val="clear" w:color="auto" w:fill="FFFFFF"/>
        <w:tabs>
          <w:tab w:val="clear" w:pos="708"/>
          <w:tab w:val="left" w:pos="0" w:leader="none"/>
          <w:tab w:val="left" w:pos="1418" w:leader="none"/>
        </w:tabs>
        <w:ind w:firstLine="709"/>
        <w:jc w:val="both"/>
        <w:rPr>
          <w:sz w:val="24"/>
          <w:szCs w:val="24"/>
        </w:rPr>
      </w:pPr>
      <w:r>
        <w:rPr>
          <w:sz w:val="24"/>
          <w:szCs w:val="24"/>
        </w:rPr>
        <w:t>12.8.2.</w:t>
        <w:tab/>
        <w:t xml:space="preserve">Доставкой лично или курьером Стороны-отправителя – в дату и время фактического приема уведомления Стороной-получателем с отметкой о получении; </w:t>
      </w:r>
    </w:p>
    <w:p>
      <w:pPr>
        <w:pStyle w:val="Normal"/>
        <w:widowControl/>
        <w:shd w:val="clear" w:color="auto" w:fill="FFFFFF"/>
        <w:tabs>
          <w:tab w:val="clear" w:pos="708"/>
          <w:tab w:val="left" w:pos="0" w:leader="none"/>
          <w:tab w:val="left" w:pos="1418" w:leader="none"/>
        </w:tabs>
        <w:ind w:firstLine="709"/>
        <w:jc w:val="both"/>
        <w:rPr>
          <w:sz w:val="24"/>
          <w:szCs w:val="24"/>
        </w:rPr>
      </w:pPr>
      <w:r>
        <w:rPr>
          <w:sz w:val="24"/>
          <w:szCs w:val="24"/>
        </w:rPr>
        <w:t>12.8.3.</w:t>
        <w:tab/>
        <w:t>Посредством электронной почты (e-mail) – в дату направления электронного сообщения, зафиксированную на почтовом сервере отправителя.</w:t>
      </w:r>
    </w:p>
    <w:p>
      <w:pPr>
        <w:pStyle w:val="Normal"/>
        <w:widowControl/>
        <w:shd w:val="clear" w:color="auto" w:fill="FFFFFF"/>
        <w:tabs>
          <w:tab w:val="clear" w:pos="708"/>
          <w:tab w:val="left" w:pos="0" w:leader="none"/>
          <w:tab w:val="left" w:pos="1418" w:leader="none"/>
        </w:tabs>
        <w:ind w:firstLine="709"/>
        <w:jc w:val="both"/>
        <w:rPr>
          <w:sz w:val="24"/>
          <w:szCs w:val="24"/>
        </w:rPr>
      </w:pPr>
      <w:r>
        <w:rPr>
          <w:sz w:val="24"/>
          <w:szCs w:val="24"/>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12.8.1 – 12.8.2 Договора. </w:t>
      </w:r>
    </w:p>
    <w:p>
      <w:pPr>
        <w:pStyle w:val="Normal"/>
        <w:widowControl/>
        <w:shd w:val="clear" w:color="auto" w:fill="FFFFFF"/>
        <w:tabs>
          <w:tab w:val="clear" w:pos="708"/>
          <w:tab w:val="left" w:pos="0" w:leader="none"/>
          <w:tab w:val="left" w:pos="1418" w:leader="none"/>
        </w:tabs>
        <w:ind w:firstLine="709"/>
        <w:jc w:val="both"/>
        <w:rPr>
          <w:sz w:val="24"/>
          <w:szCs w:val="24"/>
        </w:rPr>
      </w:pPr>
      <w:r>
        <w:rPr>
          <w:sz w:val="24"/>
          <w:szCs w:val="24"/>
        </w:rPr>
        <w:t>12.9.</w:t>
        <w:tab/>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Normal"/>
        <w:widowControl/>
        <w:shd w:val="clear" w:color="auto" w:fill="FFFFFF"/>
        <w:tabs>
          <w:tab w:val="clear" w:pos="708"/>
          <w:tab w:val="left" w:pos="0" w:leader="none"/>
          <w:tab w:val="left" w:pos="1418" w:leader="none"/>
        </w:tabs>
        <w:ind w:firstLine="709"/>
        <w:jc w:val="both"/>
        <w:rPr>
          <w:sz w:val="24"/>
          <w:szCs w:val="24"/>
        </w:rPr>
      </w:pPr>
      <w:r>
        <w:rPr>
          <w:sz w:val="24"/>
          <w:szCs w:val="24"/>
        </w:rPr>
        <w:t>12.10.</w:t>
        <w:tab/>
        <w:t xml:space="preserve">Уступка (передача), в том числе в залог, прав (требований) к Покупателю </w:t>
      </w:r>
    </w:p>
    <w:p>
      <w:pPr>
        <w:pStyle w:val="Normal"/>
        <w:widowControl/>
        <w:shd w:val="clear" w:color="auto" w:fill="FFFFFF"/>
        <w:tabs>
          <w:tab w:val="clear" w:pos="708"/>
          <w:tab w:val="left" w:pos="0" w:leader="none"/>
          <w:tab w:val="left" w:pos="1418" w:leader="none"/>
        </w:tabs>
        <w:ind w:firstLine="709"/>
        <w:jc w:val="both"/>
        <w:rPr>
          <w:sz w:val="24"/>
          <w:szCs w:val="24"/>
        </w:rPr>
      </w:pPr>
      <w:r>
        <w:rPr>
          <w:sz w:val="24"/>
          <w:szCs w:val="24"/>
        </w:rPr>
        <w:t xml:space="preserve">по денежным обязательствам, возникших из Договора и принадлежащих Поставщику, допускается только с предварительного письменного согласия Покупателя и оформляется трехсторонним договором. </w:t>
      </w:r>
    </w:p>
    <w:p>
      <w:pPr>
        <w:pStyle w:val="Normal"/>
        <w:widowControl/>
        <w:shd w:val="clear" w:color="auto" w:fill="FFFFFF"/>
        <w:tabs>
          <w:tab w:val="clear" w:pos="708"/>
          <w:tab w:val="left" w:pos="0" w:leader="none"/>
          <w:tab w:val="left" w:pos="1418" w:leader="none"/>
        </w:tabs>
        <w:ind w:firstLine="709"/>
        <w:jc w:val="both"/>
        <w:rPr>
          <w:sz w:val="24"/>
          <w:szCs w:val="24"/>
        </w:rPr>
      </w:pPr>
      <w:r>
        <w:rPr>
          <w:sz w:val="24"/>
          <w:szCs w:val="24"/>
        </w:rPr>
        <w:t>12.11.</w:t>
        <w:tab/>
        <w:t xml:space="preserve">Во всем остальном, что не урегулировано Договором, Стороны руководствуются законодательством Российской Федерации. </w:t>
      </w:r>
    </w:p>
    <w:p>
      <w:pPr>
        <w:pStyle w:val="Normal"/>
        <w:widowControl/>
        <w:shd w:val="clear" w:color="auto" w:fill="FFFFFF"/>
        <w:tabs>
          <w:tab w:val="clear" w:pos="708"/>
          <w:tab w:val="left" w:pos="0" w:leader="none"/>
          <w:tab w:val="left" w:pos="1418" w:leader="none"/>
        </w:tabs>
        <w:ind w:firstLine="709"/>
        <w:jc w:val="both"/>
        <w:rPr>
          <w:sz w:val="24"/>
          <w:szCs w:val="24"/>
        </w:rPr>
      </w:pPr>
      <w:r>
        <w:rPr>
          <w:sz w:val="24"/>
          <w:szCs w:val="24"/>
        </w:rPr>
        <w:t>12.12.</w:t>
        <w:tab/>
        <w:t>Договор составлен в 2 (двух) оригинальных экземплярах, имеющих равную юридическую силу, по 1 (одному) для каждой из Сторон</w:t>
      </w:r>
      <w:r>
        <w:rPr>
          <w:rStyle w:val="FootnoteReference"/>
          <w:sz w:val="24"/>
          <w:szCs w:val="24"/>
        </w:rPr>
        <w:footnoteReference w:id="2"/>
      </w:r>
      <w:r>
        <w:rPr>
          <w:sz w:val="24"/>
          <w:szCs w:val="24"/>
        </w:rPr>
        <w:t>.</w:t>
      </w:r>
    </w:p>
    <w:p>
      <w:pPr>
        <w:pStyle w:val="Normal"/>
        <w:widowControl/>
        <w:shd w:val="clear" w:color="auto" w:fill="FFFFFF"/>
        <w:tabs>
          <w:tab w:val="clear" w:pos="708"/>
          <w:tab w:val="left" w:pos="0" w:leader="none"/>
          <w:tab w:val="left" w:pos="1418" w:leader="none"/>
        </w:tabs>
        <w:ind w:firstLine="709"/>
        <w:jc w:val="both"/>
        <w:rPr>
          <w:sz w:val="24"/>
          <w:szCs w:val="24"/>
        </w:rPr>
      </w:pPr>
      <w:r>
        <w:rPr>
          <w:sz w:val="24"/>
          <w:szCs w:val="24"/>
        </w:rPr>
      </w:r>
    </w:p>
    <w:p>
      <w:pPr>
        <w:pStyle w:val="Normal"/>
        <w:widowControl/>
        <w:numPr>
          <w:ilvl w:val="0"/>
          <w:numId w:val="231"/>
        </w:numPr>
        <w:shd w:val="clear" w:color="auto" w:fill="FFFFFF"/>
        <w:spacing w:before="0" w:after="0"/>
        <w:ind w:left="0" w:hanging="0"/>
        <w:contextualSpacing/>
        <w:jc w:val="center"/>
        <w:rPr>
          <w:b/>
          <w:bCs/>
          <w:sz w:val="24"/>
          <w:szCs w:val="24"/>
        </w:rPr>
      </w:pPr>
      <w:r>
        <w:rPr>
          <w:b/>
          <w:bCs/>
          <w:sz w:val="24"/>
          <w:szCs w:val="24"/>
        </w:rPr>
        <w:t xml:space="preserve">Список приложений </w:t>
      </w:r>
    </w:p>
    <w:p>
      <w:pPr>
        <w:pStyle w:val="Normal"/>
        <w:widowControl/>
        <w:shd w:val="clear" w:color="auto" w:fill="FFFFFF"/>
        <w:tabs>
          <w:tab w:val="clear" w:pos="708"/>
          <w:tab w:val="left" w:pos="0" w:leader="none"/>
        </w:tabs>
        <w:ind w:firstLine="709"/>
        <w:jc w:val="both"/>
        <w:rPr>
          <w:sz w:val="24"/>
          <w:szCs w:val="24"/>
          <w:lang w:eastAsia="en-US"/>
        </w:rPr>
      </w:pPr>
      <w:bookmarkStart w:id="14" w:name="sub_1"/>
      <w:r>
        <w:rPr>
          <w:sz w:val="24"/>
          <w:szCs w:val="24"/>
          <w:lang w:eastAsia="en-US"/>
        </w:rPr>
        <w:t>Приложение № 1 – Спецификация;</w:t>
      </w:r>
    </w:p>
    <w:p>
      <w:pPr>
        <w:pStyle w:val="Normal"/>
        <w:widowControl/>
        <w:shd w:val="clear" w:color="auto" w:fill="FFFFFF"/>
        <w:tabs>
          <w:tab w:val="clear" w:pos="708"/>
          <w:tab w:val="left" w:pos="0" w:leader="none"/>
          <w:tab w:val="left" w:pos="2694" w:leader="none"/>
        </w:tabs>
        <w:ind w:firstLine="709"/>
        <w:jc w:val="both"/>
        <w:rPr>
          <w:sz w:val="24"/>
          <w:szCs w:val="24"/>
          <w:lang w:eastAsia="x-none"/>
        </w:rPr>
      </w:pPr>
      <w:r>
        <w:rPr>
          <w:sz w:val="24"/>
          <w:szCs w:val="24"/>
          <w:lang w:eastAsia="x-none"/>
        </w:rPr>
        <w:t>Приложение № 2 –</w:t>
      </w:r>
      <w:r>
        <w:rPr>
          <w:sz w:val="24"/>
          <w:szCs w:val="24"/>
          <w:lang w:eastAsia="en-US"/>
        </w:rPr>
        <w:t xml:space="preserve"> Форма Заявки на поставку Товара;</w:t>
      </w:r>
      <w:bookmarkEnd w:id="14"/>
    </w:p>
    <w:p>
      <w:pPr>
        <w:pStyle w:val="Normal"/>
        <w:ind w:firstLine="709"/>
        <w:jc w:val="both"/>
        <w:rPr>
          <w:bCs/>
          <w:sz w:val="24"/>
          <w:szCs w:val="24"/>
        </w:rPr>
      </w:pPr>
      <w:r>
        <w:rPr>
          <w:bCs/>
          <w:sz w:val="24"/>
          <w:szCs w:val="24"/>
        </w:rPr>
        <w:t xml:space="preserve">Приложение № 3 </w:t>
      </w:r>
      <w:r>
        <w:rPr>
          <w:sz w:val="24"/>
          <w:szCs w:val="24"/>
          <w:lang w:eastAsia="en-US"/>
        </w:rPr>
        <w:t>–</w:t>
      </w:r>
      <w:r>
        <w:rPr>
          <w:bCs/>
          <w:sz w:val="24"/>
          <w:szCs w:val="24"/>
        </w:rPr>
        <w:t xml:space="preserve"> Размер ответственности Поставщика за нарушения пропускного и внутриобъектового режима, требований охраны труда, пожарной и промышленной безопасности.</w:t>
      </w:r>
    </w:p>
    <w:p>
      <w:pPr>
        <w:pStyle w:val="Normal"/>
        <w:ind w:firstLine="709"/>
        <w:jc w:val="both"/>
        <w:rPr>
          <w:sz w:val="24"/>
          <w:szCs w:val="24"/>
          <w:lang w:eastAsia="en-US"/>
        </w:rPr>
      </w:pPr>
      <w:r>
        <w:rPr>
          <w:sz w:val="24"/>
          <w:szCs w:val="24"/>
          <w:lang w:eastAsia="en-US"/>
        </w:rPr>
        <w:t>Приложение № 4 – Техническое задание на поставку МТР</w:t>
      </w:r>
    </w:p>
    <w:p>
      <w:pPr>
        <w:pStyle w:val="Normal"/>
        <w:ind w:firstLine="709"/>
        <w:jc w:val="both"/>
        <w:rPr>
          <w:bCs/>
          <w:sz w:val="24"/>
          <w:szCs w:val="24"/>
        </w:rPr>
      </w:pPr>
      <w:r>
        <w:rPr>
          <w:bCs/>
          <w:sz w:val="24"/>
          <w:szCs w:val="24"/>
        </w:rPr>
      </w:r>
    </w:p>
    <w:p>
      <w:pPr>
        <w:pStyle w:val="Normal"/>
        <w:widowControl/>
        <w:numPr>
          <w:ilvl w:val="0"/>
          <w:numId w:val="232"/>
        </w:numPr>
        <w:shd w:val="clear" w:color="auto" w:fill="FFFFFF"/>
        <w:spacing w:before="0" w:after="0"/>
        <w:ind w:left="0" w:hanging="0"/>
        <w:contextualSpacing/>
        <w:jc w:val="center"/>
        <w:rPr>
          <w:b/>
          <w:bCs/>
          <w:sz w:val="24"/>
          <w:szCs w:val="24"/>
        </w:rPr>
      </w:pPr>
      <w:r>
        <w:rPr>
          <w:b/>
          <w:bCs/>
          <w:sz w:val="24"/>
          <w:szCs w:val="24"/>
        </w:rPr>
        <w:t>Адреса и платежные реквизиты Сторон</w:t>
      </w:r>
    </w:p>
    <w:p>
      <w:pPr>
        <w:pStyle w:val="Normal"/>
        <w:widowControl/>
        <w:shd w:val="clear" w:color="auto" w:fill="FFFFFF"/>
        <w:tabs>
          <w:tab w:val="clear" w:pos="708"/>
          <w:tab w:val="left" w:pos="426" w:leader="none"/>
        </w:tabs>
        <w:ind w:firstLine="709"/>
        <w:rPr>
          <w:b/>
          <w:bCs/>
          <w:sz w:val="24"/>
          <w:szCs w:val="24"/>
        </w:rPr>
      </w:pPr>
      <w:r>
        <w:rPr>
          <w:b/>
          <w:bCs/>
          <w:sz w:val="24"/>
          <w:szCs w:val="24"/>
        </w:rPr>
      </w:r>
    </w:p>
    <w:tbl>
      <w:tblPr>
        <w:tblW w:w="9781" w:type="dxa"/>
        <w:jc w:val="left"/>
        <w:tblInd w:w="108" w:type="dxa"/>
        <w:tblLayout w:type="fixed"/>
        <w:tblCellMar>
          <w:top w:w="0" w:type="dxa"/>
          <w:left w:w="108" w:type="dxa"/>
          <w:bottom w:w="0" w:type="dxa"/>
          <w:right w:w="108" w:type="dxa"/>
        </w:tblCellMar>
        <w:tblLook w:val="01e0" w:noHBand="0" w:noVBand="0" w:firstColumn="1" w:lastRow="1" w:lastColumn="1" w:firstRow="1"/>
      </w:tblPr>
      <w:tblGrid>
        <w:gridCol w:w="4912"/>
        <w:gridCol w:w="4868"/>
      </w:tblGrid>
      <w:tr>
        <w:trPr/>
        <w:tc>
          <w:tcPr>
            <w:tcW w:w="4912" w:type="dxa"/>
            <w:tcBorders/>
          </w:tcPr>
          <w:p>
            <w:pPr>
              <w:pStyle w:val="Normal"/>
              <w:widowControl w:val="false"/>
              <w:rPr>
                <w:b/>
                <w:sz w:val="24"/>
                <w:szCs w:val="24"/>
              </w:rPr>
            </w:pPr>
            <w:r>
              <w:rPr>
                <w:b/>
                <w:sz w:val="24"/>
                <w:szCs w:val="24"/>
              </w:rPr>
              <w:t>Покупатель:</w:t>
            </w:r>
          </w:p>
        </w:tc>
        <w:tc>
          <w:tcPr>
            <w:tcW w:w="4868" w:type="dxa"/>
            <w:tcBorders/>
          </w:tcPr>
          <w:p>
            <w:pPr>
              <w:pStyle w:val="Normal"/>
              <w:widowControl w:val="false"/>
              <w:rPr>
                <w:b/>
                <w:sz w:val="24"/>
                <w:szCs w:val="24"/>
              </w:rPr>
            </w:pPr>
            <w:r>
              <w:rPr>
                <w:b/>
                <w:sz w:val="24"/>
                <w:szCs w:val="24"/>
              </w:rPr>
              <w:t>Поставщик:</w:t>
            </w:r>
          </w:p>
        </w:tc>
      </w:tr>
      <w:tr>
        <w:trPr/>
        <w:tc>
          <w:tcPr>
            <w:tcW w:w="4912" w:type="dxa"/>
            <w:tcBorders/>
          </w:tcPr>
          <w:p>
            <w:pPr>
              <w:pStyle w:val="Normal"/>
              <w:widowControl w:val="false"/>
              <w:rPr>
                <w:b/>
                <w:color w:val="000000"/>
                <w:sz w:val="24"/>
                <w:szCs w:val="24"/>
              </w:rPr>
            </w:pPr>
            <w:r>
              <w:rPr>
                <w:b/>
                <w:color w:val="000000"/>
                <w:sz w:val="24"/>
                <w:szCs w:val="24"/>
              </w:rPr>
              <w:t>АО «ТК РусГидро»</w:t>
            </w:r>
          </w:p>
          <w:p>
            <w:pPr>
              <w:pStyle w:val="Normal"/>
              <w:widowControl w:val="false"/>
              <w:rPr>
                <w:color w:val="000000"/>
                <w:sz w:val="24"/>
                <w:szCs w:val="24"/>
              </w:rPr>
            </w:pPr>
            <w:r>
              <w:rPr>
                <w:color w:val="000000"/>
                <w:sz w:val="24"/>
                <w:szCs w:val="24"/>
              </w:rPr>
              <w:t>Место нахождения: 655619, Республика Хакасия, г. Саяногорск, рп. Черемушки, стр. № 101</w:t>
            </w:r>
          </w:p>
          <w:p>
            <w:pPr>
              <w:pStyle w:val="Normal"/>
              <w:widowControl w:val="false"/>
              <w:rPr>
                <w:color w:val="000000"/>
                <w:sz w:val="24"/>
                <w:szCs w:val="24"/>
              </w:rPr>
            </w:pPr>
            <w:r>
              <w:rPr>
                <w:color w:val="000000"/>
                <w:sz w:val="24"/>
                <w:szCs w:val="24"/>
              </w:rPr>
              <w:t>Центральный филиал АО «ТК РусГидро»</w:t>
            </w:r>
          </w:p>
          <w:p>
            <w:pPr>
              <w:pStyle w:val="Normal"/>
              <w:widowControl w:val="false"/>
              <w:rPr>
                <w:color w:val="000000"/>
                <w:sz w:val="24"/>
                <w:szCs w:val="24"/>
              </w:rPr>
            </w:pPr>
            <w:r>
              <w:rPr>
                <w:color w:val="000000"/>
                <w:sz w:val="24"/>
                <w:szCs w:val="24"/>
              </w:rPr>
              <w:t>Место нахождения и почтовый адрес: 141342, Российская Федерация, Московская область, Сергиево-Посадский район, рп. Богородское, д. 100,</w:t>
            </w:r>
          </w:p>
          <w:p>
            <w:pPr>
              <w:pStyle w:val="Normal"/>
              <w:widowControl w:val="false"/>
              <w:rPr>
                <w:color w:val="000000"/>
                <w:sz w:val="24"/>
                <w:szCs w:val="24"/>
              </w:rPr>
            </w:pPr>
            <w:r>
              <w:rPr>
                <w:color w:val="000000"/>
                <w:sz w:val="24"/>
                <w:szCs w:val="24"/>
              </w:rPr>
              <w:t>Р/с 40702810940020015572</w:t>
            </w:r>
          </w:p>
          <w:p>
            <w:pPr>
              <w:pStyle w:val="Normal"/>
              <w:widowControl w:val="false"/>
              <w:rPr>
                <w:color w:val="000000"/>
                <w:sz w:val="24"/>
                <w:szCs w:val="24"/>
              </w:rPr>
            </w:pPr>
            <w:r>
              <w:rPr>
                <w:color w:val="000000"/>
                <w:sz w:val="24"/>
                <w:szCs w:val="24"/>
              </w:rPr>
              <w:t>в ПАО «Сбербанк России», г. Москва</w:t>
            </w:r>
          </w:p>
          <w:p>
            <w:pPr>
              <w:pStyle w:val="Normal"/>
              <w:widowControl w:val="false"/>
              <w:rPr>
                <w:color w:val="000000"/>
                <w:sz w:val="24"/>
                <w:szCs w:val="24"/>
              </w:rPr>
            </w:pPr>
            <w:r>
              <w:rPr>
                <w:color w:val="000000"/>
                <w:sz w:val="24"/>
                <w:szCs w:val="24"/>
              </w:rPr>
              <w:t>к/с 30101810400000000225</w:t>
            </w:r>
          </w:p>
          <w:p>
            <w:pPr>
              <w:pStyle w:val="Normal"/>
              <w:widowControl w:val="false"/>
              <w:rPr>
                <w:color w:val="000000"/>
                <w:sz w:val="24"/>
                <w:szCs w:val="24"/>
              </w:rPr>
            </w:pPr>
            <w:r>
              <w:rPr>
                <w:color w:val="000000"/>
                <w:sz w:val="24"/>
                <w:szCs w:val="24"/>
              </w:rPr>
              <w:t>БИК 044525225</w:t>
            </w:r>
          </w:p>
          <w:p>
            <w:pPr>
              <w:pStyle w:val="Normal"/>
              <w:widowControl w:val="false"/>
              <w:rPr>
                <w:color w:val="000000"/>
                <w:sz w:val="24"/>
                <w:szCs w:val="24"/>
              </w:rPr>
            </w:pPr>
            <w:r>
              <w:rPr>
                <w:color w:val="000000"/>
                <w:sz w:val="24"/>
                <w:szCs w:val="24"/>
              </w:rPr>
              <w:t>ИНН: 1902018248</w:t>
            </w:r>
          </w:p>
          <w:p>
            <w:pPr>
              <w:pStyle w:val="Normal"/>
              <w:widowControl w:val="false"/>
              <w:rPr>
                <w:color w:val="000000"/>
                <w:sz w:val="24"/>
                <w:szCs w:val="24"/>
              </w:rPr>
            </w:pPr>
            <w:r>
              <w:rPr>
                <w:color w:val="000000"/>
                <w:sz w:val="24"/>
                <w:szCs w:val="24"/>
              </w:rPr>
              <w:t>КПП: 504 243 001</w:t>
            </w:r>
          </w:p>
          <w:p>
            <w:pPr>
              <w:pStyle w:val="Normal"/>
              <w:widowControl w:val="false"/>
              <w:rPr>
                <w:color w:val="000000"/>
                <w:sz w:val="24"/>
                <w:szCs w:val="24"/>
              </w:rPr>
            </w:pPr>
            <w:r>
              <w:rPr>
                <w:color w:val="000000"/>
                <w:sz w:val="24"/>
                <w:szCs w:val="24"/>
              </w:rPr>
              <w:t>ОГРН:1031900676356</w:t>
            </w:r>
          </w:p>
        </w:tc>
        <w:tc>
          <w:tcPr>
            <w:tcW w:w="4868" w:type="dxa"/>
            <w:tcBorders/>
            <w:shd w:color="auto" w:fill="auto" w:val="clear"/>
          </w:tcPr>
          <w:p>
            <w:pPr>
              <w:pStyle w:val="Normal"/>
              <w:widowControl w:val="false"/>
              <w:rPr>
                <w:b/>
                <w:sz w:val="24"/>
                <w:szCs w:val="24"/>
              </w:rPr>
            </w:pPr>
            <w:r>
              <w:rPr>
                <w:b/>
                <w:sz w:val="24"/>
                <w:szCs w:val="24"/>
              </w:rPr>
            </w:r>
          </w:p>
        </w:tc>
      </w:tr>
    </w:tbl>
    <w:p>
      <w:pPr>
        <w:sectPr>
          <w:headerReference w:type="default" r:id="rId6"/>
          <w:headerReference w:type="first" r:id="rId7"/>
          <w:footnotePr>
            <w:numFmt w:val="decimal"/>
          </w:footnotePr>
          <w:type w:val="nextPage"/>
          <w:pgSz w:w="11906" w:h="16838"/>
          <w:pgMar w:left="1418" w:right="851" w:gutter="0" w:header="0" w:top="709" w:footer="0" w:bottom="1134"/>
          <w:pgNumType w:fmt="decimal"/>
          <w:formProt w:val="false"/>
          <w:textDirection w:val="lrTb"/>
          <w:docGrid w:type="default" w:linePitch="100" w:charSpace="40960"/>
        </w:sectPr>
      </w:pPr>
    </w:p>
    <w:tbl>
      <w:tblPr>
        <w:tblW w:w="9781" w:type="dxa"/>
        <w:jc w:val="left"/>
        <w:tblInd w:w="108" w:type="dxa"/>
        <w:tblLayout w:type="fixed"/>
        <w:tblCellMar>
          <w:top w:w="0" w:type="dxa"/>
          <w:left w:w="108" w:type="dxa"/>
          <w:bottom w:w="0" w:type="dxa"/>
          <w:right w:w="108" w:type="dxa"/>
        </w:tblCellMar>
        <w:tblLook w:val="01e0" w:noHBand="0" w:noVBand="0" w:firstColumn="1" w:lastRow="1" w:lastColumn="1" w:firstRow="1"/>
      </w:tblPr>
      <w:tblGrid>
        <w:gridCol w:w="4868"/>
        <w:gridCol w:w="4677"/>
        <w:gridCol w:w="236"/>
      </w:tblGrid>
      <w:tr>
        <w:trPr/>
        <w:tc>
          <w:tcPr>
            <w:tcW w:w="4868" w:type="dxa"/>
            <w:tcBorders/>
          </w:tcPr>
          <w:p>
            <w:pPr>
              <w:pStyle w:val="Normal"/>
              <w:widowControl w:val="false"/>
              <w:jc w:val="center"/>
              <w:rPr>
                <w:b/>
                <w:bCs/>
              </w:rPr>
            </w:pPr>
            <w:r>
              <w:rPr>
                <w:b/>
                <w:bCs/>
              </w:rPr>
            </w:r>
          </w:p>
          <w:p>
            <w:pPr>
              <w:pStyle w:val="Normal"/>
              <w:widowControl w:val="false"/>
              <w:jc w:val="center"/>
              <w:rPr>
                <w:sz w:val="24"/>
                <w:szCs w:val="24"/>
              </w:rPr>
            </w:pPr>
            <w:r>
              <w:rPr>
                <w:b/>
                <w:bCs/>
                <w:sz w:val="24"/>
                <w:szCs w:val="24"/>
              </w:rPr>
              <w:t xml:space="preserve">                                   </w:t>
            </w:r>
            <w:r>
              <w:rPr>
                <w:b/>
                <w:bCs/>
                <w:sz w:val="24"/>
                <w:szCs w:val="24"/>
              </w:rPr>
              <w:t>ПОДПИСИ СТОРОН:</w:t>
            </w:r>
          </w:p>
          <w:p>
            <w:pPr>
              <w:pStyle w:val="Normal"/>
              <w:widowControl w:val="false"/>
              <w:rPr>
                <w:sz w:val="24"/>
                <w:szCs w:val="24"/>
              </w:rPr>
            </w:pPr>
            <w:r>
              <w:rPr>
                <w:sz w:val="24"/>
                <w:szCs w:val="24"/>
              </w:rPr>
            </w:r>
          </w:p>
          <w:p>
            <w:pPr>
              <w:pStyle w:val="Normal"/>
              <w:widowControl w:val="false"/>
              <w:rPr>
                <w:sz w:val="24"/>
                <w:szCs w:val="24"/>
              </w:rPr>
            </w:pPr>
            <w:r>
              <w:rPr>
                <w:sz w:val="24"/>
                <w:szCs w:val="24"/>
              </w:rPr>
              <w:t>Директор Центрального филиала</w:t>
            </w:r>
          </w:p>
          <w:p>
            <w:pPr>
              <w:pStyle w:val="Normal"/>
              <w:widowControl w:val="false"/>
              <w:rPr>
                <w:sz w:val="24"/>
                <w:szCs w:val="24"/>
              </w:rPr>
            </w:pPr>
            <w:r>
              <w:rPr>
                <w:sz w:val="24"/>
                <w:szCs w:val="24"/>
              </w:rPr>
              <w:t>АО «ТК РусГидро»</w:t>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 / К.А. Михайлов</w:t>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tc>
        <w:tc>
          <w:tcPr>
            <w:tcW w:w="4677" w:type="dxa"/>
            <w:tcBorders/>
          </w:tcPr>
          <w:p>
            <w:pPr>
              <w:pStyle w:val="Normal"/>
              <w:widowControl w:val="false"/>
              <w:rPr>
                <w:sz w:val="24"/>
                <w:szCs w:val="24"/>
              </w:rPr>
            </w:pPr>
            <w:r>
              <w:rPr>
                <w:sz w:val="24"/>
                <w:szCs w:val="24"/>
              </w:rPr>
            </w:r>
          </w:p>
          <w:p>
            <w:pPr>
              <w:pStyle w:val="Normal"/>
              <w:widowControl w:val="false"/>
              <w:rPr>
                <w:sz w:val="24"/>
                <w:szCs w:val="24"/>
              </w:rPr>
            </w:pPr>
            <w:r>
              <w:rPr>
                <w:sz w:val="24"/>
                <w:szCs w:val="24"/>
              </w:rPr>
            </w:r>
          </w:p>
        </w:tc>
        <w:tc>
          <w:tcPr>
            <w:tcW w:w="236" w:type="dxa"/>
            <w:tcBorders/>
          </w:tcPr>
          <w:p>
            <w:pPr>
              <w:pStyle w:val="Normal"/>
              <w:widowControl w:val="false"/>
              <w:rPr/>
            </w:pPr>
            <w:r>
              <w:rPr/>
            </w:r>
          </w:p>
        </w:tc>
      </w:tr>
    </w:tbl>
    <w:p>
      <w:pPr>
        <w:sectPr>
          <w:headerReference w:type="default" r:id="rId8"/>
          <w:headerReference w:type="first" r:id="rId9"/>
          <w:footnotePr>
            <w:numFmt w:val="decimal"/>
          </w:footnotePr>
          <w:type w:val="nextPage"/>
          <w:pgSz w:w="11906" w:h="16838"/>
          <w:pgMar w:left="1418" w:right="851" w:gutter="0" w:header="0" w:top="709" w:footer="0" w:bottom="1134"/>
          <w:pgNumType w:fmt="decimal"/>
          <w:formProt w:val="false"/>
          <w:textDirection w:val="lrTb"/>
          <w:docGrid w:type="default" w:linePitch="100" w:charSpace="40960"/>
        </w:sectPr>
        <w:pStyle w:val="Normal"/>
        <w:rPr/>
      </w:pPr>
      <w:r>
        <w:rPr/>
      </w:r>
    </w:p>
    <w:p>
      <w:pPr>
        <w:pStyle w:val="Normal"/>
        <w:jc w:val="right"/>
        <w:rPr>
          <w:sz w:val="28"/>
          <w:szCs w:val="28"/>
        </w:rPr>
      </w:pPr>
      <w:r>
        <w:rPr>
          <w:sz w:val="22"/>
          <w:szCs w:val="22"/>
        </w:rPr>
        <w:t>Приложение № 1</w:t>
      </w:r>
    </w:p>
    <w:p>
      <w:pPr>
        <w:pStyle w:val="Normal"/>
        <w:jc w:val="right"/>
        <w:rPr>
          <w:sz w:val="22"/>
          <w:szCs w:val="22"/>
        </w:rPr>
      </w:pPr>
      <w:r>
        <w:rPr>
          <w:sz w:val="22"/>
          <w:szCs w:val="22"/>
        </w:rPr>
        <w:t xml:space="preserve">к Договору поставки №        </w:t>
      </w:r>
      <w:r>
        <w:rPr>
          <w:sz w:val="24"/>
          <w:szCs w:val="24"/>
        </w:rPr>
        <w:t>/2026/ЦФ/Рм</w:t>
      </w:r>
    </w:p>
    <w:p>
      <w:pPr>
        <w:pStyle w:val="Normal"/>
        <w:ind w:firstLine="4820"/>
        <w:jc w:val="right"/>
        <w:rPr>
          <w:sz w:val="22"/>
          <w:szCs w:val="22"/>
        </w:rPr>
      </w:pPr>
      <w:r>
        <w:rPr>
          <w:sz w:val="22"/>
          <w:szCs w:val="22"/>
        </w:rPr>
        <w:t>от «____» _____20 _ г. № _____</w:t>
      </w:r>
    </w:p>
    <w:p>
      <w:pPr>
        <w:pStyle w:val="Normal"/>
        <w:ind w:firstLine="709"/>
        <w:rPr>
          <w:rFonts w:eastAsia="Calibri"/>
          <w:b/>
          <w:lang w:eastAsia="en-US"/>
        </w:rPr>
      </w:pPr>
      <w:r>
        <w:rPr>
          <w:rFonts w:eastAsia="Calibri"/>
          <w:b/>
          <w:lang w:eastAsia="en-US"/>
        </w:rPr>
      </w:r>
    </w:p>
    <w:p>
      <w:pPr>
        <w:pStyle w:val="Normal"/>
        <w:ind w:firstLine="709"/>
        <w:jc w:val="center"/>
        <w:rPr>
          <w:b/>
        </w:rPr>
      </w:pPr>
      <w:r>
        <w:rPr>
          <w:b/>
        </w:rPr>
      </w:r>
    </w:p>
    <w:p>
      <w:pPr>
        <w:pStyle w:val="Normal"/>
        <w:ind w:firstLine="709"/>
        <w:jc w:val="center"/>
        <w:rPr>
          <w:b/>
        </w:rPr>
      </w:pPr>
      <w:r>
        <w:rPr>
          <w:b/>
        </w:rPr>
      </w:r>
    </w:p>
    <w:p>
      <w:pPr>
        <w:pStyle w:val="Normal"/>
        <w:jc w:val="center"/>
        <w:rPr>
          <w:b/>
        </w:rPr>
      </w:pPr>
      <w:r>
        <w:rPr>
          <w:b/>
          <w:sz w:val="24"/>
          <w:szCs w:val="24"/>
        </w:rPr>
        <w:t xml:space="preserve">СПЕЦИФИКАЦИЯ </w:t>
      </w:r>
    </w:p>
    <w:p>
      <w:pPr>
        <w:pStyle w:val="Normal"/>
        <w:jc w:val="center"/>
        <w:rPr>
          <w:b/>
        </w:rPr>
      </w:pPr>
      <w:r>
        <w:rPr>
          <w:b/>
        </w:rPr>
      </w:r>
    </w:p>
    <w:tbl>
      <w:tblPr>
        <w:tblW w:w="15081" w:type="dxa"/>
        <w:jc w:val="left"/>
        <w:tblInd w:w="-601" w:type="dxa"/>
        <w:tblLayout w:type="fixed"/>
        <w:tblCellMar>
          <w:top w:w="0" w:type="dxa"/>
          <w:left w:w="108" w:type="dxa"/>
          <w:bottom w:w="0" w:type="dxa"/>
          <w:right w:w="108" w:type="dxa"/>
        </w:tblCellMar>
        <w:tblLook w:val="0000" w:noHBand="0" w:noVBand="0" w:firstColumn="0" w:lastRow="0" w:lastColumn="0" w:firstRow="0"/>
      </w:tblPr>
      <w:tblGrid>
        <w:gridCol w:w="693"/>
        <w:gridCol w:w="415"/>
        <w:gridCol w:w="1792"/>
        <w:gridCol w:w="1117"/>
        <w:gridCol w:w="783"/>
        <w:gridCol w:w="804"/>
        <w:gridCol w:w="1529"/>
        <w:gridCol w:w="751"/>
        <w:gridCol w:w="685"/>
        <w:gridCol w:w="966"/>
        <w:gridCol w:w="1584"/>
        <w:gridCol w:w="1366"/>
        <w:gridCol w:w="1416"/>
        <w:gridCol w:w="1179"/>
      </w:tblGrid>
      <w:tr>
        <w:trPr>
          <w:trHeight w:val="526" w:hRule="atLeast"/>
        </w:trPr>
        <w:tc>
          <w:tcPr>
            <w:tcW w:w="6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 xml:space="preserve">№ </w:t>
            </w:r>
            <w:r>
              <w:rPr>
                <w:bCs/>
              </w:rPr>
              <w:t>партии</w:t>
            </w:r>
          </w:p>
        </w:tc>
        <w:tc>
          <w:tcPr>
            <w:tcW w:w="4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 xml:space="preserve">№ </w:t>
            </w:r>
            <w:r>
              <w:rPr>
                <w:bCs/>
              </w:rPr>
              <w:t>поз.</w:t>
            </w:r>
          </w:p>
        </w:tc>
        <w:tc>
          <w:tcPr>
            <w:tcW w:w="17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Наименование Товара</w:t>
            </w:r>
          </w:p>
        </w:tc>
        <w:tc>
          <w:tcPr>
            <w:tcW w:w="111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t>Артикул, тип, марка</w:t>
            </w:r>
          </w:p>
        </w:tc>
        <w:tc>
          <w:tcPr>
            <w:tcW w:w="7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Завод изготовитель</w:t>
            </w:r>
          </w:p>
        </w:tc>
        <w:tc>
          <w:tcPr>
            <w:tcW w:w="80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t>Страна происхождения Товара</w:t>
            </w:r>
            <w:r>
              <w:rPr>
                <w:rStyle w:val="FootnoteReference"/>
                <w:bCs/>
              </w:rPr>
              <w:footnoteReference w:id="3"/>
            </w:r>
          </w:p>
        </w:tc>
        <w:tc>
          <w:tcPr>
            <w:tcW w:w="152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Код ОКПД 2 (с наименованием)</w:t>
            </w:r>
          </w:p>
        </w:tc>
        <w:tc>
          <w:tcPr>
            <w:tcW w:w="7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Единица измерения</w:t>
            </w:r>
          </w:p>
        </w:tc>
        <w:tc>
          <w:tcPr>
            <w:tcW w:w="6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Количество</w:t>
            </w:r>
          </w:p>
        </w:tc>
        <w:tc>
          <w:tcPr>
            <w:tcW w:w="9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Цена за единицу, руб. без НДС</w:t>
            </w:r>
          </w:p>
        </w:tc>
        <w:tc>
          <w:tcPr>
            <w:tcW w:w="15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Цена, руб. без НДС</w:t>
            </w:r>
          </w:p>
        </w:tc>
        <w:tc>
          <w:tcPr>
            <w:tcW w:w="13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НДС</w:t>
            </w:r>
          </w:p>
          <w:p>
            <w:pPr>
              <w:pStyle w:val="Normal"/>
              <w:widowControl w:val="false"/>
              <w:jc w:val="center"/>
              <w:rPr>
                <w:bCs/>
              </w:rPr>
            </w:pPr>
            <w:r>
              <w:rPr>
                <w:bCs/>
              </w:rPr>
              <w:t>(22%) руб.</w:t>
            </w:r>
          </w:p>
        </w:tc>
        <w:tc>
          <w:tcPr>
            <w:tcW w:w="14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Стоимость, руб., с НДС</w:t>
            </w:r>
          </w:p>
        </w:tc>
        <w:tc>
          <w:tcPr>
            <w:tcW w:w="117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bookmarkStart w:id="15" w:name="_GoBack"/>
            <w:r>
              <w:rPr>
                <w:bCs/>
              </w:rPr>
              <w:t>Перечень сопроводительных документов (в том числе подтверждающих качество Товара)</w:t>
            </w:r>
            <w:bookmarkEnd w:id="15"/>
          </w:p>
        </w:tc>
      </w:tr>
      <w:tr>
        <w:trPr>
          <w:trHeight w:val="538" w:hRule="atLeast"/>
        </w:trPr>
        <w:tc>
          <w:tcPr>
            <w:tcW w:w="693" w:type="dxa"/>
            <w:tcBorders>
              <w:left w:val="single" w:sz="4" w:space="0" w:color="000000"/>
              <w:bottom w:val="single" w:sz="4" w:space="0" w:color="000000"/>
              <w:right w:val="single" w:sz="4" w:space="0" w:color="000000"/>
            </w:tcBorders>
            <w:vAlign w:val="center"/>
          </w:tcPr>
          <w:p>
            <w:pPr>
              <w:pStyle w:val="Normal"/>
              <w:widowControl w:val="false"/>
              <w:jc w:val="center"/>
              <w:rPr>
                <w:bCs/>
                <w:shd w:fill="C0C0C0" w:val="clear"/>
              </w:rPr>
            </w:pPr>
            <w:r>
              <w:rPr>
                <w:bCs/>
                <w:shd w:fill="C0C0C0" w:val="clear"/>
              </w:rPr>
              <w:t>1</w:t>
            </w:r>
          </w:p>
        </w:tc>
        <w:tc>
          <w:tcPr>
            <w:tcW w:w="415" w:type="dxa"/>
            <w:tcBorders>
              <w:left w:val="single" w:sz="4" w:space="0" w:color="000000"/>
              <w:bottom w:val="single" w:sz="4" w:space="0" w:color="000000"/>
              <w:right w:val="single" w:sz="4" w:space="0" w:color="000000"/>
            </w:tcBorders>
            <w:vAlign w:val="center"/>
          </w:tcPr>
          <w:p>
            <w:pPr>
              <w:pStyle w:val="Normal"/>
              <w:widowControl w:val="false"/>
              <w:rPr>
                <w:shd w:fill="C0C0C0" w:val="clear"/>
              </w:rPr>
            </w:pPr>
            <w:r>
              <w:rPr>
                <w:shd w:fill="C0C0C0" w:val="clear"/>
              </w:rPr>
              <w:t>1</w:t>
            </w:r>
          </w:p>
        </w:tc>
        <w:tc>
          <w:tcPr>
            <w:tcW w:w="1792" w:type="dxa"/>
            <w:tcBorders>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rFonts w:eastAsia="Calibri"/>
                <w:bCs/>
                <w:color w:val="000000"/>
                <w:sz w:val="24"/>
                <w:szCs w:val="24"/>
                <w:lang w:eastAsia="en-US"/>
              </w:rPr>
              <w:t xml:space="preserve"> </w:t>
            </w:r>
          </w:p>
        </w:tc>
        <w:tc>
          <w:tcPr>
            <w:tcW w:w="1117" w:type="dxa"/>
            <w:tcBorders>
              <w:left w:val="single" w:sz="4" w:space="0" w:color="000000"/>
              <w:bottom w:val="single" w:sz="4" w:space="0" w:color="000000"/>
              <w:right w:val="single" w:sz="4" w:space="0" w:color="000000"/>
            </w:tcBorders>
          </w:tcPr>
          <w:p>
            <w:pPr>
              <w:pStyle w:val="Normal"/>
              <w:widowControl w:val="false"/>
              <w:rPr>
                <w:sz w:val="24"/>
                <w:szCs w:val="24"/>
              </w:rPr>
            </w:pPr>
            <w:r>
              <w:rPr>
                <w:sz w:val="24"/>
                <w:szCs w:val="24"/>
              </w:rPr>
            </w:r>
          </w:p>
        </w:tc>
        <w:tc>
          <w:tcPr>
            <w:tcW w:w="783" w:type="dxa"/>
            <w:tcBorders>
              <w:left w:val="single" w:sz="4" w:space="0" w:color="000000"/>
              <w:bottom w:val="single" w:sz="4" w:space="0" w:color="000000"/>
              <w:right w:val="single" w:sz="4" w:space="0" w:color="000000"/>
            </w:tcBorders>
          </w:tcPr>
          <w:p>
            <w:pPr>
              <w:pStyle w:val="Normal"/>
              <w:widowControl w:val="false"/>
              <w:rPr>
                <w:shd w:fill="FFFF00" w:val="clear"/>
              </w:rPr>
            </w:pPr>
            <w:r>
              <w:rPr>
                <w:shd w:fill="FFFF00" w:val="clear"/>
              </w:rPr>
            </w:r>
          </w:p>
        </w:tc>
        <w:tc>
          <w:tcPr>
            <w:tcW w:w="804" w:type="dxa"/>
            <w:tcBorders>
              <w:left w:val="single" w:sz="4" w:space="0" w:color="000000"/>
              <w:bottom w:val="single" w:sz="4" w:space="0" w:color="000000"/>
              <w:right w:val="single" w:sz="4" w:space="0" w:color="000000"/>
            </w:tcBorders>
            <w:vAlign w:val="center"/>
          </w:tcPr>
          <w:p>
            <w:pPr>
              <w:pStyle w:val="Normal"/>
              <w:widowControl w:val="false"/>
              <w:jc w:val="center"/>
              <w:rPr/>
            </w:pPr>
            <w:r>
              <w:rPr/>
              <w:t>РФ</w:t>
            </w:r>
          </w:p>
        </w:tc>
        <w:tc>
          <w:tcPr>
            <w:tcW w:w="1529" w:type="dxa"/>
            <w:tcBorders>
              <w:left w:val="single" w:sz="4" w:space="0" w:color="000000"/>
              <w:bottom w:val="single" w:sz="4" w:space="0" w:color="000000"/>
              <w:right w:val="single" w:sz="4" w:space="0" w:color="000000"/>
            </w:tcBorders>
            <w:vAlign w:val="center"/>
          </w:tcPr>
          <w:p>
            <w:pPr>
              <w:pStyle w:val="Normal"/>
              <w:widowControl w:val="false"/>
              <w:suppressAutoHyphens w:val="false"/>
              <w:jc w:val="both"/>
              <w:rPr>
                <w:rStyle w:val="Style20"/>
                <w:rFonts w:eastAsia="Calibri" w:cs="Times New Roman"/>
                <w:b w:val="false"/>
                <w:bCs w:val="false"/>
                <w:color w:val="auto"/>
                <w:kern w:val="0"/>
                <w:sz w:val="24"/>
                <w:szCs w:val="24"/>
                <w:lang w:val="ru-RU" w:eastAsia="ru-RU" w:bidi="ar-SA"/>
              </w:rPr>
            </w:pPr>
            <w:r>
              <w:rPr>
                <w:rFonts w:eastAsia="Calibri" w:cs="Times New Roman"/>
                <w:b w:val="false"/>
                <w:bCs w:val="false"/>
                <w:color w:val="auto"/>
                <w:kern w:val="0"/>
                <w:sz w:val="24"/>
                <w:szCs w:val="24"/>
                <w:lang w:val="ru-RU" w:eastAsia="ru-RU" w:bidi="ar-SA"/>
              </w:rPr>
            </w:r>
          </w:p>
        </w:tc>
        <w:tc>
          <w:tcPr>
            <w:tcW w:w="751" w:type="dxa"/>
            <w:tcBorders>
              <w:left w:val="single" w:sz="4" w:space="0" w:color="000000"/>
              <w:bottom w:val="single" w:sz="4" w:space="0" w:color="000000"/>
              <w:right w:val="single" w:sz="4" w:space="0" w:color="000000"/>
            </w:tcBorders>
            <w:vAlign w:val="center"/>
          </w:tcPr>
          <w:p>
            <w:pPr>
              <w:pStyle w:val="Normal"/>
              <w:widowControl w:val="false"/>
              <w:jc w:val="center"/>
              <w:rPr/>
            </w:pPr>
            <w:r>
              <w:rPr/>
            </w:r>
          </w:p>
        </w:tc>
        <w:tc>
          <w:tcPr>
            <w:tcW w:w="685" w:type="dxa"/>
            <w:tcBorders>
              <w:left w:val="single" w:sz="4" w:space="0" w:color="000000"/>
              <w:bottom w:val="single" w:sz="4" w:space="0" w:color="000000"/>
              <w:right w:val="single" w:sz="4" w:space="0" w:color="000000"/>
            </w:tcBorders>
            <w:vAlign w:val="center"/>
          </w:tcPr>
          <w:p>
            <w:pPr>
              <w:pStyle w:val="Normal"/>
              <w:widowControl w:val="false"/>
              <w:rPr/>
            </w:pPr>
            <w:r>
              <w:rPr/>
            </w:r>
          </w:p>
        </w:tc>
        <w:tc>
          <w:tcPr>
            <w:tcW w:w="966" w:type="dxa"/>
            <w:tcBorders>
              <w:left w:val="single" w:sz="4" w:space="0" w:color="000000"/>
              <w:bottom w:val="single" w:sz="4" w:space="0" w:color="000000"/>
              <w:right w:val="single" w:sz="4" w:space="0" w:color="000000"/>
            </w:tcBorders>
            <w:vAlign w:val="center"/>
          </w:tcPr>
          <w:p>
            <w:pPr>
              <w:pStyle w:val="Normal"/>
              <w:widowControl w:val="false"/>
              <w:rPr/>
            </w:pPr>
            <w:r>
              <w:rPr/>
            </w:r>
          </w:p>
        </w:tc>
        <w:tc>
          <w:tcPr>
            <w:tcW w:w="1584" w:type="dxa"/>
            <w:tcBorders>
              <w:left w:val="single" w:sz="4" w:space="0" w:color="000000"/>
              <w:bottom w:val="single" w:sz="4" w:space="0" w:color="000000"/>
              <w:right w:val="single" w:sz="4" w:space="0" w:color="000000"/>
            </w:tcBorders>
            <w:vAlign w:val="center"/>
          </w:tcPr>
          <w:p>
            <w:pPr>
              <w:pStyle w:val="Normal"/>
              <w:widowControl w:val="false"/>
              <w:rPr/>
            </w:pPr>
            <w:r>
              <w:rPr/>
            </w:r>
          </w:p>
        </w:tc>
        <w:tc>
          <w:tcPr>
            <w:tcW w:w="1366" w:type="dxa"/>
            <w:tcBorders>
              <w:left w:val="single" w:sz="4" w:space="0" w:color="000000"/>
              <w:bottom w:val="single" w:sz="4" w:space="0" w:color="000000"/>
              <w:right w:val="single" w:sz="4" w:space="0" w:color="000000"/>
            </w:tcBorders>
            <w:vAlign w:val="center"/>
          </w:tcPr>
          <w:p>
            <w:pPr>
              <w:pStyle w:val="Normal"/>
              <w:widowControl w:val="false"/>
              <w:jc w:val="center"/>
              <w:rPr/>
            </w:pPr>
            <w:r>
              <w:rPr/>
            </w:r>
          </w:p>
        </w:tc>
        <w:tc>
          <w:tcPr>
            <w:tcW w:w="1416" w:type="dxa"/>
            <w:tcBorders>
              <w:left w:val="single" w:sz="4" w:space="0" w:color="000000"/>
              <w:bottom w:val="single" w:sz="4" w:space="0" w:color="000000"/>
              <w:right w:val="single" w:sz="4" w:space="0" w:color="000000"/>
            </w:tcBorders>
            <w:vAlign w:val="center"/>
          </w:tcPr>
          <w:p>
            <w:pPr>
              <w:pStyle w:val="Normal"/>
              <w:widowControl w:val="false"/>
              <w:jc w:val="center"/>
              <w:rPr/>
            </w:pPr>
            <w:r>
              <w:rPr/>
            </w:r>
          </w:p>
        </w:tc>
        <w:tc>
          <w:tcPr>
            <w:tcW w:w="117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r>
    </w:tbl>
    <w:p>
      <w:pPr>
        <w:pStyle w:val="Normal"/>
        <w:rPr>
          <w:i/>
          <w:i/>
          <w:shd w:fill="FFFF00" w:val="clear"/>
        </w:rPr>
      </w:pPr>
      <w:r>
        <w:rPr>
          <w:i/>
          <w:shd w:fill="FFFF00" w:val="clear"/>
        </w:rPr>
      </w:r>
    </w:p>
    <w:p>
      <w:pPr>
        <w:pStyle w:val="Normal"/>
        <w:rPr>
          <w:i/>
          <w:i/>
          <w:sz w:val="22"/>
          <w:szCs w:val="22"/>
          <w:shd w:fill="C0C0C0" w:val="clear"/>
        </w:rPr>
      </w:pPr>
      <w:r>
        <w:rPr>
          <w:i/>
          <w:sz w:val="22"/>
          <w:szCs w:val="22"/>
          <w:shd w:fill="C0C0C0" w:val="clear"/>
        </w:rPr>
        <w:t>1. В спецификацию при необходимости включаются требования к Товару, таре/упаковке, перечень нормативных документов, которым должен соответствовать Товар  (ГОСТ, ТУ) и иные сведения, имеющие значение для Договора;</w:t>
      </w:r>
    </w:p>
    <w:p>
      <w:pPr>
        <w:pStyle w:val="Normal"/>
        <w:rPr>
          <w:i/>
          <w:i/>
          <w:sz w:val="22"/>
          <w:szCs w:val="22"/>
        </w:rPr>
      </w:pPr>
      <w:r>
        <w:rPr>
          <w:i/>
          <w:sz w:val="22"/>
          <w:szCs w:val="22"/>
          <w:shd w:fill="C0C0C0" w:val="clear"/>
        </w:rPr>
        <w:t>2. По требованию Покупателя Поставщик обязан представить запрашиваемую информацию/документы, расчеты, обосновывающие стоимость доставки.</w:t>
      </w:r>
      <w:r>
        <w:rPr>
          <w:i/>
          <w:sz w:val="22"/>
          <w:szCs w:val="22"/>
        </w:rPr>
        <w:t xml:space="preserve"> </w:t>
      </w:r>
    </w:p>
    <w:p>
      <w:pPr>
        <w:pStyle w:val="Normal"/>
        <w:jc w:val="both"/>
        <w:rPr>
          <w:i/>
          <w:i/>
        </w:rPr>
      </w:pPr>
      <w:r>
        <w:rPr>
          <w:i/>
          <w:sz w:val="24"/>
          <w:szCs w:val="24"/>
          <w:shd w:fill="C0C0C0" w:val="clear"/>
        </w:rPr>
        <w:t>]</w:t>
      </w:r>
    </w:p>
    <w:p>
      <w:pPr>
        <w:sectPr>
          <w:headerReference w:type="default" r:id="rId10"/>
          <w:headerReference w:type="first" r:id="rId11"/>
          <w:footnotePr>
            <w:numFmt w:val="decimal"/>
          </w:footnotePr>
          <w:type w:val="nextPage"/>
          <w:pgSz w:orient="landscape" w:w="16838" w:h="11906"/>
          <w:pgMar w:left="1134" w:right="1134" w:gutter="0" w:header="0" w:top="1418" w:footer="0" w:bottom="851"/>
          <w:pgNumType w:fmt="decimal"/>
          <w:formProt w:val="false"/>
          <w:textDirection w:val="lrTb"/>
          <w:docGrid w:type="default" w:linePitch="272" w:charSpace="40960"/>
        </w:sectPr>
        <w:pStyle w:val="Normal"/>
        <w:ind w:firstLine="709"/>
        <w:jc w:val="both"/>
        <w:rPr>
          <w:i/>
          <w:i/>
        </w:rPr>
      </w:pPr>
      <w:r>
        <w:rPr>
          <w:i/>
          <w:sz w:val="24"/>
          <w:szCs w:val="24"/>
        </w:rPr>
        <w:t xml:space="preserve"> </w:t>
      </w:r>
    </w:p>
    <w:tbl>
      <w:tblPr>
        <w:tblW w:w="9781" w:type="dxa"/>
        <w:jc w:val="left"/>
        <w:tblInd w:w="108" w:type="dxa"/>
        <w:tblLayout w:type="fixed"/>
        <w:tblCellMar>
          <w:top w:w="0" w:type="dxa"/>
          <w:left w:w="108" w:type="dxa"/>
          <w:bottom w:w="0" w:type="dxa"/>
          <w:right w:w="108" w:type="dxa"/>
        </w:tblCellMar>
        <w:tblLook w:val="01e0" w:noHBand="0" w:noVBand="0" w:firstColumn="1" w:lastRow="1" w:lastColumn="1" w:firstRow="1"/>
      </w:tblPr>
      <w:tblGrid>
        <w:gridCol w:w="4884"/>
        <w:gridCol w:w="4896"/>
      </w:tblGrid>
      <w:tr>
        <w:trPr/>
        <w:tc>
          <w:tcPr>
            <w:tcW w:w="4884" w:type="dxa"/>
            <w:tcBorders/>
          </w:tcPr>
          <w:p>
            <w:pPr>
              <w:pStyle w:val="Normal"/>
              <w:widowControl w:val="false"/>
              <w:jc w:val="center"/>
              <w:rPr>
                <w:b/>
                <w:bCs/>
              </w:rPr>
            </w:pPr>
            <w:r>
              <w:rPr>
                <w:b/>
                <w:bCs/>
              </w:rPr>
            </w:r>
          </w:p>
          <w:p>
            <w:pPr>
              <w:pStyle w:val="Normal"/>
              <w:widowControl w:val="false"/>
              <w:jc w:val="center"/>
              <w:rPr/>
            </w:pPr>
            <w:r>
              <w:rPr>
                <w:b/>
                <w:bCs/>
                <w:sz w:val="24"/>
                <w:szCs w:val="24"/>
              </w:rPr>
              <w:t xml:space="preserve">                                   </w:t>
            </w:r>
            <w:r>
              <w:rPr>
                <w:b/>
                <w:bCs/>
                <w:sz w:val="24"/>
                <w:szCs w:val="24"/>
              </w:rPr>
              <w:t>ПОДПИСИ СТОРОН:</w:t>
            </w:r>
          </w:p>
          <w:p>
            <w:pPr>
              <w:pStyle w:val="Normal"/>
              <w:widowControl w:val="false"/>
              <w:rPr/>
            </w:pPr>
            <w:r>
              <w:rPr/>
            </w:r>
          </w:p>
          <w:p>
            <w:pPr>
              <w:pStyle w:val="Normal"/>
              <w:widowControl w:val="false"/>
              <w:rPr>
                <w:sz w:val="24"/>
                <w:szCs w:val="24"/>
              </w:rPr>
            </w:pPr>
            <w:r>
              <w:rPr>
                <w:sz w:val="24"/>
                <w:szCs w:val="24"/>
              </w:rPr>
              <w:t>Директор Центрального филиала</w:t>
            </w:r>
          </w:p>
          <w:p>
            <w:pPr>
              <w:pStyle w:val="Normal"/>
              <w:widowControl w:val="false"/>
              <w:rPr>
                <w:sz w:val="24"/>
                <w:szCs w:val="24"/>
              </w:rPr>
            </w:pPr>
            <w:r>
              <w:rPr>
                <w:sz w:val="24"/>
                <w:szCs w:val="24"/>
              </w:rPr>
              <w:t>АО «ТК РусГидро»</w:t>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 / К.А. Михайлов</w:t>
            </w:r>
          </w:p>
          <w:p>
            <w:pPr>
              <w:pStyle w:val="Normal"/>
              <w:widowControl w:val="false"/>
              <w:rPr/>
            </w:pPr>
            <w:r>
              <w:rPr/>
            </w:r>
          </w:p>
        </w:tc>
        <w:tc>
          <w:tcPr>
            <w:tcW w:w="4896" w:type="dxa"/>
            <w:tcBorders/>
          </w:tcPr>
          <w:p>
            <w:pPr>
              <w:pStyle w:val="Normal"/>
              <w:widowControl w:val="false"/>
              <w:rPr/>
            </w:pPr>
            <w:r>
              <w:rPr/>
            </w:r>
          </w:p>
          <w:p>
            <w:pPr>
              <w:pStyle w:val="Normal"/>
              <w:widowControl w:val="false"/>
              <w:rPr>
                <w:sz w:val="24"/>
                <w:szCs w:val="24"/>
              </w:rPr>
            </w:pPr>
            <w:r>
              <w:rPr>
                <w:sz w:val="24"/>
                <w:szCs w:val="24"/>
              </w:rPr>
            </w:r>
          </w:p>
        </w:tc>
      </w:tr>
    </w:tbl>
    <w:p>
      <w:pPr>
        <w:sectPr>
          <w:headerReference w:type="default" r:id="rId12"/>
          <w:headerReference w:type="first" r:id="rId13"/>
          <w:footnotePr>
            <w:numFmt w:val="decimal"/>
          </w:footnotePr>
          <w:type w:val="nextPage"/>
          <w:pgSz w:orient="landscape" w:w="16838" w:h="11906"/>
          <w:pgMar w:left="1134" w:right="1134" w:gutter="0" w:header="0" w:top="1418" w:footer="0" w:bottom="851"/>
          <w:pgNumType w:fmt="decimal"/>
          <w:formProt w:val="false"/>
          <w:textDirection w:val="lrTb"/>
          <w:docGrid w:type="default" w:linePitch="272" w:charSpace="40960"/>
        </w:sectPr>
        <w:pStyle w:val="Normal"/>
        <w:rPr/>
      </w:pPr>
      <w:r>
        <w:rPr/>
      </w:r>
    </w:p>
    <w:p>
      <w:pPr>
        <w:pStyle w:val="Normal"/>
        <w:ind w:firstLine="4820"/>
        <w:jc w:val="right"/>
        <w:rPr>
          <w:sz w:val="22"/>
          <w:szCs w:val="22"/>
        </w:rPr>
      </w:pPr>
      <w:r>
        <w:rPr>
          <w:sz w:val="22"/>
          <w:szCs w:val="22"/>
        </w:rPr>
        <w:t>Приложение № 2</w:t>
      </w:r>
    </w:p>
    <w:p>
      <w:pPr>
        <w:pStyle w:val="Normal"/>
        <w:ind w:firstLine="4820"/>
        <w:jc w:val="right"/>
        <w:rPr>
          <w:sz w:val="22"/>
          <w:szCs w:val="22"/>
        </w:rPr>
      </w:pPr>
      <w:r>
        <w:rPr>
          <w:sz w:val="22"/>
          <w:szCs w:val="22"/>
        </w:rPr>
        <w:t>к Договору поставки</w:t>
      </w:r>
    </w:p>
    <w:p>
      <w:pPr>
        <w:pStyle w:val="Normal"/>
        <w:ind w:firstLine="4820"/>
        <w:jc w:val="right"/>
        <w:rPr>
          <w:sz w:val="22"/>
          <w:szCs w:val="22"/>
        </w:rPr>
      </w:pPr>
      <w:r>
        <w:rPr>
          <w:sz w:val="22"/>
          <w:szCs w:val="22"/>
        </w:rPr>
        <w:t xml:space="preserve"> </w:t>
      </w:r>
    </w:p>
    <w:p>
      <w:pPr>
        <w:pStyle w:val="Normal"/>
        <w:tabs>
          <w:tab w:val="clear" w:pos="708"/>
          <w:tab w:val="left" w:pos="1843" w:leader="none"/>
          <w:tab w:val="left" w:pos="4395" w:leader="none"/>
        </w:tabs>
        <w:rPr>
          <w:i/>
          <w:i/>
          <w:sz w:val="24"/>
          <w:szCs w:val="24"/>
        </w:rPr>
      </w:pPr>
      <w:r>
        <w:rPr>
          <w:i/>
          <w:sz w:val="24"/>
          <w:szCs w:val="24"/>
        </w:rPr>
      </w:r>
    </w:p>
    <w:p>
      <w:pPr>
        <w:pStyle w:val="Normal"/>
        <w:tabs>
          <w:tab w:val="clear" w:pos="708"/>
          <w:tab w:val="left" w:pos="2700" w:leader="none"/>
        </w:tabs>
        <w:jc w:val="center"/>
        <w:rPr>
          <w:b/>
          <w:sz w:val="24"/>
          <w:szCs w:val="24"/>
        </w:rPr>
      </w:pPr>
      <w:r>
        <w:rPr>
          <w:b/>
          <w:sz w:val="24"/>
          <w:szCs w:val="24"/>
        </w:rPr>
        <w:t xml:space="preserve">Заявка </w:t>
      </w:r>
    </w:p>
    <w:p>
      <w:pPr>
        <w:pStyle w:val="Normal"/>
        <w:tabs>
          <w:tab w:val="clear" w:pos="708"/>
          <w:tab w:val="left" w:pos="1843" w:leader="none"/>
        </w:tabs>
        <w:ind w:firstLine="709"/>
        <w:jc w:val="center"/>
        <w:rPr>
          <w:b/>
          <w:sz w:val="24"/>
          <w:szCs w:val="24"/>
        </w:rPr>
      </w:pPr>
      <w:r>
        <w:rPr>
          <w:b/>
          <w:sz w:val="24"/>
          <w:szCs w:val="24"/>
        </w:rPr>
        <w:t>на поставку Товара</w:t>
      </w:r>
    </w:p>
    <w:p>
      <w:pPr>
        <w:pStyle w:val="Normal"/>
        <w:tabs>
          <w:tab w:val="clear" w:pos="708"/>
          <w:tab w:val="left" w:pos="1843" w:leader="none"/>
          <w:tab w:val="left" w:pos="4395" w:leader="none"/>
        </w:tabs>
        <w:ind w:firstLine="709"/>
        <w:rPr>
          <w:i/>
          <w:i/>
          <w:sz w:val="24"/>
          <w:szCs w:val="24"/>
        </w:rPr>
      </w:pPr>
      <w:r>
        <w:rPr>
          <w:i/>
          <w:sz w:val="24"/>
          <w:szCs w:val="24"/>
        </w:rPr>
        <w:t xml:space="preserve">                                                           </w:t>
      </w:r>
      <w:r>
        <w:rPr>
          <w:i/>
          <w:sz w:val="24"/>
          <w:szCs w:val="24"/>
        </w:rPr>
        <w:t>(форма)</w:t>
      </w:r>
    </w:p>
    <w:p>
      <w:pPr>
        <w:pStyle w:val="Normal"/>
        <w:tabs>
          <w:tab w:val="clear" w:pos="708"/>
          <w:tab w:val="left" w:pos="2700" w:leader="none"/>
        </w:tabs>
        <w:jc w:val="center"/>
        <w:rPr>
          <w:b/>
          <w:sz w:val="24"/>
          <w:szCs w:val="24"/>
        </w:rPr>
      </w:pPr>
      <w:r>
        <w:rPr>
          <w:b/>
          <w:sz w:val="24"/>
          <w:szCs w:val="24"/>
        </w:rPr>
        <w:t>Заявка №___</w:t>
      </w:r>
    </w:p>
    <w:p>
      <w:pPr>
        <w:pStyle w:val="Normal"/>
        <w:tabs>
          <w:tab w:val="clear" w:pos="708"/>
          <w:tab w:val="left" w:pos="2700" w:leader="none"/>
        </w:tabs>
        <w:jc w:val="center"/>
        <w:rPr>
          <w:b/>
          <w:sz w:val="24"/>
          <w:szCs w:val="24"/>
        </w:rPr>
      </w:pPr>
      <w:r>
        <w:rPr>
          <w:b/>
          <w:sz w:val="24"/>
          <w:szCs w:val="24"/>
        </w:rPr>
        <w:t xml:space="preserve">на поставку Товара </w:t>
      </w:r>
    </w:p>
    <w:p>
      <w:pPr>
        <w:pStyle w:val="Normal"/>
        <w:tabs>
          <w:tab w:val="clear" w:pos="708"/>
          <w:tab w:val="left" w:pos="2700" w:leader="none"/>
        </w:tabs>
        <w:jc w:val="center"/>
        <w:rPr>
          <w:b/>
          <w:sz w:val="24"/>
          <w:szCs w:val="24"/>
        </w:rPr>
      </w:pPr>
      <w:r>
        <w:rPr>
          <w:b/>
          <w:sz w:val="24"/>
          <w:szCs w:val="24"/>
        </w:rPr>
        <w:t xml:space="preserve">по договору поставки №______________ от «____» _____202_ г. </w:t>
      </w:r>
    </w:p>
    <w:p>
      <w:pPr>
        <w:pStyle w:val="Normal"/>
        <w:ind w:firstLine="709"/>
        <w:jc w:val="center"/>
        <w:rPr>
          <w:b/>
          <w:sz w:val="24"/>
          <w:szCs w:val="24"/>
        </w:rPr>
      </w:pPr>
      <w:r>
        <w:rPr>
          <w:b/>
          <w:sz w:val="24"/>
          <w:szCs w:val="24"/>
        </w:rPr>
      </w:r>
    </w:p>
    <w:p>
      <w:pPr>
        <w:pStyle w:val="Normal"/>
        <w:ind w:firstLine="709"/>
        <w:jc w:val="right"/>
        <w:rPr>
          <w:b/>
          <w:sz w:val="24"/>
          <w:szCs w:val="24"/>
        </w:rPr>
      </w:pPr>
      <w:r>
        <w:rPr>
          <w:b/>
          <w:sz w:val="24"/>
          <w:szCs w:val="24"/>
        </w:rPr>
      </w:r>
    </w:p>
    <w:tbl>
      <w:tblPr>
        <w:tblW w:w="5000" w:type="pct"/>
        <w:jc w:val="left"/>
        <w:tblInd w:w="137" w:type="dxa"/>
        <w:tblLayout w:type="fixed"/>
        <w:tblCellMar>
          <w:top w:w="0" w:type="dxa"/>
          <w:left w:w="108" w:type="dxa"/>
          <w:bottom w:w="0" w:type="dxa"/>
          <w:right w:w="108" w:type="dxa"/>
        </w:tblCellMar>
        <w:tblLook w:val="04a0" w:noHBand="0" w:noVBand="1" w:firstColumn="1" w:lastRow="0" w:lastColumn="0" w:firstRow="1"/>
      </w:tblPr>
      <w:tblGrid>
        <w:gridCol w:w="547"/>
        <w:gridCol w:w="1017"/>
        <w:gridCol w:w="1156"/>
        <w:gridCol w:w="733"/>
        <w:gridCol w:w="1103"/>
        <w:gridCol w:w="1216"/>
        <w:gridCol w:w="1018"/>
        <w:gridCol w:w="1458"/>
        <w:gridCol w:w="864"/>
        <w:gridCol w:w="870"/>
      </w:tblGrid>
      <w:tr>
        <w:trPr>
          <w:trHeight w:val="543" w:hRule="atLeast"/>
        </w:trPr>
        <w:tc>
          <w:tcPr>
            <w:tcW w:w="5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sz w:val="22"/>
                <w:szCs w:val="22"/>
              </w:rPr>
            </w:pPr>
            <w:r>
              <w:rPr>
                <w:bCs/>
                <w:color w:val="000000"/>
                <w:sz w:val="22"/>
                <w:szCs w:val="22"/>
              </w:rPr>
              <w:t xml:space="preserve">№ </w:t>
            </w:r>
            <w:r>
              <w:rPr>
                <w:bCs/>
                <w:color w:val="000000"/>
                <w:sz w:val="22"/>
                <w:szCs w:val="22"/>
              </w:rPr>
              <w:t>п/п</w:t>
            </w:r>
          </w:p>
        </w:tc>
        <w:tc>
          <w:tcPr>
            <w:tcW w:w="10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sz w:val="22"/>
                <w:szCs w:val="22"/>
              </w:rPr>
            </w:pPr>
            <w:r>
              <w:rPr>
                <w:bCs/>
                <w:color w:val="000000"/>
                <w:sz w:val="22"/>
                <w:szCs w:val="22"/>
              </w:rPr>
              <w:t>Наименование Товара</w:t>
            </w:r>
          </w:p>
        </w:tc>
        <w:tc>
          <w:tcPr>
            <w:tcW w:w="11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color w:val="000000"/>
                <w:sz w:val="22"/>
                <w:szCs w:val="22"/>
              </w:rPr>
            </w:pPr>
            <w:r>
              <w:rPr>
                <w:bCs/>
                <w:color w:val="000000"/>
                <w:sz w:val="22"/>
                <w:szCs w:val="22"/>
              </w:rPr>
              <w:t>Артикул, тип, марка</w:t>
            </w:r>
          </w:p>
        </w:tc>
        <w:tc>
          <w:tcPr>
            <w:tcW w:w="7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sz w:val="22"/>
                <w:szCs w:val="22"/>
              </w:rPr>
            </w:pPr>
            <w:r>
              <w:rPr>
                <w:bCs/>
                <w:color w:val="000000"/>
                <w:sz w:val="22"/>
                <w:szCs w:val="22"/>
              </w:rPr>
              <w:t>Количество</w:t>
            </w:r>
          </w:p>
        </w:tc>
        <w:tc>
          <w:tcPr>
            <w:tcW w:w="11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sz w:val="22"/>
                <w:szCs w:val="22"/>
              </w:rPr>
            </w:pPr>
            <w:r>
              <w:rPr>
                <w:bCs/>
                <w:color w:val="000000"/>
                <w:sz w:val="22"/>
                <w:szCs w:val="22"/>
              </w:rPr>
              <w:t>Единица измерения</w:t>
            </w:r>
          </w:p>
        </w:tc>
        <w:tc>
          <w:tcPr>
            <w:tcW w:w="121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color w:val="000000"/>
                <w:sz w:val="22"/>
                <w:szCs w:val="22"/>
              </w:rPr>
            </w:pPr>
            <w:r>
              <w:rPr>
                <w:bCs/>
                <w:color w:val="000000"/>
                <w:sz w:val="22"/>
                <w:szCs w:val="22"/>
              </w:rPr>
              <w:t>Цена за единицу, руб. без НДС</w:t>
            </w:r>
          </w:p>
        </w:tc>
        <w:tc>
          <w:tcPr>
            <w:tcW w:w="101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color w:val="000000"/>
                <w:sz w:val="22"/>
                <w:szCs w:val="22"/>
              </w:rPr>
            </w:pPr>
            <w:r>
              <w:rPr>
                <w:bCs/>
                <w:color w:val="000000"/>
                <w:sz w:val="22"/>
                <w:szCs w:val="22"/>
              </w:rPr>
              <w:t>НДС (___%), руб.</w:t>
            </w:r>
          </w:p>
        </w:tc>
        <w:tc>
          <w:tcPr>
            <w:tcW w:w="145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color w:val="000000"/>
                <w:sz w:val="22"/>
                <w:szCs w:val="22"/>
              </w:rPr>
            </w:pPr>
            <w:r>
              <w:rPr>
                <w:bCs/>
                <w:color w:val="000000"/>
                <w:sz w:val="22"/>
                <w:szCs w:val="22"/>
              </w:rPr>
              <w:t>Стоимость, в том числе НДС, руб.</w:t>
            </w:r>
          </w:p>
        </w:tc>
        <w:tc>
          <w:tcPr>
            <w:tcW w:w="8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sz w:val="22"/>
                <w:szCs w:val="22"/>
              </w:rPr>
            </w:pPr>
            <w:r>
              <w:rPr>
                <w:bCs/>
                <w:color w:val="000000"/>
                <w:sz w:val="22"/>
                <w:szCs w:val="22"/>
              </w:rPr>
              <w:t>Место поставки</w:t>
            </w:r>
          </w:p>
        </w:tc>
        <w:tc>
          <w:tcPr>
            <w:tcW w:w="87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color w:val="000000"/>
                <w:sz w:val="22"/>
                <w:szCs w:val="22"/>
              </w:rPr>
            </w:pPr>
            <w:r>
              <w:rPr>
                <w:bCs/>
                <w:color w:val="000000"/>
                <w:sz w:val="22"/>
                <w:szCs w:val="22"/>
              </w:rPr>
              <w:t>Дата поставки</w:t>
            </w:r>
          </w:p>
        </w:tc>
      </w:tr>
      <w:tr>
        <w:trPr>
          <w:trHeight w:val="556" w:hRule="atLeast"/>
        </w:trPr>
        <w:tc>
          <w:tcPr>
            <w:tcW w:w="5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2"/>
              <w:jc w:val="center"/>
              <w:rPr>
                <w:bCs/>
                <w:color w:val="000000"/>
                <w:sz w:val="22"/>
                <w:szCs w:val="22"/>
              </w:rPr>
            </w:pPr>
            <w:r>
              <w:rPr>
                <w:bCs/>
                <w:color w:val="000000"/>
                <w:sz w:val="22"/>
                <w:szCs w:val="22"/>
              </w:rPr>
              <w:t>1.</w:t>
            </w:r>
          </w:p>
        </w:tc>
        <w:tc>
          <w:tcPr>
            <w:tcW w:w="10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2"/>
                <w:szCs w:val="22"/>
                <w:highlight w:val="yellow"/>
              </w:rPr>
            </w:pPr>
            <w:r>
              <w:rPr>
                <w:color w:val="000000"/>
                <w:sz w:val="22"/>
                <w:szCs w:val="22"/>
                <w:highlight w:val="yellow"/>
              </w:rPr>
            </w:r>
          </w:p>
        </w:tc>
        <w:tc>
          <w:tcPr>
            <w:tcW w:w="1156"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733"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11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2"/>
                <w:szCs w:val="22"/>
                <w:highlight w:val="yellow"/>
              </w:rPr>
            </w:pPr>
            <w:r>
              <w:rPr>
                <w:color w:val="000000"/>
                <w:sz w:val="22"/>
                <w:szCs w:val="22"/>
                <w:highlight w:val="yellow"/>
              </w:rPr>
            </w:r>
          </w:p>
        </w:tc>
        <w:tc>
          <w:tcPr>
            <w:tcW w:w="1216"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1018"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1458"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8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2"/>
                <w:szCs w:val="22"/>
                <w:highlight w:val="yellow"/>
              </w:rPr>
            </w:pPr>
            <w:r>
              <w:rPr>
                <w:color w:val="000000"/>
                <w:sz w:val="22"/>
                <w:szCs w:val="22"/>
                <w:highlight w:val="yellow"/>
              </w:rPr>
            </w:r>
          </w:p>
        </w:tc>
        <w:tc>
          <w:tcPr>
            <w:tcW w:w="87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2"/>
                <w:szCs w:val="22"/>
                <w:highlight w:val="yellow"/>
              </w:rPr>
            </w:pPr>
            <w:r>
              <w:rPr>
                <w:color w:val="000000"/>
                <w:sz w:val="22"/>
                <w:szCs w:val="22"/>
                <w:highlight w:val="yellow"/>
              </w:rPr>
            </w:r>
          </w:p>
        </w:tc>
      </w:tr>
      <w:tr>
        <w:trPr>
          <w:trHeight w:val="556" w:hRule="atLeast"/>
        </w:trPr>
        <w:tc>
          <w:tcPr>
            <w:tcW w:w="5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2"/>
              <w:jc w:val="center"/>
              <w:rPr>
                <w:bCs/>
                <w:color w:val="000000"/>
                <w:sz w:val="22"/>
                <w:szCs w:val="22"/>
              </w:rPr>
            </w:pPr>
            <w:r>
              <w:rPr>
                <w:bCs/>
                <w:color w:val="000000"/>
                <w:sz w:val="22"/>
                <w:szCs w:val="22"/>
              </w:rPr>
              <w:t>2.</w:t>
            </w:r>
          </w:p>
        </w:tc>
        <w:tc>
          <w:tcPr>
            <w:tcW w:w="10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2"/>
                <w:szCs w:val="22"/>
                <w:highlight w:val="yellow"/>
              </w:rPr>
            </w:pPr>
            <w:r>
              <w:rPr>
                <w:color w:val="000000"/>
                <w:sz w:val="22"/>
                <w:szCs w:val="22"/>
                <w:highlight w:val="yellow"/>
              </w:rPr>
            </w:r>
          </w:p>
        </w:tc>
        <w:tc>
          <w:tcPr>
            <w:tcW w:w="1156"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733"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110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2"/>
                <w:szCs w:val="22"/>
                <w:highlight w:val="yellow"/>
              </w:rPr>
            </w:pPr>
            <w:r>
              <w:rPr>
                <w:color w:val="000000"/>
                <w:sz w:val="22"/>
                <w:szCs w:val="22"/>
                <w:highlight w:val="yellow"/>
              </w:rPr>
            </w:r>
          </w:p>
        </w:tc>
        <w:tc>
          <w:tcPr>
            <w:tcW w:w="1216"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1018"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1458" w:type="dxa"/>
            <w:tcBorders>
              <w:top w:val="single" w:sz="4" w:space="0" w:color="000000"/>
              <w:left w:val="single" w:sz="4" w:space="0" w:color="000000"/>
              <w:bottom w:val="single" w:sz="4" w:space="0" w:color="000000"/>
              <w:right w:val="single" w:sz="4" w:space="0" w:color="000000"/>
            </w:tcBorders>
          </w:tcPr>
          <w:p>
            <w:pPr>
              <w:pStyle w:val="Normal"/>
              <w:widowControl w:val="false"/>
              <w:ind w:firstLine="709"/>
              <w:rPr>
                <w:color w:val="000000"/>
                <w:sz w:val="22"/>
                <w:szCs w:val="22"/>
                <w:highlight w:val="yellow"/>
              </w:rPr>
            </w:pPr>
            <w:r>
              <w:rPr>
                <w:color w:val="000000"/>
                <w:sz w:val="22"/>
                <w:szCs w:val="22"/>
                <w:highlight w:val="yellow"/>
              </w:rPr>
            </w:r>
          </w:p>
        </w:tc>
        <w:tc>
          <w:tcPr>
            <w:tcW w:w="8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2"/>
                <w:szCs w:val="22"/>
                <w:highlight w:val="yellow"/>
              </w:rPr>
            </w:pPr>
            <w:r>
              <w:rPr>
                <w:color w:val="000000"/>
                <w:sz w:val="22"/>
                <w:szCs w:val="22"/>
                <w:highlight w:val="yellow"/>
              </w:rPr>
            </w:r>
          </w:p>
        </w:tc>
        <w:tc>
          <w:tcPr>
            <w:tcW w:w="87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2"/>
                <w:szCs w:val="22"/>
                <w:highlight w:val="yellow"/>
              </w:rPr>
            </w:pPr>
            <w:r>
              <w:rPr>
                <w:color w:val="000000"/>
                <w:sz w:val="22"/>
                <w:szCs w:val="22"/>
                <w:highlight w:val="yellow"/>
              </w:rPr>
            </w:r>
          </w:p>
        </w:tc>
      </w:tr>
      <w:tr>
        <w:trPr>
          <w:trHeight w:val="556" w:hRule="atLeast"/>
        </w:trPr>
        <w:tc>
          <w:tcPr>
            <w:tcW w:w="9982" w:type="dxa"/>
            <w:gridSpan w:val="10"/>
            <w:tcBorders>
              <w:top w:val="single" w:sz="4" w:space="0" w:color="000000"/>
              <w:left w:val="single" w:sz="4" w:space="0" w:color="000000"/>
              <w:bottom w:val="single" w:sz="4" w:space="0" w:color="000000"/>
              <w:right w:val="single" w:sz="4" w:space="0" w:color="000000"/>
            </w:tcBorders>
            <w:vAlign w:val="center"/>
          </w:tcPr>
          <w:p>
            <w:pPr>
              <w:pStyle w:val="Normal"/>
              <w:widowControl w:val="false"/>
              <w:ind w:firstLine="709"/>
              <w:rPr>
                <w:color w:val="000000"/>
                <w:sz w:val="24"/>
                <w:szCs w:val="24"/>
                <w:highlight w:val="yellow"/>
              </w:rPr>
            </w:pPr>
            <w:r>
              <w:rPr>
                <w:color w:val="000000"/>
                <w:sz w:val="24"/>
                <w:szCs w:val="24"/>
              </w:rPr>
              <w:t>Итого:</w:t>
            </w:r>
          </w:p>
        </w:tc>
      </w:tr>
    </w:tbl>
    <w:p>
      <w:pPr>
        <w:pStyle w:val="Normal"/>
        <w:numPr>
          <w:ilvl w:val="0"/>
          <w:numId w:val="0"/>
        </w:numPr>
        <w:ind w:left="0" w:firstLine="709"/>
        <w:jc w:val="center"/>
        <w:outlineLvl w:val="0"/>
        <w:rPr>
          <w:b/>
          <w:bCs/>
          <w:sz w:val="24"/>
          <w:szCs w:val="24"/>
        </w:rPr>
      </w:pPr>
      <w:r>
        <w:rPr>
          <w:b/>
          <w:bCs/>
          <w:sz w:val="24"/>
          <w:szCs w:val="24"/>
        </w:rPr>
      </w:r>
    </w:p>
    <w:p>
      <w:pPr>
        <w:pStyle w:val="Normal"/>
        <w:jc w:val="center"/>
        <w:rPr>
          <w:i/>
          <w:i/>
          <w:sz w:val="24"/>
          <w:szCs w:val="24"/>
        </w:rPr>
      </w:pPr>
      <w:r>
        <w:rPr>
          <w:i/>
          <w:sz w:val="24"/>
          <w:szCs w:val="24"/>
        </w:rPr>
      </w:r>
    </w:p>
    <w:tbl>
      <w:tblPr>
        <w:tblW w:w="9781" w:type="dxa"/>
        <w:jc w:val="left"/>
        <w:tblInd w:w="108" w:type="dxa"/>
        <w:tblLayout w:type="fixed"/>
        <w:tblCellMar>
          <w:top w:w="0" w:type="dxa"/>
          <w:left w:w="108" w:type="dxa"/>
          <w:bottom w:w="0" w:type="dxa"/>
          <w:right w:w="108" w:type="dxa"/>
        </w:tblCellMar>
        <w:tblLook w:val="01e0" w:noHBand="0" w:noVBand="0" w:firstColumn="1" w:lastRow="1" w:lastColumn="1" w:firstRow="1"/>
      </w:tblPr>
      <w:tblGrid>
        <w:gridCol w:w="4885"/>
        <w:gridCol w:w="4895"/>
      </w:tblGrid>
      <w:tr>
        <w:trPr/>
        <w:tc>
          <w:tcPr>
            <w:tcW w:w="4885" w:type="dxa"/>
            <w:tcBorders/>
          </w:tcPr>
          <w:p>
            <w:pPr>
              <w:pStyle w:val="Normal"/>
              <w:widowControl w:val="false"/>
              <w:jc w:val="center"/>
              <w:rPr>
                <w:b/>
                <w:bCs/>
              </w:rPr>
            </w:pPr>
            <w:r>
              <w:rPr>
                <w:b/>
                <w:bCs/>
              </w:rPr>
            </w:r>
          </w:p>
          <w:p>
            <w:pPr>
              <w:pStyle w:val="Normal"/>
              <w:widowControl w:val="false"/>
              <w:jc w:val="center"/>
              <w:rPr>
                <w:sz w:val="24"/>
                <w:szCs w:val="24"/>
              </w:rPr>
            </w:pPr>
            <w:r>
              <w:rPr>
                <w:b/>
                <w:bCs/>
                <w:sz w:val="24"/>
                <w:szCs w:val="24"/>
              </w:rPr>
              <w:t xml:space="preserve">                                   </w:t>
            </w:r>
            <w:r>
              <w:rPr>
                <w:b/>
                <w:bCs/>
                <w:sz w:val="24"/>
                <w:szCs w:val="24"/>
              </w:rPr>
              <w:t>ПОДПИСИ СТОРОН:</w:t>
            </w:r>
          </w:p>
          <w:p>
            <w:pPr>
              <w:pStyle w:val="Normal"/>
              <w:widowControl w:val="false"/>
              <w:rPr>
                <w:sz w:val="24"/>
                <w:szCs w:val="24"/>
              </w:rPr>
            </w:pPr>
            <w:r>
              <w:rPr>
                <w:sz w:val="24"/>
                <w:szCs w:val="24"/>
              </w:rPr>
            </w:r>
          </w:p>
          <w:p>
            <w:pPr>
              <w:pStyle w:val="Normal"/>
              <w:widowControl w:val="false"/>
              <w:rPr>
                <w:sz w:val="24"/>
                <w:szCs w:val="24"/>
              </w:rPr>
            </w:pPr>
            <w:r>
              <w:rPr>
                <w:sz w:val="24"/>
                <w:szCs w:val="24"/>
              </w:rPr>
              <w:t>Директор Центрального филиала</w:t>
            </w:r>
          </w:p>
          <w:p>
            <w:pPr>
              <w:pStyle w:val="Normal"/>
              <w:widowControl w:val="false"/>
              <w:rPr>
                <w:sz w:val="24"/>
                <w:szCs w:val="24"/>
              </w:rPr>
            </w:pPr>
            <w:r>
              <w:rPr>
                <w:sz w:val="24"/>
                <w:szCs w:val="24"/>
              </w:rPr>
              <w:t>АО «ТК РусГидро»</w:t>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 / К.А. Михайлов</w:t>
            </w:r>
          </w:p>
          <w:p>
            <w:pPr>
              <w:pStyle w:val="Normal"/>
              <w:widowControl w:val="false"/>
              <w:rPr>
                <w:sz w:val="24"/>
                <w:szCs w:val="24"/>
              </w:rPr>
            </w:pPr>
            <w:r>
              <w:rPr>
                <w:sz w:val="24"/>
                <w:szCs w:val="24"/>
              </w:rPr>
            </w:r>
          </w:p>
        </w:tc>
        <w:tc>
          <w:tcPr>
            <w:tcW w:w="4895" w:type="dxa"/>
            <w:tcBorders/>
          </w:tcPr>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tc>
      </w:tr>
    </w:tbl>
    <w:p>
      <w:pPr>
        <w:pStyle w:val="Normal"/>
        <w:numPr>
          <w:ilvl w:val="0"/>
          <w:numId w:val="0"/>
        </w:numPr>
        <w:ind w:left="0" w:hanging="0"/>
        <w:outlineLvl w:val="0"/>
        <w:rPr>
          <w:bCs/>
          <w:sz w:val="24"/>
          <w:szCs w:val="24"/>
        </w:rPr>
      </w:pPr>
      <w:r>
        <w:rPr>
          <w:bCs/>
          <w:sz w:val="24"/>
          <w:szCs w:val="24"/>
        </w:rPr>
      </w:r>
    </w:p>
    <w:p>
      <w:pPr>
        <w:pStyle w:val="Normal"/>
        <w:widowControl/>
        <w:ind w:firstLine="709"/>
        <w:rPr>
          <w:sz w:val="24"/>
          <w:szCs w:val="24"/>
        </w:rPr>
      </w:pPr>
      <w:r>
        <w:rPr>
          <w:sz w:val="24"/>
          <w:szCs w:val="24"/>
        </w:rPr>
      </w:r>
    </w:p>
    <w:p>
      <w:pPr>
        <w:pStyle w:val="Normal"/>
        <w:widowControl/>
        <w:ind w:firstLine="709"/>
        <w:rPr>
          <w:sz w:val="24"/>
          <w:szCs w:val="24"/>
        </w:rPr>
      </w:pPr>
      <w:r>
        <w:rPr>
          <w:sz w:val="24"/>
          <w:szCs w:val="24"/>
        </w:rPr>
      </w:r>
    </w:p>
    <w:p>
      <w:pPr>
        <w:pStyle w:val="Normal"/>
        <w:widowControl/>
        <w:ind w:firstLine="709"/>
        <w:rPr>
          <w:sz w:val="24"/>
          <w:szCs w:val="24"/>
        </w:rPr>
      </w:pPr>
      <w:r>
        <w:rPr>
          <w:sz w:val="24"/>
          <w:szCs w:val="24"/>
        </w:rPr>
      </w:r>
    </w:p>
    <w:p>
      <w:pPr>
        <w:pStyle w:val="Normal"/>
        <w:widowControl/>
        <w:ind w:firstLine="709"/>
        <w:rPr>
          <w:sz w:val="24"/>
          <w:szCs w:val="24"/>
        </w:rPr>
      </w:pPr>
      <w:r>
        <w:rPr>
          <w:sz w:val="24"/>
          <w:szCs w:val="24"/>
        </w:rPr>
      </w:r>
    </w:p>
    <w:p>
      <w:pPr>
        <w:pStyle w:val="Normal"/>
        <w:widowControl/>
        <w:ind w:firstLine="709"/>
        <w:rPr>
          <w:sz w:val="24"/>
          <w:szCs w:val="24"/>
        </w:rPr>
      </w:pPr>
      <w:r>
        <w:rPr>
          <w:sz w:val="24"/>
          <w:szCs w:val="24"/>
        </w:rPr>
      </w:r>
    </w:p>
    <w:p>
      <w:pPr>
        <w:pStyle w:val="Normal"/>
        <w:widowControl/>
        <w:ind w:firstLine="709"/>
        <w:rPr>
          <w:sz w:val="24"/>
          <w:szCs w:val="24"/>
        </w:rPr>
      </w:pPr>
      <w:r>
        <w:rPr>
          <w:sz w:val="24"/>
          <w:szCs w:val="24"/>
        </w:rPr>
      </w:r>
    </w:p>
    <w:p>
      <w:pPr>
        <w:pStyle w:val="Normal"/>
        <w:widowControl/>
        <w:ind w:firstLine="709"/>
        <w:rPr>
          <w:sz w:val="24"/>
          <w:szCs w:val="24"/>
        </w:rPr>
      </w:pPr>
      <w:r>
        <w:rPr>
          <w:sz w:val="24"/>
          <w:szCs w:val="24"/>
        </w:rPr>
      </w:r>
    </w:p>
    <w:p>
      <w:pPr>
        <w:pStyle w:val="Normal"/>
        <w:widowControl/>
        <w:ind w:firstLine="709"/>
        <w:rPr>
          <w:sz w:val="24"/>
          <w:szCs w:val="24"/>
        </w:rPr>
      </w:pPr>
      <w:r>
        <w:rPr>
          <w:sz w:val="24"/>
          <w:szCs w:val="24"/>
        </w:rPr>
      </w:r>
    </w:p>
    <w:p>
      <w:pPr>
        <w:pStyle w:val="Normal"/>
        <w:widowControl/>
        <w:ind w:firstLine="709"/>
        <w:rPr>
          <w:sz w:val="24"/>
          <w:szCs w:val="24"/>
        </w:rPr>
      </w:pPr>
      <w:r>
        <w:rPr>
          <w:sz w:val="24"/>
          <w:szCs w:val="24"/>
        </w:rPr>
      </w:r>
    </w:p>
    <w:p>
      <w:pPr>
        <w:pStyle w:val="Normal"/>
        <w:widowControl/>
        <w:ind w:firstLine="709"/>
        <w:rPr>
          <w:sz w:val="24"/>
          <w:szCs w:val="24"/>
        </w:rPr>
      </w:pPr>
      <w:r>
        <w:rPr>
          <w:sz w:val="24"/>
          <w:szCs w:val="24"/>
        </w:rPr>
      </w:r>
    </w:p>
    <w:p>
      <w:pPr>
        <w:pStyle w:val="Normal"/>
        <w:widowControl/>
        <w:ind w:firstLine="709"/>
        <w:rPr>
          <w:sz w:val="24"/>
          <w:szCs w:val="24"/>
        </w:rPr>
      </w:pPr>
      <w:r>
        <w:rPr>
          <w:sz w:val="24"/>
          <w:szCs w:val="24"/>
        </w:rPr>
      </w:r>
    </w:p>
    <w:p>
      <w:pPr>
        <w:pStyle w:val="Normal"/>
        <w:widowControl/>
        <w:ind w:firstLine="709"/>
        <w:rPr>
          <w:sz w:val="24"/>
          <w:szCs w:val="24"/>
        </w:rPr>
      </w:pPr>
      <w:r>
        <w:rPr>
          <w:sz w:val="24"/>
          <w:szCs w:val="24"/>
        </w:rPr>
      </w:r>
    </w:p>
    <w:p>
      <w:pPr>
        <w:pStyle w:val="Normal"/>
        <w:widowControl/>
        <w:ind w:firstLine="709"/>
        <w:rPr>
          <w:sz w:val="24"/>
          <w:szCs w:val="24"/>
        </w:rPr>
      </w:pPr>
      <w:r>
        <w:rPr>
          <w:sz w:val="24"/>
          <w:szCs w:val="24"/>
        </w:rPr>
      </w:r>
    </w:p>
    <w:p>
      <w:pPr>
        <w:pStyle w:val="Normal"/>
        <w:widowControl/>
        <w:ind w:firstLine="709"/>
        <w:rPr>
          <w:sz w:val="24"/>
          <w:szCs w:val="24"/>
        </w:rPr>
      </w:pPr>
      <w:r>
        <w:rPr>
          <w:sz w:val="24"/>
          <w:szCs w:val="24"/>
        </w:rPr>
      </w:r>
    </w:p>
    <w:p>
      <w:pPr>
        <w:pStyle w:val="Normal"/>
        <w:widowControl/>
        <w:ind w:firstLine="709"/>
        <w:rPr>
          <w:sz w:val="24"/>
          <w:szCs w:val="24"/>
        </w:rPr>
      </w:pPr>
      <w:r>
        <w:rPr>
          <w:sz w:val="24"/>
          <w:szCs w:val="24"/>
        </w:rPr>
      </w:r>
    </w:p>
    <w:p>
      <w:pPr>
        <w:pStyle w:val="Normal"/>
        <w:widowControl/>
        <w:ind w:firstLine="709"/>
        <w:rPr>
          <w:sz w:val="24"/>
          <w:szCs w:val="24"/>
        </w:rPr>
      </w:pPr>
      <w:r>
        <w:rPr>
          <w:sz w:val="24"/>
          <w:szCs w:val="24"/>
        </w:rPr>
      </w:r>
    </w:p>
    <w:p>
      <w:pPr>
        <w:pStyle w:val="Normal"/>
        <w:widowControl/>
        <w:ind w:firstLine="709"/>
        <w:rPr>
          <w:sz w:val="24"/>
          <w:szCs w:val="24"/>
        </w:rPr>
      </w:pPr>
      <w:r>
        <w:rPr>
          <w:sz w:val="24"/>
          <w:szCs w:val="24"/>
        </w:rPr>
      </w:r>
    </w:p>
    <w:p>
      <w:pPr>
        <w:pStyle w:val="Normal"/>
        <w:widowControl/>
        <w:ind w:firstLine="709"/>
        <w:rPr>
          <w:sz w:val="24"/>
          <w:szCs w:val="24"/>
        </w:rPr>
      </w:pPr>
      <w:r>
        <w:rPr>
          <w:sz w:val="24"/>
          <w:szCs w:val="24"/>
        </w:rPr>
      </w:r>
    </w:p>
    <w:p>
      <w:pPr>
        <w:pStyle w:val="Normal"/>
        <w:ind w:firstLine="4820"/>
        <w:jc w:val="right"/>
        <w:rPr>
          <w:sz w:val="22"/>
          <w:szCs w:val="22"/>
        </w:rPr>
      </w:pPr>
      <w:r>
        <w:rPr>
          <w:sz w:val="22"/>
          <w:szCs w:val="22"/>
        </w:rPr>
      </w:r>
    </w:p>
    <w:p>
      <w:pPr>
        <w:pStyle w:val="Normal"/>
        <w:ind w:firstLine="4820"/>
        <w:jc w:val="right"/>
        <w:rPr>
          <w:sz w:val="22"/>
          <w:szCs w:val="22"/>
        </w:rPr>
      </w:pPr>
      <w:r>
        <w:rPr>
          <w:sz w:val="22"/>
          <w:szCs w:val="22"/>
        </w:rPr>
        <w:t>Приложение № 3</w:t>
      </w:r>
    </w:p>
    <w:p>
      <w:pPr>
        <w:pStyle w:val="Normal"/>
        <w:ind w:firstLine="4820"/>
        <w:jc w:val="right"/>
        <w:rPr>
          <w:sz w:val="22"/>
          <w:szCs w:val="22"/>
        </w:rPr>
      </w:pPr>
      <w:r>
        <w:rPr>
          <w:sz w:val="22"/>
          <w:szCs w:val="22"/>
        </w:rPr>
        <w:t>к Договору поставки</w:t>
      </w:r>
    </w:p>
    <w:p>
      <w:pPr>
        <w:pStyle w:val="Normal"/>
        <w:ind w:firstLine="4820"/>
        <w:jc w:val="right"/>
        <w:rPr>
          <w:sz w:val="22"/>
          <w:szCs w:val="22"/>
        </w:rPr>
      </w:pPr>
      <w:r>
        <w:rPr>
          <w:sz w:val="22"/>
          <w:szCs w:val="22"/>
        </w:rPr>
      </w:r>
    </w:p>
    <w:p>
      <w:pPr>
        <w:pStyle w:val="Normal"/>
        <w:widowControl/>
        <w:shd w:val="clear" w:color="auto" w:fill="FFFFFF"/>
        <w:tabs>
          <w:tab w:val="clear" w:pos="708"/>
          <w:tab w:val="left" w:pos="1418" w:leader="none"/>
        </w:tabs>
        <w:ind w:firstLine="709"/>
        <w:jc w:val="center"/>
        <w:rPr>
          <w:bCs/>
          <w:sz w:val="24"/>
          <w:szCs w:val="24"/>
        </w:rPr>
      </w:pPr>
      <w:r>
        <w:rPr>
          <w:bCs/>
          <w:sz w:val="24"/>
          <w:szCs w:val="24"/>
        </w:rPr>
      </w:r>
    </w:p>
    <w:p>
      <w:pPr>
        <w:pStyle w:val="Normal"/>
        <w:widowControl/>
        <w:ind w:firstLine="709"/>
        <w:rPr>
          <w:sz w:val="24"/>
          <w:szCs w:val="24"/>
          <w:lang w:eastAsia="en-US"/>
        </w:rPr>
      </w:pPr>
      <w:r>
        <w:rPr>
          <w:sz w:val="24"/>
          <w:szCs w:val="24"/>
          <w:lang w:eastAsia="en-US"/>
        </w:rPr>
      </w:r>
    </w:p>
    <w:p>
      <w:pPr>
        <w:pStyle w:val="Normal"/>
        <w:jc w:val="center"/>
        <w:rPr>
          <w:b/>
          <w:bCs/>
          <w:sz w:val="24"/>
          <w:szCs w:val="24"/>
        </w:rPr>
      </w:pPr>
      <w:r>
        <w:rPr>
          <w:b/>
          <w:bCs/>
          <w:sz w:val="24"/>
          <w:szCs w:val="24"/>
        </w:rPr>
        <w:t>Размер ответственности Поставщика за нарушения</w:t>
      </w:r>
    </w:p>
    <w:p>
      <w:pPr>
        <w:pStyle w:val="Normal"/>
        <w:jc w:val="center"/>
        <w:rPr>
          <w:b/>
          <w:bCs/>
          <w:sz w:val="24"/>
          <w:szCs w:val="24"/>
        </w:rPr>
      </w:pPr>
      <w:r>
        <w:rPr>
          <w:b/>
          <w:bCs/>
          <w:sz w:val="24"/>
          <w:szCs w:val="24"/>
        </w:rPr>
        <w:t>пропускного и внутриобъектового режима, требований охраны труда,</w:t>
      </w:r>
    </w:p>
    <w:p>
      <w:pPr>
        <w:pStyle w:val="Normal"/>
        <w:jc w:val="center"/>
        <w:rPr>
          <w:b/>
          <w:sz w:val="24"/>
          <w:szCs w:val="24"/>
        </w:rPr>
      </w:pPr>
      <w:r>
        <w:rPr>
          <w:b/>
          <w:bCs/>
          <w:sz w:val="24"/>
          <w:szCs w:val="24"/>
        </w:rPr>
        <w:t>пожарной и промышленной безопасности</w:t>
      </w:r>
    </w:p>
    <w:p>
      <w:pPr>
        <w:pStyle w:val="Normal"/>
        <w:rPr>
          <w:b/>
          <w:sz w:val="24"/>
          <w:szCs w:val="24"/>
        </w:rPr>
      </w:pPr>
      <w:r>
        <w:rPr>
          <w:b/>
          <w:sz w:val="24"/>
          <w:szCs w:val="24"/>
        </w:rPr>
      </w:r>
    </w:p>
    <w:tbl>
      <w:tblPr>
        <w:tblW w:w="5000" w:type="pct"/>
        <w:jc w:val="left"/>
        <w:tblInd w:w="113" w:type="dxa"/>
        <w:tblLayout w:type="fixed"/>
        <w:tblCellMar>
          <w:top w:w="0" w:type="dxa"/>
          <w:left w:w="108" w:type="dxa"/>
          <w:bottom w:w="0" w:type="dxa"/>
          <w:right w:w="108" w:type="dxa"/>
        </w:tblCellMar>
        <w:tblLook w:val="01e0" w:noHBand="0" w:noVBand="0" w:firstColumn="1" w:lastRow="1" w:lastColumn="1" w:firstRow="1"/>
      </w:tblPr>
      <w:tblGrid>
        <w:gridCol w:w="3959"/>
        <w:gridCol w:w="6023"/>
      </w:tblGrid>
      <w:tr>
        <w:trPr/>
        <w:tc>
          <w:tcPr>
            <w:tcW w:w="3959"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rPr>
            </w:pPr>
            <w:r>
              <w:rPr>
                <w:b/>
                <w:sz w:val="24"/>
                <w:szCs w:val="24"/>
              </w:rPr>
              <w:t>Виды нарушений</w:t>
            </w:r>
          </w:p>
        </w:tc>
        <w:tc>
          <w:tcPr>
            <w:tcW w:w="6023"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rPr>
            </w:pPr>
            <w:r>
              <w:rPr>
                <w:b/>
                <w:sz w:val="24"/>
                <w:szCs w:val="24"/>
              </w:rPr>
              <w:t>Штрафные санкции</w:t>
            </w:r>
          </w:p>
        </w:tc>
      </w:tr>
      <w:tr>
        <w:trPr/>
        <w:tc>
          <w:tcPr>
            <w:tcW w:w="3959"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 Нарушение правил пожарной безопасности (ППБ):</w:t>
            </w:r>
          </w:p>
        </w:tc>
        <w:tc>
          <w:tcPr>
            <w:tcW w:w="6023"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r>
          </w:p>
        </w:tc>
      </w:tr>
      <w:tr>
        <w:trPr/>
        <w:tc>
          <w:tcPr>
            <w:tcW w:w="3959"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1.1. Нарушение ППБ без возникновения пожара</w:t>
            </w:r>
          </w:p>
          <w:p>
            <w:pPr>
              <w:pStyle w:val="Normal"/>
              <w:widowControl w:val="false"/>
              <w:rPr>
                <w:b/>
                <w:sz w:val="24"/>
                <w:szCs w:val="24"/>
              </w:rPr>
            </w:pPr>
            <w:r>
              <w:rPr>
                <w:b/>
                <w:sz w:val="24"/>
                <w:szCs w:val="24"/>
              </w:rPr>
            </w:r>
          </w:p>
        </w:tc>
        <w:tc>
          <w:tcPr>
            <w:tcW w:w="602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25 000 (двадцать пять тысяч) рублей за каждый случай нарушения.</w:t>
            </w:r>
          </w:p>
          <w:p>
            <w:pPr>
              <w:pStyle w:val="Normal"/>
              <w:widowControl w:val="false"/>
              <w:jc w:val="both"/>
              <w:rPr>
                <w:sz w:val="24"/>
                <w:szCs w:val="24"/>
              </w:rPr>
            </w:pPr>
            <w:r>
              <w:rPr>
                <w:sz w:val="24"/>
                <w:szCs w:val="24"/>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trPr/>
        <w:tc>
          <w:tcPr>
            <w:tcW w:w="3959"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1.2. Нарушение ППБ, ставшее причиной возникновения пожара, не причинившего ущерб имуществу Покупателя</w:t>
            </w:r>
          </w:p>
        </w:tc>
        <w:tc>
          <w:tcPr>
            <w:tcW w:w="602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50 000 (пятьдесят тысяч) рублей за каждый случай нарушения.</w:t>
            </w:r>
          </w:p>
          <w:p>
            <w:pPr>
              <w:pStyle w:val="Normal"/>
              <w:widowControl w:val="false"/>
              <w:jc w:val="both"/>
              <w:rPr>
                <w:sz w:val="24"/>
                <w:szCs w:val="24"/>
              </w:rPr>
            </w:pPr>
            <w:r>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trPr/>
        <w:tc>
          <w:tcPr>
            <w:tcW w:w="3959"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1.3. Нарушение ППБ, ставшее причиной возникновения пожара, причинившего ущерб имуществу Покупателя.</w:t>
            </w:r>
          </w:p>
        </w:tc>
        <w:tc>
          <w:tcPr>
            <w:tcW w:w="602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 xml:space="preserve"> </w:t>
            </w:r>
            <w:r>
              <w:rPr>
                <w:sz w:val="24"/>
                <w:szCs w:val="24"/>
              </w:rPr>
              <w:t>250 000 (двести пятьдесят тысяч) рублей за каждый случай нарушения.</w:t>
            </w:r>
          </w:p>
        </w:tc>
      </w:tr>
      <w:tr>
        <w:trPr/>
        <w:tc>
          <w:tcPr>
            <w:tcW w:w="3959"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2.</w:t>
            </w:r>
            <w:r>
              <w:rPr>
                <w:b/>
                <w:sz w:val="24"/>
                <w:szCs w:val="24"/>
              </w:rPr>
              <w:t xml:space="preserve"> </w:t>
            </w:r>
            <w:r>
              <w:rPr>
                <w:sz w:val="24"/>
                <w:szCs w:val="24"/>
              </w:rPr>
              <w:t>Нарушение пропускного и внутриобъектового режима, требований охраны труда, промышленной безопасности, охраны окружающей среды, санитарно-эпидемиологических правил и норм.</w:t>
            </w:r>
          </w:p>
        </w:tc>
        <w:tc>
          <w:tcPr>
            <w:tcW w:w="602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- 50 000 (пятьдесят тысяч) рублей за каждый случай нарушения;</w:t>
            </w:r>
          </w:p>
          <w:p>
            <w:pPr>
              <w:pStyle w:val="Normal"/>
              <w:widowControl w:val="false"/>
              <w:jc w:val="both"/>
              <w:rPr>
                <w:sz w:val="24"/>
                <w:szCs w:val="24"/>
              </w:rPr>
            </w:pPr>
            <w:r>
              <w:rPr>
                <w:sz w:val="24"/>
                <w:szCs w:val="24"/>
              </w:rPr>
              <w:t>- 500 (пятьсот) рублей в случае утраты или приведения в негодность электронного пропуска, выданного Покупателем.</w:t>
            </w:r>
          </w:p>
          <w:p>
            <w:pPr>
              <w:pStyle w:val="Normal"/>
              <w:widowControl w:val="false"/>
              <w:jc w:val="both"/>
              <w:rPr>
                <w:sz w:val="24"/>
                <w:szCs w:val="24"/>
              </w:rPr>
            </w:pPr>
            <w:r>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pPr>
        <w:pStyle w:val="Normal"/>
        <w:ind w:firstLine="709"/>
        <w:rPr>
          <w:sz w:val="24"/>
          <w:szCs w:val="24"/>
        </w:rPr>
      </w:pPr>
      <w:r>
        <w:rPr>
          <w:sz w:val="24"/>
          <w:szCs w:val="24"/>
        </w:rPr>
      </w:r>
    </w:p>
    <w:p>
      <w:pPr>
        <w:pStyle w:val="Normal"/>
        <w:ind w:firstLine="709"/>
        <w:rPr>
          <w:sz w:val="24"/>
          <w:szCs w:val="24"/>
        </w:rPr>
      </w:pPr>
      <w:r>
        <w:rPr>
          <w:sz w:val="24"/>
          <w:szCs w:val="24"/>
        </w:rPr>
      </w:r>
    </w:p>
    <w:tbl>
      <w:tblPr>
        <w:tblW w:w="9781" w:type="dxa"/>
        <w:jc w:val="left"/>
        <w:tblInd w:w="108" w:type="dxa"/>
        <w:tblLayout w:type="fixed"/>
        <w:tblCellMar>
          <w:top w:w="0" w:type="dxa"/>
          <w:left w:w="108" w:type="dxa"/>
          <w:bottom w:w="0" w:type="dxa"/>
          <w:right w:w="108" w:type="dxa"/>
        </w:tblCellMar>
        <w:tblLook w:val="01e0" w:noHBand="0" w:noVBand="0" w:firstColumn="1" w:lastRow="1" w:lastColumn="1" w:firstRow="1"/>
      </w:tblPr>
      <w:tblGrid>
        <w:gridCol w:w="4885"/>
        <w:gridCol w:w="4895"/>
      </w:tblGrid>
      <w:tr>
        <w:trPr/>
        <w:tc>
          <w:tcPr>
            <w:tcW w:w="4885" w:type="dxa"/>
            <w:tcBorders/>
          </w:tcPr>
          <w:p>
            <w:pPr>
              <w:pStyle w:val="Normal"/>
              <w:widowControl w:val="false"/>
              <w:jc w:val="center"/>
              <w:rPr>
                <w:b/>
                <w:bCs/>
              </w:rPr>
            </w:pPr>
            <w:r>
              <w:rPr>
                <w:b/>
                <w:bCs/>
              </w:rPr>
            </w:r>
          </w:p>
          <w:p>
            <w:pPr>
              <w:pStyle w:val="Normal"/>
              <w:widowControl w:val="false"/>
              <w:jc w:val="center"/>
              <w:rPr>
                <w:sz w:val="24"/>
                <w:szCs w:val="24"/>
              </w:rPr>
            </w:pPr>
            <w:r>
              <w:rPr>
                <w:b/>
                <w:bCs/>
                <w:sz w:val="24"/>
                <w:szCs w:val="24"/>
              </w:rPr>
              <w:t xml:space="preserve">                                   </w:t>
            </w:r>
            <w:r>
              <w:rPr>
                <w:b/>
                <w:bCs/>
                <w:sz w:val="24"/>
                <w:szCs w:val="24"/>
              </w:rPr>
              <w:t>ПОДПИСИ СТОРОН:</w:t>
            </w:r>
          </w:p>
          <w:p>
            <w:pPr>
              <w:pStyle w:val="Normal"/>
              <w:widowControl w:val="false"/>
              <w:rPr>
                <w:sz w:val="24"/>
                <w:szCs w:val="24"/>
              </w:rPr>
            </w:pPr>
            <w:r>
              <w:rPr>
                <w:sz w:val="24"/>
                <w:szCs w:val="24"/>
              </w:rPr>
            </w:r>
          </w:p>
          <w:p>
            <w:pPr>
              <w:pStyle w:val="Normal"/>
              <w:widowControl w:val="false"/>
              <w:rPr>
                <w:sz w:val="24"/>
                <w:szCs w:val="24"/>
              </w:rPr>
            </w:pPr>
            <w:r>
              <w:rPr>
                <w:sz w:val="24"/>
                <w:szCs w:val="24"/>
              </w:rPr>
              <w:t>Директор Центрального филиала</w:t>
            </w:r>
          </w:p>
          <w:p>
            <w:pPr>
              <w:pStyle w:val="Normal"/>
              <w:widowControl w:val="false"/>
              <w:rPr>
                <w:sz w:val="24"/>
                <w:szCs w:val="24"/>
              </w:rPr>
            </w:pPr>
            <w:r>
              <w:rPr>
                <w:sz w:val="24"/>
                <w:szCs w:val="24"/>
              </w:rPr>
              <w:t>АО «ТК РусГидро»</w:t>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 / К.А. Михайлов</w:t>
            </w:r>
          </w:p>
        </w:tc>
        <w:tc>
          <w:tcPr>
            <w:tcW w:w="4895" w:type="dxa"/>
            <w:tcBorders/>
          </w:tcPr>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tc>
      </w:tr>
    </w:tbl>
    <w:p>
      <w:pPr>
        <w:pStyle w:val="Normal"/>
        <w:ind w:firstLine="709"/>
        <w:rPr>
          <w:b/>
          <w:bCs/>
          <w:sz w:val="24"/>
          <w:szCs w:val="24"/>
        </w:rPr>
      </w:pPr>
      <w:r>
        <w:rPr>
          <w:b/>
          <w:bCs/>
          <w:sz w:val="24"/>
          <w:szCs w:val="24"/>
        </w:rPr>
      </w:r>
    </w:p>
    <w:p>
      <w:pPr>
        <w:pStyle w:val="Normal"/>
        <w:ind w:firstLine="709"/>
        <w:rPr>
          <w:b/>
          <w:bCs/>
          <w:sz w:val="24"/>
          <w:szCs w:val="24"/>
        </w:rPr>
      </w:pPr>
      <w:r>
        <w:rPr>
          <w:b/>
          <w:bCs/>
          <w:sz w:val="24"/>
          <w:szCs w:val="24"/>
        </w:rPr>
      </w:r>
    </w:p>
    <w:p>
      <w:pPr>
        <w:pStyle w:val="Normal"/>
        <w:rPr>
          <w:b/>
          <w:bCs/>
          <w:sz w:val="24"/>
          <w:szCs w:val="24"/>
        </w:rPr>
      </w:pPr>
      <w:r>
        <w:rPr>
          <w:b/>
          <w:bCs/>
          <w:sz w:val="24"/>
          <w:szCs w:val="24"/>
        </w:rPr>
      </w:r>
    </w:p>
    <w:p>
      <w:pPr>
        <w:pStyle w:val="Normal"/>
        <w:rPr/>
      </w:pPr>
      <w:r>
        <w:rPr/>
      </w:r>
    </w:p>
    <w:p>
      <w:pPr>
        <w:pStyle w:val="Normal"/>
        <w:rPr/>
      </w:pPr>
      <w:r>
        <w:rPr/>
      </w:r>
    </w:p>
    <w:p>
      <w:pPr>
        <w:pStyle w:val="Normal"/>
        <w:rPr/>
      </w:pPr>
      <w:r>
        <w:rPr/>
      </w:r>
    </w:p>
    <w:p>
      <w:pPr>
        <w:pStyle w:val="Normal"/>
        <w:ind w:firstLine="4820"/>
        <w:jc w:val="right"/>
        <w:rPr>
          <w:sz w:val="22"/>
          <w:szCs w:val="22"/>
        </w:rPr>
      </w:pPr>
      <w:r>
        <w:rPr>
          <w:sz w:val="22"/>
          <w:szCs w:val="22"/>
        </w:rPr>
      </w:r>
    </w:p>
    <w:p>
      <w:pPr>
        <w:pStyle w:val="Normal"/>
        <w:ind w:firstLine="4820"/>
        <w:jc w:val="right"/>
        <w:rPr>
          <w:sz w:val="22"/>
          <w:szCs w:val="22"/>
        </w:rPr>
      </w:pPr>
      <w:r>
        <w:rPr>
          <w:sz w:val="22"/>
          <w:szCs w:val="22"/>
        </w:rPr>
      </w:r>
    </w:p>
    <w:p>
      <w:pPr>
        <w:pStyle w:val="Normal"/>
        <w:ind w:firstLine="4820"/>
        <w:jc w:val="right"/>
        <w:rPr>
          <w:sz w:val="22"/>
          <w:szCs w:val="22"/>
        </w:rPr>
      </w:pPr>
      <w:r>
        <w:rPr>
          <w:sz w:val="22"/>
          <w:szCs w:val="22"/>
        </w:rPr>
      </w:r>
    </w:p>
    <w:p>
      <w:pPr>
        <w:pStyle w:val="Normal"/>
        <w:ind w:firstLine="4820"/>
        <w:jc w:val="right"/>
        <w:rPr>
          <w:sz w:val="22"/>
          <w:szCs w:val="22"/>
        </w:rPr>
      </w:pPr>
      <w:r>
        <w:rPr>
          <w:sz w:val="22"/>
          <w:szCs w:val="22"/>
        </w:rPr>
        <w:t>Приложение № 4</w:t>
      </w:r>
    </w:p>
    <w:p>
      <w:pPr>
        <w:pStyle w:val="Normal"/>
        <w:ind w:firstLine="4820"/>
        <w:jc w:val="right"/>
        <w:rPr>
          <w:sz w:val="22"/>
          <w:szCs w:val="22"/>
        </w:rPr>
      </w:pPr>
      <w:r>
        <w:rPr>
          <w:sz w:val="22"/>
          <w:szCs w:val="22"/>
        </w:rPr>
        <w:t>к Договору поставки</w:t>
      </w:r>
    </w:p>
    <w:p>
      <w:pPr>
        <w:pStyle w:val="Normal"/>
        <w:ind w:firstLine="4820"/>
        <w:jc w:val="right"/>
        <w:rPr>
          <w:sz w:val="22"/>
          <w:szCs w:val="22"/>
        </w:rPr>
      </w:pPr>
      <w:r>
        <w:rPr>
          <w:sz w:val="22"/>
          <w:szCs w:val="22"/>
        </w:rPr>
      </w:r>
    </w:p>
    <w:p>
      <w:pPr>
        <w:pStyle w:val="Normal"/>
        <w:jc w:val="center"/>
        <w:rPr>
          <w:sz w:val="24"/>
          <w:szCs w:val="24"/>
        </w:rPr>
      </w:pPr>
      <w:r>
        <w:rPr>
          <w:sz w:val="24"/>
          <w:szCs w:val="24"/>
        </w:rPr>
        <w:t>Техническое задание на поставку МТР</w:t>
      </w:r>
    </w:p>
    <w:p>
      <w:pPr>
        <w:pStyle w:val="Normal"/>
        <w:jc w:val="center"/>
        <w:rPr>
          <w:sz w:val="24"/>
          <w:szCs w:val="24"/>
        </w:rPr>
      </w:pPr>
      <w:r>
        <w:rPr>
          <w:sz w:val="24"/>
          <w:szCs w:val="24"/>
        </w:rPr>
      </w:r>
    </w:p>
    <w:p>
      <w:pPr>
        <w:pStyle w:val="Heading4"/>
        <w:numPr>
          <w:ilvl w:val="0"/>
          <w:numId w:val="0"/>
        </w:numPr>
        <w:ind w:left="0" w:hanging="0"/>
        <w:rPr>
          <w:rFonts w:ascii="Times New Roman" w:hAnsi="Times New Roman"/>
          <w:b/>
          <w:bCs/>
          <w:i w:val="false"/>
          <w:i w:val="false"/>
          <w:iCs w:val="false"/>
          <w:color w:val="000000"/>
          <w:sz w:val="24"/>
          <w:szCs w:val="24"/>
        </w:rPr>
      </w:pPr>
      <w:r>
        <w:rPr/>
      </w:r>
    </w:p>
    <w:sectPr>
      <w:headerReference w:type="default" r:id="rId14"/>
      <w:headerReference w:type="first" r:id="rId15"/>
      <w:footerReference w:type="default" r:id="rId16"/>
      <w:footnotePr>
        <w:numFmt w:val="decimal"/>
      </w:footnotePr>
      <w:type w:val="nextPage"/>
      <w:pgSz w:w="11906" w:h="16838"/>
      <w:pgMar w:left="1217" w:right="706" w:gutter="0" w:header="567" w:top="1134" w:footer="709" w:bottom="1134"/>
      <w:pgNumType w:fmt="decimal"/>
      <w:formProt w:val="false"/>
      <w:textDirection w:val="lrTb"/>
      <w:docGrid w:type="default" w:linePitch="360" w:charSpace="4096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Calibri Light">
    <w:charset w:val="01"/>
    <w:family w:val="roman"/>
    <w:pitch w:val="variable"/>
  </w:font>
  <w:font w:name="Liberation Sans">
    <w:altName w:val="Arial"/>
    <w:charset w:val="01"/>
    <w:family w:val="roman"/>
    <w:pitch w:val="variable"/>
  </w:font>
  <w:font w:name="Courier New">
    <w:charset w:val="01"/>
    <w:family w:val="roman"/>
    <w:pitch w:val="variable"/>
  </w:font>
  <w:font w:name="Tahoma">
    <w:charset w:val="01"/>
    <w:family w:val="roman"/>
    <w:pitch w:val="variable"/>
  </w:font>
  <w:font w:name="Verdana">
    <w:charset w:val="01"/>
    <w:family w:val="roman"/>
    <w:pitch w:val="variable"/>
  </w:font>
  <w:font w:name="Calibri">
    <w:charset w:val="01"/>
    <w:family w:val="roman"/>
    <w:pitch w:val="variable"/>
  </w:font>
  <w:font w:name="Liberation Mono">
    <w:altName w:val="Courier New"/>
    <w:charset w:val="01"/>
    <w:family w:val="roman"/>
    <w:pitch w:val="variable"/>
  </w:font>
  <w:font w:name="Times New              Roman">
    <w:altName w:val="se"/>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sz w:val="22"/>
        <w:szCs w:val="22"/>
      </w:rPr>
      <w:fldChar w:fldCharType="begin"/>
    </w:r>
    <w:r>
      <w:rPr>
        <w:sz w:val="22"/>
        <w:szCs w:val="22"/>
      </w:rPr>
      <w:instrText xml:space="preserve"> PAGE </w:instrText>
    </w:r>
    <w:r>
      <w:rPr>
        <w:sz w:val="22"/>
        <w:szCs w:val="22"/>
      </w:rPr>
      <w:fldChar w:fldCharType="separate"/>
    </w:r>
    <w:r>
      <w:rPr>
        <w:sz w:val="22"/>
        <w:szCs w:val="22"/>
      </w:rPr>
      <w:t>21</w:t>
    </w:r>
    <w:r>
      <w:rPr>
        <w:sz w:val="22"/>
        <w:szCs w:val="22"/>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rPr/>
      </w:pPr>
      <w:r>
        <w:rPr>
          <w:rStyle w:val="Style13"/>
        </w:rPr>
        <w:footnoteRef/>
      </w:r>
      <w:r>
        <w:rPr/>
      </w:r>
    </w:p>
  </w:footnote>
  <w:footnote w:id="3">
    <w:p>
      <w:pPr>
        <w:pStyle w:val="FootnoteText"/>
        <w:jc w:val="both"/>
        <w:rPr/>
      </w:pPr>
      <w:r>
        <w:rPr>
          <w:rStyle w:val="Style13"/>
        </w:rPr>
        <w:footnoteRef/>
      </w:r>
      <w:r>
        <w:rPr/>
        <w:tab/>
        <w:t xml:space="preserve"> В соответствии с Общероссийским классификатором стран мира (утв. Постановлением Госстандарта России от 14.12.2001 N 529-ст.).</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bullet"/>
      <w:lvlText w:val=""/>
      <w:lvlJc w:val="left"/>
      <w:pPr>
        <w:tabs>
          <w:tab w:val="num" w:pos="1778"/>
        </w:tabs>
        <w:ind w:left="1778" w:hanging="360"/>
      </w:pPr>
      <w:rPr>
        <w:rFonts w:ascii="Symbol" w:hAnsi="Symbol" w:cs="Symbol" w:hint="default"/>
      </w:rPr>
    </w:lvl>
    <w:lvl w:ilvl="1">
      <w:start w:val="1"/>
      <w:numFmt w:val="bullet"/>
      <w:lvlText w:val="o"/>
      <w:lvlJc w:val="left"/>
      <w:pPr>
        <w:tabs>
          <w:tab w:val="num" w:pos="2498"/>
        </w:tabs>
        <w:ind w:left="2498" w:hanging="360"/>
      </w:pPr>
      <w:rPr>
        <w:rFonts w:ascii="Courier New" w:hAnsi="Courier New" w:cs="Courier New" w:hint="default"/>
      </w:rPr>
    </w:lvl>
    <w:lvl w:ilvl="2">
      <w:start w:val="1"/>
      <w:numFmt w:val="bullet"/>
      <w:lvlText w:val=""/>
      <w:lvlJc w:val="left"/>
      <w:pPr>
        <w:tabs>
          <w:tab w:val="num" w:pos="3218"/>
        </w:tabs>
        <w:ind w:left="3218" w:hanging="360"/>
      </w:pPr>
      <w:rPr>
        <w:rFonts w:ascii="Wingdings" w:hAnsi="Wingdings" w:cs="Wingdings" w:hint="default"/>
      </w:rPr>
    </w:lvl>
    <w:lvl w:ilvl="3">
      <w:start w:val="1"/>
      <w:numFmt w:val="bullet"/>
      <w:lvlText w:val=""/>
      <w:lvlJc w:val="left"/>
      <w:pPr>
        <w:tabs>
          <w:tab w:val="num" w:pos="3938"/>
        </w:tabs>
        <w:ind w:left="3938" w:hanging="360"/>
      </w:pPr>
      <w:rPr>
        <w:rFonts w:ascii="Symbol" w:hAnsi="Symbol" w:cs="Symbol" w:hint="default"/>
      </w:rPr>
    </w:lvl>
    <w:lvl w:ilvl="4">
      <w:start w:val="1"/>
      <w:numFmt w:val="bullet"/>
      <w:lvlText w:val="o"/>
      <w:lvlJc w:val="left"/>
      <w:pPr>
        <w:tabs>
          <w:tab w:val="num" w:pos="4658"/>
        </w:tabs>
        <w:ind w:left="4658" w:hanging="360"/>
      </w:pPr>
      <w:rPr>
        <w:rFonts w:ascii="Courier New" w:hAnsi="Courier New" w:cs="Courier New" w:hint="default"/>
      </w:rPr>
    </w:lvl>
    <w:lvl w:ilvl="5">
      <w:start w:val="1"/>
      <w:numFmt w:val="bullet"/>
      <w:lvlText w:val=""/>
      <w:lvlJc w:val="left"/>
      <w:pPr>
        <w:tabs>
          <w:tab w:val="num" w:pos="5378"/>
        </w:tabs>
        <w:ind w:left="5378" w:hanging="360"/>
      </w:pPr>
      <w:rPr>
        <w:rFonts w:ascii="Wingdings" w:hAnsi="Wingdings" w:cs="Wingdings" w:hint="default"/>
      </w:rPr>
    </w:lvl>
    <w:lvl w:ilvl="6">
      <w:start w:val="1"/>
      <w:numFmt w:val="bullet"/>
      <w:lvlText w:val=""/>
      <w:lvlJc w:val="left"/>
      <w:pPr>
        <w:tabs>
          <w:tab w:val="num" w:pos="6098"/>
        </w:tabs>
        <w:ind w:left="6098" w:hanging="360"/>
      </w:pPr>
      <w:rPr>
        <w:rFonts w:ascii="Symbol" w:hAnsi="Symbol" w:cs="Symbol" w:hint="default"/>
      </w:rPr>
    </w:lvl>
    <w:lvl w:ilvl="7">
      <w:start w:val="1"/>
      <w:numFmt w:val="bullet"/>
      <w:lvlText w:val="o"/>
      <w:lvlJc w:val="left"/>
      <w:pPr>
        <w:tabs>
          <w:tab w:val="num" w:pos="6818"/>
        </w:tabs>
        <w:ind w:left="6818" w:hanging="360"/>
      </w:pPr>
      <w:rPr>
        <w:rFonts w:ascii="Courier New" w:hAnsi="Courier New" w:cs="Courier New" w:hint="default"/>
      </w:rPr>
    </w:lvl>
    <w:lvl w:ilvl="8">
      <w:start w:val="1"/>
      <w:numFmt w:val="bullet"/>
      <w:lvlText w:val=""/>
      <w:lvlJc w:val="left"/>
      <w:pPr>
        <w:tabs>
          <w:tab w:val="num" w:pos="7538"/>
        </w:tabs>
        <w:ind w:left="7538" w:hanging="360"/>
      </w:pPr>
      <w:rPr>
        <w:rFonts w:ascii="Wingdings" w:hAnsi="Wingdings" w:cs="Wingdings" w:hint="default"/>
      </w:rPr>
    </w:lvl>
  </w:abstractNum>
  <w:abstractNum w:abstractNumId="3">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5">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lvl w:ilvl="0">
      <w:start w:val="4"/>
      <w:numFmt w:val="decimal"/>
      <w:lvlText w:val="%1."/>
      <w:lvlJc w:val="left"/>
      <w:pPr>
        <w:tabs>
          <w:tab w:val="num" w:pos="0"/>
        </w:tabs>
        <w:ind w:left="360" w:hanging="360"/>
      </w:pPr>
      <w:rPr>
        <w:b/>
        <w:rFonts w:ascii="Times New Roman" w:hAnsi="Times New Roman"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8376" w:hanging="720"/>
      </w:pPr>
      <w:rPr>
        <w:rFonts w:cs="Times New Roman"/>
      </w:rPr>
    </w:lvl>
    <w:lvl w:ilvl="3">
      <w:start w:val="1"/>
      <w:numFmt w:val="decimal"/>
      <w:lvlText w:val="%1.%2.%3.%4."/>
      <w:lvlJc w:val="left"/>
      <w:pPr>
        <w:tabs>
          <w:tab w:val="num" w:pos="0"/>
        </w:tabs>
        <w:ind w:left="12204" w:hanging="720"/>
      </w:pPr>
      <w:rPr>
        <w:rFonts w:cs="Times New Roman"/>
      </w:rPr>
    </w:lvl>
    <w:lvl w:ilvl="4">
      <w:start w:val="1"/>
      <w:numFmt w:val="decimal"/>
      <w:lvlText w:val="%1.%2.%3.%4.%5."/>
      <w:lvlJc w:val="left"/>
      <w:pPr>
        <w:tabs>
          <w:tab w:val="num" w:pos="0"/>
        </w:tabs>
        <w:ind w:left="16392" w:hanging="1080"/>
      </w:pPr>
      <w:rPr>
        <w:rFonts w:cs="Times New Roman"/>
      </w:rPr>
    </w:lvl>
    <w:lvl w:ilvl="5">
      <w:start w:val="1"/>
      <w:numFmt w:val="decimal"/>
      <w:lvlText w:val="%1.%2.%3.%4.%5.%6."/>
      <w:lvlJc w:val="left"/>
      <w:pPr>
        <w:tabs>
          <w:tab w:val="num" w:pos="0"/>
        </w:tabs>
        <w:ind w:left="20220" w:hanging="1080"/>
      </w:pPr>
      <w:rPr>
        <w:rFonts w:cs="Times New Roman"/>
      </w:rPr>
    </w:lvl>
    <w:lvl w:ilvl="6">
      <w:start w:val="1"/>
      <w:numFmt w:val="decimal"/>
      <w:lvlText w:val="%1.%2.%3.%4.%5.%6.%7."/>
      <w:lvlJc w:val="left"/>
      <w:pPr>
        <w:tabs>
          <w:tab w:val="num" w:pos="0"/>
        </w:tabs>
        <w:ind w:left="24408" w:hanging="1440"/>
      </w:pPr>
      <w:rPr>
        <w:rFonts w:cs="Times New Roman"/>
      </w:rPr>
    </w:lvl>
    <w:lvl w:ilvl="7">
      <w:start w:val="1"/>
      <w:numFmt w:val="decimal"/>
      <w:lvlText w:val="%1.%2.%3.%4.%5.%6.%7.%8."/>
      <w:lvlJc w:val="left"/>
      <w:pPr>
        <w:tabs>
          <w:tab w:val="num" w:pos="0"/>
        </w:tabs>
        <w:ind w:left="28236" w:hanging="1440"/>
      </w:pPr>
      <w:rPr>
        <w:rFonts w:cs="Times New Roman"/>
      </w:rPr>
    </w:lvl>
    <w:lvl w:ilvl="8">
      <w:start w:val="1"/>
      <w:numFmt w:val="decimal"/>
      <w:lvlText w:val="%1.%2.%3.%4.%5.%6.%7.%8.%9."/>
      <w:lvlJc w:val="left"/>
      <w:pPr>
        <w:tabs>
          <w:tab w:val="num" w:pos="0"/>
        </w:tabs>
        <w:ind w:left="0" w:hanging="1800"/>
      </w:pPr>
      <w:rPr>
        <w:rFonts w:cs="Times New Roman"/>
      </w:rPr>
    </w:lvl>
  </w:abstractNum>
  <w:abstractNum w:abstractNumId="11">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2">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3">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4">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5">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6">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7">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8">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9">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20">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21">
    <w:lvl w:ilvl="0">
      <w:start w:val="2"/>
      <w:numFmt w:val="decimal"/>
      <w:lvlText w:val="%1."/>
      <w:lvlJc w:val="left"/>
      <w:pPr>
        <w:tabs>
          <w:tab w:val="num" w:pos="0"/>
        </w:tabs>
        <w:ind w:left="540" w:hanging="540"/>
      </w:pPr>
      <w:rPr/>
    </w:lvl>
    <w:lvl w:ilvl="1">
      <w:start w:val="3"/>
      <w:numFmt w:val="decimal"/>
      <w:lvlText w:val="%1.%2."/>
      <w:lvlJc w:val="left"/>
      <w:pPr>
        <w:tabs>
          <w:tab w:val="num" w:pos="0"/>
        </w:tabs>
        <w:ind w:left="1107" w:hanging="540"/>
      </w:pPr>
      <w:rPr/>
    </w:lvl>
    <w:lvl w:ilvl="2">
      <w:start w:val="2"/>
      <w:numFmt w:val="decimal"/>
      <w:lvlText w:val="%1.%2.%3."/>
      <w:lvlJc w:val="left"/>
      <w:pPr>
        <w:tabs>
          <w:tab w:val="num" w:pos="0"/>
        </w:tabs>
        <w:ind w:left="1854" w:hanging="720"/>
      </w:pPr>
      <w:rPr/>
    </w:lvl>
    <w:lvl w:ilvl="3">
      <w:start w:val="1"/>
      <w:numFmt w:val="decimal"/>
      <w:lvlText w:val="%1.%2.%3.%4."/>
      <w:lvlJc w:val="left"/>
      <w:pPr>
        <w:tabs>
          <w:tab w:val="num" w:pos="0"/>
        </w:tabs>
        <w:ind w:left="2421" w:hanging="720"/>
      </w:pPr>
      <w:rPr/>
    </w:lvl>
    <w:lvl w:ilvl="4">
      <w:start w:val="1"/>
      <w:numFmt w:val="decimal"/>
      <w:lvlText w:val="%1.%2.%3.%4.%5."/>
      <w:lvlJc w:val="left"/>
      <w:pPr>
        <w:tabs>
          <w:tab w:val="num" w:pos="0"/>
        </w:tabs>
        <w:ind w:left="3348" w:hanging="1080"/>
      </w:pPr>
      <w:rPr/>
    </w:lvl>
    <w:lvl w:ilvl="5">
      <w:start w:val="1"/>
      <w:numFmt w:val="decimal"/>
      <w:lvlText w:val="%1.%2.%3.%4.%5.%6."/>
      <w:lvlJc w:val="left"/>
      <w:pPr>
        <w:tabs>
          <w:tab w:val="num" w:pos="0"/>
        </w:tabs>
        <w:ind w:left="3915" w:hanging="1080"/>
      </w:pPr>
      <w:rPr/>
    </w:lvl>
    <w:lvl w:ilvl="6">
      <w:start w:val="1"/>
      <w:numFmt w:val="decimal"/>
      <w:lvlText w:val="%1.%2.%3.%4.%5.%6.%7."/>
      <w:lvlJc w:val="left"/>
      <w:pPr>
        <w:tabs>
          <w:tab w:val="num" w:pos="0"/>
        </w:tabs>
        <w:ind w:left="4842" w:hanging="1440"/>
      </w:pPr>
      <w:rPr/>
    </w:lvl>
    <w:lvl w:ilvl="7">
      <w:start w:val="1"/>
      <w:numFmt w:val="decimal"/>
      <w:lvlText w:val="%1.%2.%3.%4.%5.%6.%7.%8."/>
      <w:lvlJc w:val="left"/>
      <w:pPr>
        <w:tabs>
          <w:tab w:val="num" w:pos="0"/>
        </w:tabs>
        <w:ind w:left="5409" w:hanging="1440"/>
      </w:pPr>
      <w:rPr/>
    </w:lvl>
    <w:lvl w:ilvl="8">
      <w:start w:val="1"/>
      <w:numFmt w:val="decimal"/>
      <w:lvlText w:val="%1.%2.%3.%4.%5.%6.%7.%8.%9."/>
      <w:lvlJc w:val="left"/>
      <w:pPr>
        <w:tabs>
          <w:tab w:val="num" w:pos="0"/>
        </w:tabs>
        <w:ind w:left="6336" w:hanging="1800"/>
      </w:pPr>
      <w:rPr/>
    </w:lvl>
  </w:abstractNum>
  <w:abstractNum w:abstractNumId="22">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23">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24">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25">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26">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27">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28">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29">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0">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1">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2">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3">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4">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5">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6">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7">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8">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9">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40">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41">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42">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43">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44">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45">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46">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47">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48">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49">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50">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51">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52">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53">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54">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55">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56">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57">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58">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59">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60">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61">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62">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63">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64">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65">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66">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67">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68">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69">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70">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71">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72">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73">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74">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75">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76">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77">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78">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79">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80">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81">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82">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83">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84">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85">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86">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87">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88">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89">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90">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91">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92">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93">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94">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95">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96">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97">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98">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99">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00">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01">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02">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03">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04">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05">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06">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07">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08">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09">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10">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11">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12">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13">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14">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15">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16">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17">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18">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19">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20">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21">
    <w:lvl w:ilvl="0">
      <w:start w:val="1"/>
      <w:numFmt w:val="decimal"/>
      <w:lvlText w:val="%1."/>
      <w:lvlJc w:val="left"/>
      <w:pPr>
        <w:tabs>
          <w:tab w:val="num" w:pos="360"/>
        </w:tabs>
        <w:ind w:left="360" w:hanging="360"/>
      </w:pPr>
      <w:rPr/>
    </w:lvl>
    <w:lvl w:ilvl="1">
      <w:start w:val="1"/>
      <w:numFmt w:val="decimal"/>
      <w:lvlText w:val="%1.%2."/>
      <w:lvlJc w:val="left"/>
      <w:pPr>
        <w:tabs>
          <w:tab w:val="num" w:pos="4260"/>
        </w:tabs>
        <w:ind w:left="4260" w:hanging="432"/>
      </w:pPr>
      <w:rPr>
        <w:sz w:val="24"/>
        <w:b w:val="false"/>
        <w:szCs w:val="24"/>
      </w:rPr>
    </w:lvl>
    <w:lvl w:ilvl="2">
      <w:start w:val="1"/>
      <w:numFmt w:val="decimal"/>
      <w:lvlText w:val="%1.%2.%3."/>
      <w:lvlJc w:val="left"/>
      <w:pPr>
        <w:tabs>
          <w:tab w:val="num" w:pos="4690"/>
        </w:tabs>
        <w:ind w:left="447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1"/>
    <w:lvlOverride w:ilvl="0">
      <w:startOverride w:val="1"/>
    </w:lvlOverride>
  </w:num>
  <w:num w:numId="123">
    <w:abstractNumId w:val="11"/>
  </w:num>
  <w:num w:numId="124">
    <w:abstractNumId w:val="11"/>
  </w:num>
  <w:num w:numId="125">
    <w:abstractNumId w:val="11"/>
  </w:num>
  <w:num w:numId="126">
    <w:abstractNumId w:val="11"/>
  </w:num>
  <w:num w:numId="127">
    <w:abstractNumId w:val="11"/>
  </w:num>
  <w:num w:numId="128">
    <w:abstractNumId w:val="11"/>
  </w:num>
  <w:num w:numId="129">
    <w:abstractNumId w:val="11"/>
  </w:num>
  <w:num w:numId="130">
    <w:abstractNumId w:val="11"/>
  </w:num>
  <w:num w:numId="131">
    <w:abstractNumId w:val="11"/>
  </w:num>
  <w:num w:numId="132">
    <w:abstractNumId w:val="21"/>
    <w:lvlOverride w:ilvl="0">
      <w:startOverride w:val="2"/>
    </w:lvlOverride>
    <w:lvlOverride w:ilvl="1">
      <w:startOverride w:val="3"/>
    </w:lvlOverride>
    <w:lvlOverride w:ilvl="2">
      <w:startOverride w:val="2"/>
    </w:lvlOverride>
  </w:num>
  <w:num w:numId="133">
    <w:abstractNumId w:val="11"/>
  </w:num>
  <w:num w:numId="134">
    <w:abstractNumId w:val="11"/>
  </w:num>
  <w:num w:numId="135">
    <w:abstractNumId w:val="11"/>
  </w:num>
  <w:num w:numId="136">
    <w:abstractNumId w:val="11"/>
  </w:num>
  <w:num w:numId="137">
    <w:abstractNumId w:val="11"/>
  </w:num>
  <w:num w:numId="138">
    <w:abstractNumId w:val="11"/>
  </w:num>
  <w:num w:numId="139">
    <w:abstractNumId w:val="11"/>
  </w:num>
  <w:num w:numId="140">
    <w:abstractNumId w:val="11"/>
  </w:num>
  <w:num w:numId="141">
    <w:abstractNumId w:val="11"/>
  </w:num>
  <w:num w:numId="142">
    <w:abstractNumId w:val="11"/>
  </w:num>
  <w:num w:numId="143">
    <w:abstractNumId w:val="11"/>
  </w:num>
  <w:num w:numId="144">
    <w:abstractNumId w:val="11"/>
  </w:num>
  <w:num w:numId="145">
    <w:abstractNumId w:val="11"/>
  </w:num>
  <w:num w:numId="146">
    <w:abstractNumId w:val="11"/>
  </w:num>
  <w:num w:numId="147">
    <w:abstractNumId w:val="11"/>
  </w:num>
  <w:num w:numId="148">
    <w:abstractNumId w:val="11"/>
  </w:num>
  <w:num w:numId="149">
    <w:abstractNumId w:val="11"/>
  </w:num>
  <w:num w:numId="150">
    <w:abstractNumId w:val="11"/>
  </w:num>
  <w:num w:numId="151">
    <w:abstractNumId w:val="11"/>
  </w:num>
  <w:num w:numId="152">
    <w:abstractNumId w:val="11"/>
  </w:num>
  <w:num w:numId="153">
    <w:abstractNumId w:val="11"/>
  </w:num>
  <w:num w:numId="154">
    <w:abstractNumId w:val="11"/>
  </w:num>
  <w:num w:numId="155">
    <w:abstractNumId w:val="11"/>
  </w:num>
  <w:num w:numId="156">
    <w:abstractNumId w:val="11"/>
  </w:num>
  <w:num w:numId="157">
    <w:abstractNumId w:val="11"/>
  </w:num>
  <w:num w:numId="158">
    <w:abstractNumId w:val="11"/>
  </w:num>
  <w:num w:numId="159">
    <w:abstractNumId w:val="11"/>
  </w:num>
  <w:num w:numId="160">
    <w:abstractNumId w:val="11"/>
  </w:num>
  <w:num w:numId="161">
    <w:abstractNumId w:val="11"/>
  </w:num>
  <w:num w:numId="162">
    <w:abstractNumId w:val="11"/>
  </w:num>
  <w:num w:numId="163">
    <w:abstractNumId w:val="11"/>
  </w:num>
  <w:num w:numId="164">
    <w:abstractNumId w:val="11"/>
  </w:num>
  <w:num w:numId="165">
    <w:abstractNumId w:val="11"/>
  </w:num>
  <w:num w:numId="166">
    <w:abstractNumId w:val="11"/>
  </w:num>
  <w:num w:numId="167">
    <w:abstractNumId w:val="11"/>
  </w:num>
  <w:num w:numId="168">
    <w:abstractNumId w:val="11"/>
  </w:num>
  <w:num w:numId="169">
    <w:abstractNumId w:val="11"/>
  </w:num>
  <w:num w:numId="170">
    <w:abstractNumId w:val="11"/>
  </w:num>
  <w:num w:numId="171">
    <w:abstractNumId w:val="11"/>
  </w:num>
  <w:num w:numId="172">
    <w:abstractNumId w:val="11"/>
  </w:num>
  <w:num w:numId="173">
    <w:abstractNumId w:val="11"/>
  </w:num>
  <w:num w:numId="174">
    <w:abstractNumId w:val="11"/>
  </w:num>
  <w:num w:numId="175">
    <w:abstractNumId w:val="11"/>
  </w:num>
  <w:num w:numId="176">
    <w:abstractNumId w:val="11"/>
  </w:num>
  <w:num w:numId="177">
    <w:abstractNumId w:val="11"/>
  </w:num>
  <w:num w:numId="178">
    <w:abstractNumId w:val="11"/>
  </w:num>
  <w:num w:numId="179">
    <w:abstractNumId w:val="11"/>
  </w:num>
  <w:num w:numId="180">
    <w:abstractNumId w:val="11"/>
  </w:num>
  <w:num w:numId="181">
    <w:abstractNumId w:val="11"/>
  </w:num>
  <w:num w:numId="182">
    <w:abstractNumId w:val="11"/>
  </w:num>
  <w:num w:numId="183">
    <w:abstractNumId w:val="11"/>
  </w:num>
  <w:num w:numId="184">
    <w:abstractNumId w:val="11"/>
  </w:num>
  <w:num w:numId="185">
    <w:abstractNumId w:val="11"/>
  </w:num>
  <w:num w:numId="186">
    <w:abstractNumId w:val="11"/>
  </w:num>
  <w:num w:numId="187">
    <w:abstractNumId w:val="11"/>
  </w:num>
  <w:num w:numId="188">
    <w:abstractNumId w:val="11"/>
  </w:num>
  <w:num w:numId="189">
    <w:abstractNumId w:val="11"/>
  </w:num>
  <w:num w:numId="190">
    <w:abstractNumId w:val="11"/>
  </w:num>
  <w:num w:numId="191">
    <w:abstractNumId w:val="11"/>
  </w:num>
  <w:num w:numId="192">
    <w:abstractNumId w:val="11"/>
  </w:num>
  <w:num w:numId="193">
    <w:abstractNumId w:val="11"/>
  </w:num>
  <w:num w:numId="194">
    <w:abstractNumId w:val="11"/>
  </w:num>
  <w:num w:numId="195">
    <w:abstractNumId w:val="11"/>
  </w:num>
  <w:num w:numId="196">
    <w:abstractNumId w:val="11"/>
  </w:num>
  <w:num w:numId="197">
    <w:abstractNumId w:val="11"/>
  </w:num>
  <w:num w:numId="198">
    <w:abstractNumId w:val="11"/>
  </w:num>
  <w:num w:numId="199">
    <w:abstractNumId w:val="11"/>
  </w:num>
  <w:num w:numId="200">
    <w:abstractNumId w:val="11"/>
  </w:num>
  <w:num w:numId="201">
    <w:abstractNumId w:val="11"/>
  </w:num>
  <w:num w:numId="202">
    <w:abstractNumId w:val="11"/>
  </w:num>
  <w:num w:numId="203">
    <w:abstractNumId w:val="11"/>
  </w:num>
  <w:num w:numId="204">
    <w:abstractNumId w:val="11"/>
  </w:num>
  <w:num w:numId="205">
    <w:abstractNumId w:val="11"/>
  </w:num>
  <w:num w:numId="206">
    <w:abstractNumId w:val="11"/>
  </w:num>
  <w:num w:numId="207">
    <w:abstractNumId w:val="11"/>
  </w:num>
  <w:num w:numId="208">
    <w:abstractNumId w:val="11"/>
  </w:num>
  <w:num w:numId="209">
    <w:abstractNumId w:val="11"/>
  </w:num>
  <w:num w:numId="210">
    <w:abstractNumId w:val="11"/>
  </w:num>
  <w:num w:numId="211">
    <w:abstractNumId w:val="11"/>
  </w:num>
  <w:num w:numId="212">
    <w:abstractNumId w:val="11"/>
  </w:num>
  <w:num w:numId="213">
    <w:abstractNumId w:val="11"/>
  </w:num>
  <w:num w:numId="214">
    <w:abstractNumId w:val="11"/>
  </w:num>
  <w:num w:numId="215">
    <w:abstractNumId w:val="11"/>
  </w:num>
  <w:num w:numId="216">
    <w:abstractNumId w:val="11"/>
  </w:num>
  <w:num w:numId="217">
    <w:abstractNumId w:val="11"/>
  </w:num>
  <w:num w:numId="218">
    <w:abstractNumId w:val="11"/>
  </w:num>
  <w:num w:numId="219">
    <w:abstractNumId w:val="11"/>
  </w:num>
  <w:num w:numId="220">
    <w:abstractNumId w:val="11"/>
  </w:num>
  <w:num w:numId="221">
    <w:abstractNumId w:val="11"/>
  </w:num>
  <w:num w:numId="222">
    <w:abstractNumId w:val="11"/>
  </w:num>
  <w:num w:numId="223">
    <w:abstractNumId w:val="11"/>
  </w:num>
  <w:num w:numId="224">
    <w:abstractNumId w:val="11"/>
  </w:num>
  <w:num w:numId="225">
    <w:abstractNumId w:val="11"/>
  </w:num>
  <w:num w:numId="226">
    <w:abstractNumId w:val="11"/>
  </w:num>
  <w:num w:numId="227">
    <w:abstractNumId w:val="11"/>
  </w:num>
  <w:num w:numId="228">
    <w:abstractNumId w:val="11"/>
  </w:num>
  <w:num w:numId="229">
    <w:abstractNumId w:val="11"/>
  </w:num>
  <w:num w:numId="230">
    <w:abstractNumId w:val="11"/>
  </w:num>
  <w:num w:numId="231">
    <w:abstractNumId w:val="11"/>
  </w:num>
  <w:num w:numId="232">
    <w:abstractNumId w:val="11"/>
  </w:num>
</w:numbering>
</file>

<file path=word/settings.xml><?xml version="1.0" encoding="utf-8"?>
<w:settings xmlns:w="http://schemas.openxmlformats.org/wordprocessingml/2006/main">
  <w:zoom w:percent="90"/>
  <w:defaultTabStop w:val="708"/>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uiPriority="99"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3b206e"/>
    <w:pPr>
      <w:widowControl w:val="false"/>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qFormat/>
    <w:rsid w:val="00a264b0"/>
    <w:pPr>
      <w:keepNext w:val="true"/>
      <w:spacing w:before="240" w:after="60"/>
      <w:outlineLvl w:val="0"/>
    </w:pPr>
    <w:rPr>
      <w:rFonts w:ascii="Arial" w:hAnsi="Arial" w:cs="Arial"/>
      <w:b/>
      <w:bCs/>
      <w:kern w:val="2"/>
      <w:sz w:val="32"/>
      <w:szCs w:val="32"/>
    </w:rPr>
  </w:style>
  <w:style w:type="paragraph" w:styleId="Heading3">
    <w:name w:val="Heading 3"/>
    <w:basedOn w:val="Normal"/>
    <w:next w:val="Normal"/>
    <w:link w:val="31"/>
    <w:qFormat/>
    <w:rsid w:val="001b1bd9"/>
    <w:pPr>
      <w:keepNext w:val="true"/>
      <w:keepLines/>
      <w:spacing w:before="200" w:after="0"/>
      <w:outlineLvl w:val="2"/>
    </w:pPr>
    <w:rPr>
      <w:rFonts w:ascii="Cambria" w:hAnsi="Cambria"/>
      <w:b/>
      <w:bCs/>
      <w:color w:val="4F81BD"/>
      <w:lang w:val="x-none" w:eastAsia="x-none"/>
    </w:rPr>
  </w:style>
  <w:style w:type="paragraph" w:styleId="Heading4">
    <w:name w:val="Heading 4"/>
    <w:basedOn w:val="Normal"/>
    <w:next w:val="Normal"/>
    <w:link w:val="4"/>
    <w:semiHidden/>
    <w:unhideWhenUsed/>
    <w:qFormat/>
    <w:rsid w:val="00d66689"/>
    <w:pPr>
      <w:keepNext w:val="true"/>
      <w:keepLines/>
      <w:spacing w:before="40" w:after="0"/>
      <w:outlineLvl w:val="3"/>
    </w:pPr>
    <w:rPr>
      <w:rFonts w:ascii="Calibri Light" w:hAnsi="Calibri Light" w:eastAsia="" w:cs="" w:asciiTheme="majorHAnsi" w:cstheme="majorBidi" w:eastAsiaTheme="majorEastAsia" w:hAnsiTheme="majorHAnsi"/>
      <w:i/>
      <w:iCs/>
      <w:color w:val="2E74B5" w:themeColor="accent1" w:themeShade="bf"/>
    </w:rPr>
  </w:style>
  <w:style w:type="character" w:styleId="DefaultParagraphFont" w:default="1">
    <w:name w:val="Default Paragraph Font"/>
    <w:uiPriority w:val="1"/>
    <w:semiHidden/>
    <w:unhideWhenUsed/>
    <w:qFormat/>
    <w:rPr/>
  </w:style>
  <w:style w:type="character" w:styleId="Style6" w:customStyle="1">
    <w:name w:val="Заголовок Знак"/>
    <w:qFormat/>
    <w:locked/>
    <w:rsid w:val="00565582"/>
    <w:rPr>
      <w:b/>
      <w:bCs/>
      <w:sz w:val="24"/>
      <w:szCs w:val="24"/>
      <w:lang w:val="ru-RU" w:eastAsia="ru-RU" w:bidi="ar-SA"/>
    </w:rPr>
  </w:style>
  <w:style w:type="character" w:styleId="Style7" w:customStyle="1">
    <w:name w:val="Основной текст Знак"/>
    <w:qFormat/>
    <w:rsid w:val="00565582"/>
    <w:rPr>
      <w:lang w:val="ru-RU" w:eastAsia="ru-RU" w:bidi="ar-SA"/>
    </w:rPr>
  </w:style>
  <w:style w:type="character" w:styleId="Pagenumber">
    <w:name w:val="page number"/>
    <w:basedOn w:val="DefaultParagraphFont"/>
    <w:qFormat/>
    <w:rsid w:val="008b02a1"/>
    <w:rPr/>
  </w:style>
  <w:style w:type="character" w:styleId="3" w:customStyle="1">
    <w:name w:val="Основной текст 3 Знак"/>
    <w:link w:val="BodyText3"/>
    <w:qFormat/>
    <w:rsid w:val="005a0965"/>
    <w:rPr>
      <w:sz w:val="16"/>
      <w:szCs w:val="16"/>
    </w:rPr>
  </w:style>
  <w:style w:type="character" w:styleId="Annotationreference">
    <w:name w:val="annotation reference"/>
    <w:qFormat/>
    <w:rsid w:val="00d36934"/>
    <w:rPr>
      <w:sz w:val="16"/>
      <w:szCs w:val="16"/>
    </w:rPr>
  </w:style>
  <w:style w:type="character" w:styleId="Style8" w:customStyle="1">
    <w:name w:val="Текст примечания Знак"/>
    <w:basedOn w:val="DefaultParagraphFont"/>
    <w:link w:val="Annotationtext"/>
    <w:qFormat/>
    <w:rsid w:val="00d36934"/>
    <w:rPr/>
  </w:style>
  <w:style w:type="character" w:styleId="Style9" w:customStyle="1">
    <w:name w:val="Тема примечания Знак"/>
    <w:link w:val="Annotationsubject"/>
    <w:qFormat/>
    <w:rsid w:val="00d36934"/>
    <w:rPr>
      <w:b/>
      <w:bCs/>
    </w:rPr>
  </w:style>
  <w:style w:type="character" w:styleId="31" w:customStyle="1">
    <w:name w:val="Заголовок 3 Знак"/>
    <w:semiHidden/>
    <w:qFormat/>
    <w:rsid w:val="001b1bd9"/>
    <w:rPr>
      <w:rFonts w:ascii="Cambria" w:hAnsi="Cambria" w:eastAsia="Times New Roman" w:cs="Times New Roman"/>
      <w:b/>
      <w:bCs/>
      <w:color w:val="4F81BD"/>
    </w:rPr>
  </w:style>
  <w:style w:type="character" w:styleId="Style10" w:customStyle="1">
    <w:name w:val="Основной текст с отступом Знак"/>
    <w:basedOn w:val="DefaultParagraphFont"/>
    <w:qFormat/>
    <w:rsid w:val="00e00bca"/>
    <w:rPr/>
  </w:style>
  <w:style w:type="character" w:styleId="Style11" w:customStyle="1">
    <w:name w:val="комментарий"/>
    <w:uiPriority w:val="99"/>
    <w:qFormat/>
    <w:rsid w:val="00d562c0"/>
    <w:rPr>
      <w:rFonts w:cs="Times New Roman"/>
      <w:b/>
      <w:bCs/>
      <w:i/>
      <w:iCs/>
      <w:shd w:fill="FFFF99" w:val="clear"/>
    </w:rPr>
  </w:style>
  <w:style w:type="character" w:styleId="Style12" w:customStyle="1">
    <w:name w:val="Текст сноски Знак"/>
    <w:basedOn w:val="DefaultParagraphFont"/>
    <w:uiPriority w:val="99"/>
    <w:qFormat/>
    <w:rsid w:val="00f47c6a"/>
    <w:rPr/>
  </w:style>
  <w:style w:type="character" w:styleId="Style13" w:customStyle="1">
    <w:name w:val="Символ сноски"/>
    <w:qFormat/>
    <w:rsid w:val="00f47c6a"/>
    <w:rPr>
      <w:vertAlign w:val="superscript"/>
    </w:rPr>
  </w:style>
  <w:style w:type="character" w:styleId="FootnoteReference">
    <w:name w:val="Footnote Reference"/>
    <w:rPr>
      <w:vertAlign w:val="superscript"/>
    </w:rPr>
  </w:style>
  <w:style w:type="character" w:styleId="Style14" w:customStyle="1">
    <w:name w:val="Верхний колонтитул Знак"/>
    <w:basedOn w:val="DefaultParagraphFont"/>
    <w:uiPriority w:val="99"/>
    <w:qFormat/>
    <w:rsid w:val="000449a5"/>
    <w:rPr/>
  </w:style>
  <w:style w:type="character" w:styleId="Hyperlink">
    <w:name w:val="Hyperlink"/>
    <w:rsid w:val="005e6f32"/>
    <w:rPr>
      <w:color w:val="0000FF"/>
      <w:u w:val="single"/>
    </w:rPr>
  </w:style>
  <w:style w:type="character" w:styleId="Style15" w:customStyle="1">
    <w:name w:val="Нижний колонтитул Знак"/>
    <w:uiPriority w:val="99"/>
    <w:qFormat/>
    <w:rsid w:val="00d925fb"/>
    <w:rPr/>
  </w:style>
  <w:style w:type="character" w:styleId="Style16" w:customStyle="1">
    <w:name w:val="Название Знак"/>
    <w:qFormat/>
    <w:rsid w:val="0095682b"/>
    <w:rPr>
      <w:b/>
      <w:bCs/>
      <w:sz w:val="24"/>
      <w:szCs w:val="24"/>
    </w:rPr>
  </w:style>
  <w:style w:type="character" w:styleId="Style17" w:customStyle="1">
    <w:name w:val="Абзац списка Знак"/>
    <w:link w:val="ListParagraph"/>
    <w:uiPriority w:val="34"/>
    <w:qFormat/>
    <w:locked/>
    <w:rsid w:val="00725d08"/>
    <w:rPr/>
  </w:style>
  <w:style w:type="character" w:styleId="Style18" w:customStyle="1">
    <w:name w:val="Символ концевой сноски"/>
    <w:qFormat/>
    <w:rPr>
      <w:vertAlign w:val="superscript"/>
    </w:rPr>
  </w:style>
  <w:style w:type="character" w:styleId="EndnoteReference">
    <w:name w:val="Endnote Reference"/>
    <w:rPr>
      <w:vertAlign w:val="superscript"/>
    </w:rPr>
  </w:style>
  <w:style w:type="character" w:styleId="4" w:customStyle="1">
    <w:name w:val="Заголовок 4 Знак"/>
    <w:basedOn w:val="DefaultParagraphFont"/>
    <w:semiHidden/>
    <w:qFormat/>
    <w:rsid w:val="00d66689"/>
    <w:rPr>
      <w:rFonts w:ascii="Calibri Light" w:hAnsi="Calibri Light" w:eastAsia="" w:cs="" w:asciiTheme="majorHAnsi" w:cstheme="majorBidi" w:eastAsiaTheme="majorEastAsia" w:hAnsiTheme="majorHAnsi"/>
      <w:i/>
      <w:iCs/>
      <w:color w:val="2E74B5" w:themeColor="accent1" w:themeShade="bf"/>
    </w:rPr>
  </w:style>
  <w:style w:type="character" w:styleId="Style19" w:customStyle="1">
    <w:name w:val="Символ нумерации"/>
    <w:qFormat/>
    <w:rPr/>
  </w:style>
  <w:style w:type="character" w:styleId="Strong">
    <w:name w:val="Strong"/>
    <w:qFormat/>
    <w:rPr>
      <w:b/>
      <w:bCs/>
    </w:rPr>
  </w:style>
  <w:style w:type="character" w:styleId="Style20">
    <w:name w:val="Основной шрифт абзаца"/>
    <w:qFormat/>
    <w:rPr/>
  </w:style>
  <w:style w:type="paragraph" w:styleId="Style21">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7"/>
    <w:rsid w:val="00084bde"/>
    <w:pPr>
      <w:spacing w:before="0" w:after="12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22">
    <w:name w:val="Указатель"/>
    <w:basedOn w:val="Normal"/>
    <w:qFormat/>
    <w:pPr>
      <w:suppressLineNumbers/>
    </w:pPr>
    <w:rPr/>
  </w:style>
  <w:style w:type="paragraph" w:styleId="Title">
    <w:name w:val="Title"/>
    <w:basedOn w:val="Normal"/>
    <w:next w:val="BodyText"/>
    <w:link w:val="Style6"/>
    <w:qFormat/>
    <w:rsid w:val="00a264b0"/>
    <w:pPr>
      <w:jc w:val="center"/>
    </w:pPr>
    <w:rPr>
      <w:b/>
      <w:bCs/>
      <w:sz w:val="24"/>
      <w:szCs w:val="24"/>
    </w:rPr>
  </w:style>
  <w:style w:type="paragraph" w:styleId="Caption1">
    <w:name w:val="caption1"/>
    <w:basedOn w:val="Normal"/>
    <w:qFormat/>
    <w:pPr>
      <w:suppressLineNumbers/>
      <w:spacing w:before="120" w:after="120"/>
    </w:pPr>
    <w:rPr>
      <w:i/>
      <w:iCs/>
      <w:sz w:val="24"/>
      <w:szCs w:val="24"/>
    </w:rPr>
  </w:style>
  <w:style w:type="paragraph" w:styleId="Indexheading">
    <w:name w:val="index heading"/>
    <w:basedOn w:val="Normal"/>
    <w:qFormat/>
    <w:pPr>
      <w:suppressLineNumbers/>
    </w:pPr>
    <w:rPr/>
  </w:style>
  <w:style w:type="paragraph" w:styleId="Caption11" w:customStyle="1">
    <w:name w:val="caption11"/>
    <w:basedOn w:val="Normal"/>
    <w:qFormat/>
    <w:pPr>
      <w:suppressLineNumbers/>
      <w:spacing w:before="120" w:after="120"/>
    </w:pPr>
    <w:rPr>
      <w:i/>
      <w:iCs/>
      <w:sz w:val="24"/>
      <w:szCs w:val="24"/>
    </w:rPr>
  </w:style>
  <w:style w:type="paragraph" w:styleId="Caption111" w:customStyle="1">
    <w:name w:val="caption111"/>
    <w:basedOn w:val="Normal"/>
    <w:qFormat/>
    <w:pPr>
      <w:suppressLineNumbers/>
      <w:spacing w:before="120" w:after="120"/>
    </w:pPr>
    <w:rPr>
      <w:i/>
      <w:iCs/>
      <w:sz w:val="24"/>
      <w:szCs w:val="24"/>
    </w:rPr>
  </w:style>
  <w:style w:type="paragraph" w:styleId="Caption1111" w:customStyle="1">
    <w:name w:val="caption1111"/>
    <w:basedOn w:val="Normal"/>
    <w:qFormat/>
    <w:pPr>
      <w:suppressLineNumbers/>
      <w:spacing w:before="120" w:after="120"/>
    </w:pPr>
    <w:rPr>
      <w:i/>
      <w:iCs/>
      <w:sz w:val="24"/>
      <w:szCs w:val="24"/>
    </w:rPr>
  </w:style>
  <w:style w:type="paragraph" w:styleId="Style23" w:customStyle="1">
    <w:name w:val="Таблицы (моноширинный)"/>
    <w:basedOn w:val="Normal"/>
    <w:next w:val="Normal"/>
    <w:qFormat/>
    <w:rsid w:val="00a264b0"/>
    <w:pPr>
      <w:jc w:val="both"/>
    </w:pPr>
    <w:rPr>
      <w:rFonts w:ascii="Courier New" w:hAnsi="Courier New" w:cs="Courier New"/>
    </w:rPr>
  </w:style>
  <w:style w:type="paragraph" w:styleId="BodyTextIndent2">
    <w:name w:val="Body Text Indent 2"/>
    <w:basedOn w:val="Normal"/>
    <w:qFormat/>
    <w:rsid w:val="00a264b0"/>
    <w:pPr>
      <w:ind w:left="1843" w:hanging="0"/>
      <w:jc w:val="both"/>
    </w:pPr>
    <w:rPr>
      <w:sz w:val="24"/>
    </w:rPr>
  </w:style>
  <w:style w:type="paragraph" w:styleId="BalloonText">
    <w:name w:val="Balloon Text"/>
    <w:basedOn w:val="Normal"/>
    <w:semiHidden/>
    <w:qFormat/>
    <w:rsid w:val="00080acb"/>
    <w:pPr/>
    <w:rPr>
      <w:rFonts w:ascii="Tahoma" w:hAnsi="Tahoma" w:cs="Tahoma"/>
      <w:sz w:val="16"/>
      <w:szCs w:val="16"/>
    </w:rPr>
  </w:style>
  <w:style w:type="paragraph" w:styleId="BodyText2">
    <w:name w:val="Body Text 2"/>
    <w:basedOn w:val="Normal"/>
    <w:qFormat/>
    <w:rsid w:val="006257f9"/>
    <w:pPr>
      <w:widowControl/>
      <w:spacing w:lineRule="auto" w:line="480" w:before="0" w:after="120"/>
    </w:pPr>
    <w:rPr>
      <w:sz w:val="24"/>
      <w:szCs w:val="24"/>
    </w:rPr>
  </w:style>
  <w:style w:type="paragraph" w:styleId="Style24" w:customStyle="1">
    <w:name w:val="Колонтитул"/>
    <w:basedOn w:val="Normal"/>
    <w:qFormat/>
    <w:pPr/>
    <w:rPr/>
  </w:style>
  <w:style w:type="paragraph" w:styleId="Footer">
    <w:name w:val="Footer"/>
    <w:basedOn w:val="Normal"/>
    <w:link w:val="Style15"/>
    <w:uiPriority w:val="99"/>
    <w:rsid w:val="008b02a1"/>
    <w:pPr>
      <w:tabs>
        <w:tab w:val="clear" w:pos="708"/>
        <w:tab w:val="center" w:pos="4677" w:leader="none"/>
        <w:tab w:val="right" w:pos="9355" w:leader="none"/>
      </w:tabs>
    </w:pPr>
    <w:rPr/>
  </w:style>
  <w:style w:type="paragraph" w:styleId="BodyText3">
    <w:name w:val="Body Text 3"/>
    <w:basedOn w:val="Normal"/>
    <w:link w:val="3"/>
    <w:qFormat/>
    <w:rsid w:val="005a0965"/>
    <w:pPr>
      <w:spacing w:before="0" w:after="120"/>
    </w:pPr>
    <w:rPr>
      <w:sz w:val="16"/>
      <w:szCs w:val="16"/>
      <w:lang w:val="x-none" w:eastAsia="x-none"/>
    </w:rPr>
  </w:style>
  <w:style w:type="paragraph" w:styleId="Annotationtext">
    <w:name w:val="annotation text"/>
    <w:basedOn w:val="Normal"/>
    <w:link w:val="Style8"/>
    <w:qFormat/>
    <w:rsid w:val="00d36934"/>
    <w:pPr/>
    <w:rPr/>
  </w:style>
  <w:style w:type="paragraph" w:styleId="Annotationsubject">
    <w:name w:val="annotation subject"/>
    <w:basedOn w:val="Annotationtext"/>
    <w:next w:val="Annotationtext"/>
    <w:link w:val="Style9"/>
    <w:qFormat/>
    <w:rsid w:val="00d36934"/>
    <w:pPr/>
    <w:rPr>
      <w:b/>
      <w:bCs/>
      <w:lang w:val="x-none" w:eastAsia="x-none"/>
    </w:rPr>
  </w:style>
  <w:style w:type="paragraph" w:styleId="ListParagraph">
    <w:name w:val="List Paragraph"/>
    <w:basedOn w:val="Normal"/>
    <w:link w:val="Style17"/>
    <w:uiPriority w:val="34"/>
    <w:qFormat/>
    <w:rsid w:val="00ec6e7d"/>
    <w:pPr>
      <w:spacing w:before="0" w:after="0"/>
      <w:ind w:left="720" w:hanging="0"/>
      <w:contextualSpacing/>
    </w:pPr>
    <w:rPr/>
  </w:style>
  <w:style w:type="paragraph" w:styleId="Style25" w:customStyle="1">
    <w:name w:val="Знак Знак Знак Знак Знак Знак Знак Знак Знак"/>
    <w:basedOn w:val="Normal"/>
    <w:uiPriority w:val="99"/>
    <w:qFormat/>
    <w:rsid w:val="00d31bfd"/>
    <w:pPr>
      <w:widowControl/>
      <w:spacing w:lineRule="exact" w:line="240" w:before="0" w:after="160"/>
      <w:jc w:val="both"/>
    </w:pPr>
    <w:rPr>
      <w:rFonts w:ascii="Verdana" w:hAnsi="Verdana"/>
      <w:sz w:val="22"/>
      <w:lang w:val="en-US" w:eastAsia="en-US"/>
    </w:rPr>
  </w:style>
  <w:style w:type="paragraph" w:styleId="Style26" w:customStyle="1">
    <w:name w:val="Подпункт договора"/>
    <w:basedOn w:val="Normal"/>
    <w:qFormat/>
    <w:rsid w:val="00d31bfd"/>
    <w:pPr>
      <w:widowControl/>
      <w:tabs>
        <w:tab w:val="clear" w:pos="708"/>
        <w:tab w:val="left" w:pos="360" w:leader="none"/>
      </w:tabs>
      <w:jc w:val="both"/>
    </w:pPr>
    <w:rPr>
      <w:rFonts w:ascii="Arial" w:hAnsi="Arial"/>
    </w:rPr>
  </w:style>
  <w:style w:type="paragraph" w:styleId="ConsNormal" w:customStyle="1">
    <w:name w:val="ConsNormal"/>
    <w:qFormat/>
    <w:rsid w:val="00b53021"/>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BodyTextIndent">
    <w:name w:val="Body Text Indent"/>
    <w:basedOn w:val="Normal"/>
    <w:link w:val="Style10"/>
    <w:rsid w:val="00e00bca"/>
    <w:pPr>
      <w:spacing w:before="0" w:after="120"/>
      <w:ind w:left="283" w:hanging="0"/>
    </w:pPr>
    <w:rPr/>
  </w:style>
  <w:style w:type="paragraph" w:styleId="Style27" w:customStyle="1">
    <w:name w:val="Знак"/>
    <w:basedOn w:val="Normal"/>
    <w:qFormat/>
    <w:rsid w:val="00d562c0"/>
    <w:pPr>
      <w:widowControl/>
      <w:spacing w:lineRule="exact" w:line="240" w:before="0" w:after="160"/>
    </w:pPr>
    <w:rPr>
      <w:rFonts w:ascii="Verdana" w:hAnsi="Verdana" w:cs="Verdana"/>
      <w:lang w:val="en-US" w:eastAsia="en-US"/>
    </w:rPr>
  </w:style>
  <w:style w:type="paragraph" w:styleId="FootnoteText">
    <w:name w:val="Footnote Text"/>
    <w:basedOn w:val="Normal"/>
    <w:link w:val="Style12"/>
    <w:rsid w:val="00f47c6a"/>
    <w:pPr/>
    <w:rPr/>
  </w:style>
  <w:style w:type="paragraph" w:styleId="ListBullet3">
    <w:name w:val="List Bullet 3"/>
    <w:basedOn w:val="Normal"/>
    <w:uiPriority w:val="99"/>
    <w:unhideWhenUsed/>
    <w:qFormat/>
    <w:rsid w:val="00fa3bf9"/>
    <w:pPr>
      <w:widowControl/>
      <w:tabs>
        <w:tab w:val="clear" w:pos="708"/>
        <w:tab w:val="left" w:pos="1418" w:leader="none"/>
      </w:tabs>
      <w:spacing w:lineRule="auto" w:line="360" w:before="120" w:after="0"/>
      <w:ind w:firstLine="720"/>
      <w:jc w:val="both"/>
    </w:pPr>
    <w:rPr>
      <w:rFonts w:eastAsia="Calibri"/>
      <w:i/>
      <w:iCs/>
      <w:sz w:val="24"/>
      <w:szCs w:val="24"/>
    </w:rPr>
  </w:style>
  <w:style w:type="paragraph" w:styleId="-" w:customStyle="1">
    <w:name w:val="Контракт-пункт"/>
    <w:basedOn w:val="Normal"/>
    <w:qFormat/>
    <w:rsid w:val="00fa3bf9"/>
    <w:pPr>
      <w:widowControl/>
      <w:tabs>
        <w:tab w:val="clear" w:pos="708"/>
        <w:tab w:val="left" w:pos="851" w:leader="none"/>
      </w:tabs>
      <w:spacing w:lineRule="auto" w:line="360"/>
      <w:ind w:left="851" w:hanging="851"/>
      <w:jc w:val="both"/>
    </w:pPr>
    <w:rPr>
      <w:rFonts w:eastAsia="Calibri"/>
      <w:sz w:val="28"/>
      <w:szCs w:val="28"/>
    </w:rPr>
  </w:style>
  <w:style w:type="paragraph" w:styleId="DocumentMap">
    <w:name w:val="Document Map"/>
    <w:basedOn w:val="Normal"/>
    <w:semiHidden/>
    <w:qFormat/>
    <w:rsid w:val="00936d2a"/>
    <w:pPr>
      <w:shd w:val="clear" w:color="auto" w:fill="000080"/>
    </w:pPr>
    <w:rPr>
      <w:rFonts w:ascii="Tahoma" w:hAnsi="Tahoma" w:cs="Tahoma"/>
    </w:rPr>
  </w:style>
  <w:style w:type="paragraph" w:styleId="Revision">
    <w:name w:val="Revision"/>
    <w:uiPriority w:val="99"/>
    <w:semiHidden/>
    <w:qFormat/>
    <w:rsid w:val="00f2582e"/>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er">
    <w:name w:val="Header"/>
    <w:basedOn w:val="Normal"/>
    <w:link w:val="Style14"/>
    <w:uiPriority w:val="99"/>
    <w:rsid w:val="000449a5"/>
    <w:pPr>
      <w:tabs>
        <w:tab w:val="clear" w:pos="708"/>
        <w:tab w:val="center" w:pos="4677" w:leader="none"/>
        <w:tab w:val="right" w:pos="9355" w:leader="none"/>
      </w:tabs>
    </w:pPr>
    <w:rPr/>
  </w:style>
  <w:style w:type="paragraph" w:styleId="Style28" w:customStyle="1">
    <w:name w:val="Пункт договора"/>
    <w:basedOn w:val="Normal"/>
    <w:qFormat/>
    <w:rsid w:val="00e65842"/>
    <w:pPr>
      <w:jc w:val="both"/>
    </w:pPr>
    <w:rPr>
      <w:rFonts w:ascii="Arial" w:hAnsi="Arial"/>
    </w:rPr>
  </w:style>
  <w:style w:type="paragraph" w:styleId="1" w:customStyle="1">
    <w:name w:val="Знак Знак Знак Знак Знак Знак Знак Знак Знак1"/>
    <w:basedOn w:val="Normal"/>
    <w:qFormat/>
    <w:rsid w:val="007d41d8"/>
    <w:pPr>
      <w:widowControl/>
      <w:spacing w:lineRule="exact" w:line="240" w:before="0" w:after="160"/>
      <w:jc w:val="both"/>
    </w:pPr>
    <w:rPr>
      <w:rFonts w:ascii="Verdana" w:hAnsi="Verdana"/>
      <w:sz w:val="22"/>
      <w:lang w:val="en-US" w:eastAsia="en-US"/>
    </w:rPr>
  </w:style>
  <w:style w:type="paragraph" w:styleId="11" w:customStyle="1">
    <w:name w:val="Обычный1"/>
    <w:qFormat/>
    <w:rsid w:val="0073039c"/>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ConsPlusNormal" w:customStyle="1">
    <w:name w:val="ConsPlusNormal"/>
    <w:qFormat/>
    <w:rsid w:val="00a510bb"/>
    <w:pPr>
      <w:widowControl w:val="false"/>
      <w:suppressAutoHyphens w:val="true"/>
      <w:bidi w:val="0"/>
      <w:spacing w:before="0" w:after="0"/>
      <w:jc w:val="left"/>
    </w:pPr>
    <w:rPr>
      <w:rFonts w:ascii="Calibri" w:hAnsi="Calibri" w:eastAsia="Times New Roman" w:cs="Calibri"/>
      <w:color w:val="auto"/>
      <w:kern w:val="0"/>
      <w:sz w:val="22"/>
      <w:szCs w:val="20"/>
      <w:lang w:val="ru-RU" w:eastAsia="ru-RU" w:bidi="ar-SA"/>
    </w:rPr>
  </w:style>
  <w:style w:type="paragraph" w:styleId="NormalWeb">
    <w:name w:val="Normal (Web)"/>
    <w:basedOn w:val="Normal"/>
    <w:uiPriority w:val="99"/>
    <w:unhideWhenUsed/>
    <w:qFormat/>
    <w:rsid w:val="003e7f9e"/>
    <w:pPr>
      <w:widowControl/>
      <w:spacing w:beforeAutospacing="1" w:afterAutospacing="1"/>
    </w:pPr>
    <w:rPr>
      <w:sz w:val="24"/>
      <w:szCs w:val="24"/>
    </w:rPr>
  </w:style>
  <w:style w:type="paragraph" w:styleId="Style29" w:customStyle="1">
    <w:name w:val="Содержимое таблицы"/>
    <w:basedOn w:val="Normal"/>
    <w:qFormat/>
    <w:pPr>
      <w:suppressLineNumbers/>
    </w:pPr>
    <w:rPr/>
  </w:style>
  <w:style w:type="paragraph" w:styleId="Style30" w:customStyle="1">
    <w:name w:val="Заголовок таблицы"/>
    <w:basedOn w:val="Style29"/>
    <w:qFormat/>
    <w:pPr>
      <w:jc w:val="center"/>
    </w:pPr>
    <w:rPr>
      <w:b/>
      <w:bCs/>
    </w:rPr>
  </w:style>
  <w:style w:type="paragraph" w:styleId="Style31" w:customStyle="1">
    <w:name w:val="Текст в заданном формате"/>
    <w:basedOn w:val="Normal"/>
    <w:qFormat/>
    <w:pPr/>
    <w:rPr>
      <w:rFonts w:ascii="Liberation Mono" w:hAnsi="Liberation Mono" w:eastAsia="Liberation Mono" w:cs="Liberation Mono"/>
    </w:rPr>
  </w:style>
  <w:style w:type="paragraph" w:styleId="Style32">
    <w:name w:val="Таблица шапка"/>
    <w:basedOn w:val="Normal"/>
    <w:qFormat/>
    <w:pPr>
      <w:keepNext w:val="true"/>
      <w:spacing w:before="40" w:after="40"/>
      <w:ind w:left="57" w:right="57" w:hanging="0"/>
    </w:pPr>
    <w:rPr>
      <w:sz w:val="22"/>
      <w:szCs w:val="26"/>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ff">
    <w:name w:val="Table Grid"/>
    <w:basedOn w:val="a1"/>
    <w:uiPriority w:val="39"/>
    <w:rsid w:val="00084bd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yperlink" Target="consultantplus://offline/ref=94D5CE8889791A29DE57299515463A9D6134D8237B999C803E6F853513x2A2P" TargetMode="External"/><Relationship Id="rId4" Type="http://schemas.openxmlformats.org/officeDocument/2006/relationships/hyperlink" Target="consultantplus://offline/ref=94D5CE8889791A29DE57299515463A9D6135D2287D929C803E6F853513x2A2P" TargetMode="External"/><Relationship Id="rId5" Type="http://schemas.openxmlformats.org/officeDocument/2006/relationships/hyperlink" Target="consultantplus://offline/ref=79440D5123ABA6A25F43346AB59DBAAC7032C8E1556DA64FAED62E167F76889C2B7C475C32EFC59BJ8rDH" TargetMode="Externa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header" Target="header6.xml"/><Relationship Id="rId11" Type="http://schemas.openxmlformats.org/officeDocument/2006/relationships/header" Target="header7.xml"/><Relationship Id="rId12" Type="http://schemas.openxmlformats.org/officeDocument/2006/relationships/header" Target="header8.xml"/><Relationship Id="rId13" Type="http://schemas.openxmlformats.org/officeDocument/2006/relationships/header" Target="header9.xml"/><Relationship Id="rId14" Type="http://schemas.openxmlformats.org/officeDocument/2006/relationships/header" Target="header10.xml"/><Relationship Id="rId15" Type="http://schemas.openxmlformats.org/officeDocument/2006/relationships/header" Target="header11.xml"/><Relationship Id="rId16" Type="http://schemas.openxmlformats.org/officeDocument/2006/relationships/footer" Target="footer1.xml"/><Relationship Id="rId17" Type="http://schemas.openxmlformats.org/officeDocument/2006/relationships/footnotes" Target="footnotes.xml"/><Relationship Id="rId18" Type="http://schemas.openxmlformats.org/officeDocument/2006/relationships/numbering" Target="numbering.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Relationship Id="rId22" Type="http://schemas.openxmlformats.org/officeDocument/2006/relationships/customXml" Target="../customXml/item1.xml"/><Relationship Id="rId23" Type="http://schemas.openxmlformats.org/officeDocument/2006/relationships/customXml" Target="../customXml/item2.xml"/><Relationship Id="rId24" Type="http://schemas.openxmlformats.org/officeDocument/2006/relationships/customXml" Target="../customXml/item3.xml"/><Relationship Id="rId25" Type="http://schemas.openxmlformats.org/officeDocument/2006/relationships/customXml" Target="../customXml/item4.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45F010-B91C-4CB9-B37A-3E8BDFBAAF03}">
  <ds:schemaRefs>
    <ds:schemaRef ds:uri="http://schemas.microsoft.com/sharepoint/v3/contenttype/forms"/>
  </ds:schemaRefs>
</ds:datastoreItem>
</file>

<file path=customXml/itemProps2.xml><?xml version="1.0" encoding="utf-8"?>
<ds:datastoreItem xmlns:ds="http://schemas.openxmlformats.org/officeDocument/2006/customXml" ds:itemID="{B160C69B-2C2A-40E1-B81F-0B6FB3845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4B0BAB9-8B8F-4B85-B8DF-266ED50E1B2E}">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C90803C7-E84E-446B-BD28-0D514BB79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Application>AlterOffice/3.4.0.9$Linux_X86_64 LibreOffice_project/b8daf9e823b1a5463a2f48435ddc2e8696e7d4fc</Application>
  <AppVersion>15.0000</AppVersion>
  <Pages>21</Pages>
  <Words>6459</Words>
  <Characters>45294</Characters>
  <CharactersWithSpaces>51734</CharactersWithSpaces>
  <Paragraphs>320</Paragraphs>
  <Company>Inter RAO UES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2025-07-28T07:51:00Z</dcterms:created>
  <dc:creator>tsypilev_ag</dc:creator>
  <dc:description/>
  <dc:language>ru-RU</dc:language>
  <cp:lastModifiedBy>azarines@corp.gidroogk.com</cp:lastModifiedBy>
  <cp:lastPrinted>2023-03-06T07:59:00Z</cp:lastPrinted>
  <dcterms:modified xsi:type="dcterms:W3CDTF">2026-06-05T17:13:49Z</dcterms:modified>
  <cp:revision>27</cp:revision>
  <dc:subject/>
  <dc:title>Договор № _________</dc:title>
</cp:coreProperties>
</file>

<file path=docProps/custom.xml><?xml version="1.0" encoding="utf-8"?>
<Properties xmlns="http://schemas.openxmlformats.org/officeDocument/2006/custom-properties" xmlns:vt="http://schemas.openxmlformats.org/officeDocument/2006/docPropsVTypes"/>
</file>