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ascii="Liberation Serif" w:hAnsi="Liberation Serif"/>
          <w:sz w:val="24"/>
          <w:szCs w:val="24"/>
          <w:lang w:val="en-US"/>
        </w:rPr>
      </w:pPr>
      <w:r>
        <w:rPr>
          <w:rFonts w:ascii="Liberation Serif" w:hAnsi="Liberation Serif"/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sz w:val="24"/>
          <w:szCs w:val="24"/>
        </w:rPr>
        <w:t xml:space="preserve">Технические требования на поставку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sz w:val="24"/>
          <w:szCs w:val="24"/>
        </w:rPr>
        <w:t>Комплектных трансформаторных подстанций</w:t>
      </w:r>
    </w:p>
    <w:p>
      <w:pPr>
        <w:pStyle w:val="Normal"/>
        <w:jc w:val="center"/>
        <w:rPr/>
      </w:pPr>
      <w:r>
        <w:rPr>
          <w:rStyle w:val="23"/>
          <w:rFonts w:eastAsia="Calibri" w:ascii="Liberation Serif" w:hAnsi="Liberation Serif"/>
          <w:sz w:val="24"/>
          <w:szCs w:val="24"/>
        </w:rPr>
        <w:t>(требования к продукции)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4"/>
          <w:szCs w:val="24"/>
        </w:rPr>
      </w:pPr>
      <w:r>
        <w:rPr>
          <w:rFonts w:eastAsia="Calibri" w:ascii="Liberation Serif" w:hAnsi="Liberation Serif"/>
          <w:b/>
          <w:sz w:val="24"/>
          <w:szCs w:val="24"/>
        </w:rPr>
      </w:r>
    </w:p>
    <w:p>
      <w:pPr>
        <w:pStyle w:val="Normal"/>
        <w:keepNext w:val="true"/>
        <w:keepLines/>
        <w:ind w:firstLine="708"/>
        <w:jc w:val="center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sz w:val="24"/>
          <w:szCs w:val="24"/>
        </w:rPr>
        <w:t>Поставка комплектных трансформаторных подстанций в рамках реализации инвестиционной программы для филиала АО «ДРСК» , «Хабаровские электрические сети»</w:t>
      </w:r>
    </w:p>
    <w:p>
      <w:pPr>
        <w:pStyle w:val="Normal"/>
        <w:ind w:firstLine="70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sectPr>
          <w:type w:val="nextPage"/>
          <w:pgSz w:orient="landscape" w:w="16838" w:h="11906"/>
          <w:pgMar w:left="1209" w:right="1054" w:gutter="0" w:header="0" w:top="1134" w:footer="0" w:bottom="567"/>
          <w:pgNumType w:fmt="decimal"/>
          <w:formProt w:val="false"/>
          <w:textDirection w:val="lrTb"/>
          <w:docGrid w:type="default" w:linePitch="381" w:charSpace="24576"/>
        </w:sectPr>
        <w:pStyle w:val="Normal"/>
        <w:ind w:firstLine="708"/>
        <w:jc w:val="center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sz w:val="24"/>
          <w:szCs w:val="24"/>
        </w:rPr>
        <w:t xml:space="preserve">Лот № </w:t>
      </w:r>
      <w:bookmarkStart w:id="0" w:name="_GoBack"/>
      <w:bookmarkEnd w:id="0"/>
    </w:p>
    <w:p>
      <w:pPr>
        <w:pStyle w:val="Normal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4"/>
          <w:szCs w:val="24"/>
        </w:rPr>
        <w:t>СОДЕРЖАНИЕ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1. Общие сведения………………………………………………………………………………………………………………………………………….3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1.1. Обозначения и сокращения……………………………………………………………………………………………………………………….……3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1.2. Наименование закупаемой……………………………………………………………………………………………………………………….…….3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2. </w:t>
      </w:r>
      <w:bookmarkStart w:id="1" w:name="_Toc75446573_Копия_1"/>
      <w:bookmarkStart w:id="2" w:name="_Toc51339693_Копия_1"/>
      <w:r>
        <w:rPr>
          <w:rFonts w:ascii="Liberation Serif" w:hAnsi="Liberation Serif"/>
          <w:b/>
          <w:bCs/>
          <w:iCs/>
          <w:sz w:val="24"/>
          <w:szCs w:val="24"/>
        </w:rPr>
        <w:t>Требования к продукции</w:t>
      </w:r>
      <w:bookmarkEnd w:id="1"/>
      <w:bookmarkEnd w:id="2"/>
      <w:r>
        <w:rPr>
          <w:rFonts w:ascii="Liberation Serif" w:hAnsi="Liberation Serif"/>
          <w:b/>
          <w:bCs/>
          <w:sz w:val="24"/>
          <w:szCs w:val="24"/>
        </w:rPr>
        <w:t>……………………………………………………………………………………………………………………………….4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2.1. </w:t>
      </w:r>
      <w:bookmarkStart w:id="3" w:name="_Toc75446574_Копия_1"/>
      <w:r>
        <w:rPr>
          <w:rFonts w:ascii="Liberation Serif" w:hAnsi="Liberation Serif"/>
          <w:sz w:val="24"/>
          <w:szCs w:val="24"/>
        </w:rPr>
        <w:t>Требования к объемам и срокам поставки…</w:t>
      </w:r>
      <w:bookmarkEnd w:id="3"/>
      <w:r>
        <w:rPr>
          <w:rFonts w:ascii="Liberation Serif" w:hAnsi="Liberation Serif"/>
          <w:sz w:val="24"/>
          <w:szCs w:val="24"/>
        </w:rPr>
        <w:t>..………………………………………………………………………………………………….….….4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2.1.1. Требования к срокам поставки продукции …..……………………………………………………………………………………………….…….5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2.2. Требования к качеству продукции…………..…..……………………………………………………………………………………………….…….5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3. Требования к заявке……….…………….……...</w:t>
      </w:r>
      <w:r>
        <w:rPr>
          <w:rFonts w:ascii="Liberation Serif" w:hAnsi="Liberation Serif"/>
          <w:b/>
          <w:bCs/>
          <w:iCs/>
          <w:sz w:val="24"/>
          <w:szCs w:val="24"/>
        </w:rPr>
        <w:t>……………..…………………………………………………………………………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...………….26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4. </w:t>
      </w:r>
      <w:r>
        <w:rPr>
          <w:rFonts w:ascii="Liberation Serif" w:hAnsi="Liberation Serif"/>
          <w:b/>
          <w:bCs/>
          <w:iCs/>
          <w:sz w:val="24"/>
          <w:szCs w:val="24"/>
        </w:rPr>
        <w:t>Требование к</w:t>
      </w:r>
      <w:r>
        <w:rPr>
          <w:rFonts w:ascii="Liberation Serif" w:hAnsi="Liberation Serif"/>
          <w:b/>
          <w:bCs/>
          <w:sz w:val="24"/>
          <w:szCs w:val="24"/>
        </w:rPr>
        <w:t xml:space="preserve"> документации по ценообразованию на этапе закупки…..</w:t>
      </w:r>
      <w:r>
        <w:rPr>
          <w:rFonts w:ascii="Liberation Serif" w:hAnsi="Liberation Serif"/>
          <w:b/>
          <w:bCs/>
          <w:sz w:val="26"/>
          <w:szCs w:val="26"/>
        </w:rPr>
        <w:t>.…</w:t>
      </w:r>
      <w:r>
        <w:rPr>
          <w:rFonts w:ascii="Liberation Serif" w:hAnsi="Liberation Serif"/>
          <w:b/>
          <w:bCs/>
          <w:sz w:val="24"/>
          <w:szCs w:val="24"/>
        </w:rPr>
        <w:t>……………………………………………………...………….…28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5. В составе заявки необходимо предоставить:…..</w:t>
      </w:r>
      <w:r>
        <w:rPr>
          <w:rFonts w:ascii="Liberation Serif" w:hAnsi="Liberation Serif"/>
          <w:b/>
          <w:bCs/>
          <w:iCs/>
          <w:sz w:val="24"/>
          <w:szCs w:val="24"/>
        </w:rPr>
        <w:t>………………………………………………………………………………………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...………….28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6. Приложения………………………………………</w:t>
      </w:r>
      <w:r>
        <w:rPr>
          <w:rFonts w:ascii="Liberation Serif" w:hAnsi="Liberation Serif"/>
          <w:b/>
          <w:bCs/>
          <w:iCs/>
          <w:sz w:val="24"/>
          <w:szCs w:val="24"/>
        </w:rPr>
        <w:t>..………………………………………………………………………………………</w:t>
      </w:r>
      <w:r>
        <w:rPr>
          <w:rFonts w:ascii="Liberation Serif" w:hAnsi="Liberation Serif"/>
          <w:b/>
          <w:bCs/>
          <w:sz w:val="24"/>
          <w:szCs w:val="24"/>
        </w:rPr>
        <w:t>...………….28</w:t>
      </w:r>
    </w:p>
    <w:p>
      <w:pPr>
        <w:pStyle w:val="Normal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Liberation Serif" w:hAnsi="Liberation Serif"/>
        </w:rPr>
      </w:pPr>
      <w:bookmarkStart w:id="4" w:name="_Toc51339692"/>
      <w:bookmarkStart w:id="5" w:name="_Toc75446566"/>
      <w:r>
        <w:rPr>
          <w:rFonts w:ascii="Liberation Serif" w:hAnsi="Liberation Serif"/>
          <w:sz w:val="24"/>
          <w:szCs w:val="24"/>
          <w:lang w:val="ru-RU"/>
        </w:rPr>
        <w:t>Общие сведения</w:t>
      </w:r>
      <w:bookmarkEnd w:id="4"/>
      <w:bookmarkEnd w:id="5"/>
    </w:p>
    <w:p>
      <w:pPr>
        <w:pStyle w:val="Normal"/>
        <w:ind w:left="357" w:hanging="35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</w:rPr>
      </w:pPr>
      <w:r>
        <w:rPr>
          <w:rFonts w:ascii="Liberation Serif" w:hAnsi="Liberation Serif"/>
        </w:rPr>
        <w:t>Обозначения и сокращения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1485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КТПН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комплектная трансформаторная подстанция наружной установки;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КМТП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комплектная мачтовая трансформаторная подстанция;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СТП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столбовая трансформаторная подстанция;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ВН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высокое напряжение;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КРУ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комплектное распределительное устройство;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ВН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высокое напряжение;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НН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низкое напряжение;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НТД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нормативно-техническая документация;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ПБВ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переключение без возбуждения;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РУВН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распределительное устройство высокого напряжения;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РУНН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распределительное устройство низкого напряжения;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СИ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средства измерений: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ТМГ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трехфазный трансформатор маслонаполненный герметичного исполнения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УХЛ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ПТЭ и ЭСиС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Правила технической эксплуатации электрических станций и сетей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ПУЭ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Правила устройства электроустановок</w:t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  <w:lang w:val="x-none" w:eastAsia="x-none"/>
        </w:rPr>
      </w:pPr>
      <w:r>
        <w:rPr>
          <w:rFonts w:ascii="Liberation Serif" w:hAnsi="Liberation Serif"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tabs>
          <w:tab w:val="clear" w:pos="849"/>
          <w:tab w:val="clear" w:pos="1300"/>
          <w:tab w:val="left" w:pos="0" w:leader="none"/>
          <w:tab w:val="left" w:pos="563" w:leader="none"/>
          <w:tab w:val="left" w:pos="1303" w:leader="none"/>
        </w:tabs>
        <w:ind w:left="0" w:hanging="0"/>
        <w:rPr>
          <w:rFonts w:ascii="Liberation Serif" w:hAnsi="Liberation Serif"/>
        </w:rPr>
      </w:pPr>
      <w:bookmarkStart w:id="6" w:name="_Toc75446568"/>
      <w:bookmarkStart w:id="7" w:name="_Toc46743506"/>
      <w:r>
        <w:rPr>
          <w:rFonts w:ascii="Liberation Serif" w:hAnsi="Liberation Serif"/>
        </w:rPr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ind w:right="57" w:hanging="0"/>
        <w:jc w:val="both"/>
        <w:rPr>
          <w:rFonts w:ascii="Liberation Serif" w:hAnsi="Liberation Serif"/>
        </w:rPr>
      </w:pPr>
      <w:r>
        <w:rPr>
          <w:rFonts w:eastAsia="Calibri" w:ascii="Liberation Serif" w:hAnsi="Liberation Serif"/>
          <w:i/>
          <w:sz w:val="24"/>
          <w:szCs w:val="24"/>
          <w:lang w:eastAsia="x-none"/>
        </w:rPr>
        <w:t>«</w:t>
      </w:r>
      <w:r>
        <w:rPr>
          <w:rFonts w:ascii="Liberation Serif" w:hAnsi="Liberation Serif"/>
          <w:b/>
          <w:i/>
          <w:sz w:val="24"/>
          <w:szCs w:val="24"/>
        </w:rPr>
        <w:t>Комплектные трансформаторные подстанции</w:t>
      </w:r>
      <w:r>
        <w:rPr>
          <w:rFonts w:eastAsia="Calibri" w:ascii="Liberation Serif" w:hAnsi="Liberation Serif"/>
          <w:i/>
          <w:sz w:val="24"/>
          <w:szCs w:val="24"/>
          <w:lang w:eastAsia="x-none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rPr>
          <w:rFonts w:ascii="Liberation Serif" w:hAnsi="Liberation Serif"/>
        </w:rPr>
      </w:pPr>
      <w:bookmarkStart w:id="8" w:name="_Toc75446573"/>
      <w:bookmarkStart w:id="9" w:name="_Toc51339693"/>
      <w:bookmarkStart w:id="10" w:name="_Toc46743510"/>
      <w:bookmarkStart w:id="11" w:name="_Toc50125126"/>
      <w:bookmarkEnd w:id="10"/>
      <w:bookmarkEnd w:id="11"/>
      <w:r>
        <w:rPr>
          <w:rFonts w:ascii="Liberation Serif" w:hAnsi="Liberation Serif"/>
          <w:iCs/>
          <w:sz w:val="24"/>
          <w:szCs w:val="24"/>
        </w:rPr>
        <w:t>Требования к продукции</w:t>
      </w:r>
      <w:bookmarkEnd w:id="8"/>
      <w:bookmarkEnd w:id="9"/>
    </w:p>
    <w:p>
      <w:pPr>
        <w:pStyle w:val="Normal"/>
        <w:ind w:left="357" w:hanging="35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</w:rPr>
      </w:pPr>
      <w:bookmarkStart w:id="12" w:name="_Toc75446574"/>
      <w:r>
        <w:rPr>
          <w:rFonts w:ascii="Liberation Serif" w:hAnsi="Liberation Serif"/>
        </w:rPr>
        <w:t xml:space="preserve">Требования к объемам и срокам </w:t>
      </w:r>
      <w:r>
        <w:rPr>
          <w:rFonts w:ascii="Liberation Serif" w:hAnsi="Liberation Serif"/>
          <w:lang w:val="ru-RU"/>
        </w:rPr>
        <w:t>поставки</w:t>
      </w:r>
      <w:bookmarkEnd w:id="12"/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4"/>
        <w:keepLines/>
        <w:tabs>
          <w:tab w:val="clear" w:pos="0"/>
          <w:tab w:val="left" w:pos="849" w:leader="none"/>
          <w:tab w:val="left" w:pos="1300" w:leader="none"/>
        </w:tabs>
        <w:ind w:left="0" w:hanging="0"/>
        <w:rPr>
          <w:rFonts w:ascii="Liberation Serif" w:hAnsi="Liberation Serif"/>
        </w:rPr>
      </w:pPr>
      <w:bookmarkStart w:id="13" w:name="_Toc75446576"/>
      <w:bookmarkStart w:id="14" w:name="_Toc51339695"/>
      <w:r>
        <w:rPr>
          <w:rFonts w:ascii="Liberation Serif" w:hAnsi="Liberation Serif"/>
        </w:rPr>
        <w:t xml:space="preserve">Таблица </w:t>
      </w:r>
      <w:r>
        <w:rPr>
          <w:rFonts w:ascii="Liberation Serif" w:hAnsi="Liberation Serif"/>
          <w:lang w:val="ru-RU"/>
        </w:rPr>
        <w:t>1.1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lang w:val="ru-RU"/>
        </w:rPr>
        <w:t xml:space="preserve">Перечень </w:t>
      </w:r>
      <w:bookmarkEnd w:id="14"/>
      <w:r>
        <w:rPr>
          <w:rFonts w:ascii="Liberation Serif" w:hAnsi="Liberation Serif"/>
          <w:lang w:val="ru-RU"/>
        </w:rPr>
        <w:t>и объем закупаемой продукции</w:t>
      </w:r>
      <w:bookmarkEnd w:id="13"/>
    </w:p>
    <w:tbl>
      <w:tblPr>
        <w:tblW w:w="1473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4"/>
        <w:gridCol w:w="11962"/>
        <w:gridCol w:w="962"/>
        <w:gridCol w:w="1248"/>
      </w:tblGrid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1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продукции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Ед. измер.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Филиал «Хабаровские электрические сети»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9"/>
              <w:widowControl w:val="fals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_DdeLink__18682_2258760883"/>
            <w:r>
              <w:rPr>
                <w:rFonts w:cs="Liberation Serif" w:ascii="Liberation Serif" w:hAnsi="Liberation Serif"/>
                <w:sz w:val="24"/>
                <w:szCs w:val="24"/>
              </w:rPr>
              <w:t>Подстанция комплектная трансформаторная КМТП-160/6/0.4 мачтовая с силовым трансформатором</w:t>
            </w:r>
            <w:bookmarkEnd w:id="15"/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6кВ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, КМТП-160/6/0.4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№1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9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Подстанция комплектная трансформаторная  КМТП-160/10/0.4 мачтовая с силовым трансформатором 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10кВ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 xml:space="preserve">, КМТП-160/10/0.4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№2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Подстанция комплектная трансформаторная  КМТП-250/6/0.4 мачтовая с силовым трансформатором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6кВ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, КМТП-250/6/0.4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№3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Подстанция комплектная трансформаторная  КМТП-250/10/0.4 мачтовая с силовым трансформатором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10кВ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, КМТП-250/10/0.4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№4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5</w:t>
            </w: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Подстанция комплектная трансформаторная  КМТП-250/6/0.4 мачтовая с силовым трансформатором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6кВ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, КМТП-250/6/0.4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№5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 w:val="false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Подстанция комплектная трансформаторная  КМТП-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400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/6/0.4 мачтовая с силовым трансформатором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6кВ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, КМТП-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400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/6/0.4 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 w:val="false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Подстанция комплектная трансформаторная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2КТПН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1000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/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/0.4 наружная со встроенными трансформаторами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10кВ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, 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2КТПН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-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1000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/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  <w:r>
              <w:rPr>
                <w:rFonts w:cs="Liberation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/0.4  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согласно Приложению №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>7</w:t>
            </w:r>
            <w:r>
              <w:rPr>
                <w:rFonts w:cs="Liberation Serif" w:ascii="Liberation Serif" w:hAnsi="Liberation Serif"/>
                <w:b/>
                <w:bCs/>
                <w:i/>
                <w:iCs/>
                <w:sz w:val="24"/>
                <w:szCs w:val="24"/>
              </w:rPr>
              <w:t xml:space="preserve"> к ТТ.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left="567" w:hanging="0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color w:val="000000"/>
        </w:rPr>
        <w:t xml:space="preserve">Указанные в настоящем ТТ и приложениях ссылки на ТУ, марку (тип) продукции носят описательный, а не обязательный характер. </w:t>
      </w:r>
      <w:r>
        <w:rPr>
          <w:rFonts w:ascii="Liberation Serif" w:hAnsi="Liberation Serif"/>
          <w:b/>
          <w:bCs/>
          <w:i/>
          <w:iCs/>
          <w:color w:val="000000"/>
        </w:rPr>
        <w:t>В случае, если Участником предлагается эквивалентная продукция</w:t>
      </w:r>
      <w:r>
        <w:rPr>
          <w:rFonts w:ascii="Liberation Serif" w:hAnsi="Liberation Serif"/>
          <w:i/>
          <w:iCs/>
          <w:color w:val="000000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>
      <w:pPr>
        <w:pStyle w:val="Normal"/>
        <w:ind w:left="426" w:hanging="0"/>
        <w:rPr>
          <w:rFonts w:ascii="Liberation Serif" w:hAnsi="Liberation Serif"/>
          <w:iCs/>
          <w:color w:val="767171"/>
        </w:rPr>
      </w:pPr>
      <w:r>
        <w:rPr>
          <w:rFonts w:ascii="Liberation Serif" w:hAnsi="Liberation Serif"/>
          <w:iCs/>
          <w:color w:val="767171"/>
        </w:rPr>
      </w:r>
    </w:p>
    <w:p>
      <w:pPr>
        <w:pStyle w:val="Heading3"/>
        <w:tabs>
          <w:tab w:val="clear" w:pos="0"/>
          <w:tab w:val="left" w:pos="849" w:leader="none"/>
          <w:tab w:val="left" w:pos="1300" w:leader="none"/>
        </w:tabs>
        <w:ind w:left="0" w:hanging="0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2.1.1 </w:t>
      </w:r>
      <w:bookmarkStart w:id="16" w:name="_Toc75446578"/>
      <w:bookmarkStart w:id="17" w:name="_Toc51339696"/>
      <w:r>
        <w:rPr>
          <w:rFonts w:ascii="Liberation Serif" w:hAnsi="Liberation Serif"/>
          <w:lang w:val="ru-RU"/>
        </w:rPr>
        <w:t xml:space="preserve">Требования </w:t>
      </w:r>
      <w:bookmarkEnd w:id="17"/>
      <w:r>
        <w:rPr>
          <w:rFonts w:ascii="Liberation Serif" w:hAnsi="Liberation Serif"/>
          <w:lang w:val="ru-RU"/>
        </w:rPr>
        <w:t xml:space="preserve">к срокам поставки продукции </w:t>
      </w:r>
      <w:bookmarkEnd w:id="16"/>
    </w:p>
    <w:p>
      <w:pPr>
        <w:pStyle w:val="Heading1"/>
        <w:keepLines/>
        <w:tabs>
          <w:tab w:val="clear" w:pos="0"/>
          <w:tab w:val="left" w:pos="849" w:leader="none"/>
          <w:tab w:val="left" w:pos="1300" w:leader="none"/>
        </w:tabs>
        <w:ind w:left="0" w:hanging="0"/>
        <w:rPr>
          <w:rFonts w:ascii="Liberation Serif" w:hAnsi="Liberation Serif"/>
        </w:rPr>
      </w:pPr>
      <w:bookmarkStart w:id="18" w:name="_Toc75446579"/>
      <w:bookmarkStart w:id="19" w:name="_Toc50125127"/>
      <w:bookmarkStart w:id="20" w:name="_Toc51339697"/>
      <w:bookmarkStart w:id="21" w:name="_Toc50125126_Копия_1"/>
      <w:bookmarkEnd w:id="21"/>
      <w:r>
        <w:rPr>
          <w:rFonts w:ascii="Liberation Serif" w:hAnsi="Liberation Serif"/>
          <w:sz w:val="24"/>
          <w:szCs w:val="24"/>
        </w:rPr>
        <w:t xml:space="preserve">Таблица </w:t>
      </w:r>
      <w:r>
        <w:rPr>
          <w:rFonts w:ascii="Liberation Serif" w:hAnsi="Liberation Serif"/>
          <w:sz w:val="24"/>
          <w:szCs w:val="24"/>
          <w:lang w:val="ru-RU"/>
        </w:rPr>
        <w:t>2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  <w:lang w:val="ru-RU"/>
        </w:rPr>
        <w:t>1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22" w:name="_Hlk50465284"/>
      <w:r>
        <w:rPr>
          <w:rFonts w:ascii="Liberation Serif" w:hAnsi="Liberation Serif"/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rFonts w:ascii="Liberation Serif" w:hAnsi="Liberation Serif"/>
          <w:sz w:val="24"/>
          <w:szCs w:val="24"/>
          <w:lang w:val="ru-RU"/>
        </w:rPr>
        <w:t>поставки продукции</w:t>
      </w:r>
      <w:bookmarkEnd w:id="18"/>
      <w:r>
        <w:rPr>
          <w:rFonts w:ascii="Liberation Serif" w:hAnsi="Liberation Serif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738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7"/>
        <w:gridCol w:w="8844"/>
        <w:gridCol w:w="2273"/>
        <w:gridCol w:w="2773"/>
      </w:tblGrid>
      <w:tr>
        <w:trPr>
          <w:trHeight w:val="322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1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>Начало поставки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sz w:val="24"/>
                <w:szCs w:val="24"/>
              </w:rPr>
              <w:t>Окончание поставки</w:t>
            </w:r>
          </w:p>
        </w:tc>
      </w:tr>
      <w:tr>
        <w:trPr>
          <w:trHeight w:val="565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42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 w:val="false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Подстанции комплектные трансформаторные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п.1-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Таблица 1.1 настоящих ТТ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С даты заключения договора.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течение 120 календарных дней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4"/>
        <w:tabs>
          <w:tab w:val="clear" w:pos="0"/>
          <w:tab w:val="left" w:pos="849" w:leader="none"/>
          <w:tab w:val="left" w:pos="1300" w:leader="none"/>
        </w:tabs>
        <w:ind w:left="432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4"/>
        <w:numPr>
          <w:ilvl w:val="1"/>
          <w:numId w:val="3"/>
        </w:numPr>
        <w:rPr>
          <w:rFonts w:ascii="Liberation Serif" w:hAnsi="Liberation Serif"/>
        </w:rPr>
      </w:pPr>
      <w:bookmarkStart w:id="23" w:name="_Toc75446581"/>
      <w:bookmarkStart w:id="24" w:name="_Toc46743511"/>
      <w:bookmarkStart w:id="25" w:name="_Toc46743510_Копия_1"/>
      <w:bookmarkEnd w:id="25"/>
      <w:r>
        <w:rPr>
          <w:rFonts w:ascii="Liberation Serif" w:hAnsi="Liberation Serif"/>
        </w:rPr>
        <w:t xml:space="preserve">Требования к </w:t>
      </w:r>
      <w:bookmarkEnd w:id="24"/>
      <w:r>
        <w:rPr>
          <w:rFonts w:ascii="Liberation Serif" w:hAnsi="Liberation Serif"/>
          <w:lang w:val="ru-RU"/>
        </w:rPr>
        <w:t>качеству продукции</w:t>
      </w:r>
      <w:bookmarkEnd w:id="23"/>
    </w:p>
    <w:p>
      <w:pPr>
        <w:pStyle w:val="Heading1"/>
        <w:keepLines/>
        <w:tabs>
          <w:tab w:val="clear" w:pos="0"/>
          <w:tab w:val="left" w:pos="849" w:leader="none"/>
          <w:tab w:val="left" w:pos="1300" w:leader="none"/>
        </w:tabs>
        <w:ind w:left="0" w:hanging="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bookmarkStart w:id="26" w:name="_Toc75446582"/>
      <w:r>
        <w:rPr>
          <w:rFonts w:ascii="Liberation Serif" w:hAnsi="Liberation Serif"/>
          <w:sz w:val="24"/>
          <w:szCs w:val="24"/>
        </w:rPr>
        <w:t>Таблица </w:t>
      </w:r>
      <w:r>
        <w:rPr>
          <w:rFonts w:ascii="Liberation Serif" w:hAnsi="Liberation Serif"/>
          <w:sz w:val="24"/>
          <w:szCs w:val="24"/>
          <w:lang w:val="ru-RU"/>
        </w:rPr>
        <w:t>3</w:t>
      </w:r>
      <w:r>
        <w:rPr>
          <w:rFonts w:ascii="Liberation Serif" w:hAnsi="Liberation Serif"/>
          <w:sz w:val="24"/>
          <w:szCs w:val="24"/>
        </w:rPr>
        <w:t xml:space="preserve">. Требования к </w:t>
      </w:r>
      <w:r>
        <w:rPr>
          <w:rFonts w:ascii="Liberation Serif" w:hAnsi="Liberation Serif"/>
          <w:sz w:val="24"/>
          <w:szCs w:val="24"/>
          <w:lang w:val="ru-RU"/>
        </w:rPr>
        <w:t>продукции</w:t>
      </w:r>
      <w:bookmarkEnd w:id="26"/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4740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4"/>
        <w:gridCol w:w="4765"/>
        <w:gridCol w:w="3408"/>
        <w:gridCol w:w="2376"/>
        <w:gridCol w:w="1816"/>
        <w:gridCol w:w="1540"/>
      </w:tblGrid>
      <w:tr>
        <w:trPr/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Требование заказчика</w:t>
            </w: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4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3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техническим и функциональным характеристикам ТП (включая гарантируемые показатели)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>
          <w:trHeight w:val="9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b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омплектная трансформаторная подстанция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/>
                <w:iCs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bCs/>
                <w:i/>
                <w:iCs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bCs/>
                <w:i/>
                <w:iCs/>
                <w:color w:val="A6A6A6"/>
                <w:sz w:val="24"/>
                <w:szCs w:val="24"/>
              </w:rPr>
              <w:t xml:space="preserve"> -Опросные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4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 ТП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ТП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Мощность силового трансформатора, кВА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Номинальная частота, Гц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80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Наибольшее рабочее напряжение на стороне ВН,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листами, и ГОСТ 14695-80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8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Номинальное напряжение на стороне НН,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Номинальное напряжение вспомогательных цепей КТП, 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ГОСТ 14695-80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термической стойкости на стороне ВН не менее, 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12,5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Время протекания тока термической стойкости на стороне ВН не менее, с.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электродинамической стойкости на стороне ВН не менее, 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термической стойкости на стороне НН, 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Соответствие стойкости к току короткого замыкания вводов со стороны НН трансформатора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1.13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Время протекания тока термической стойкости на стороне НН не менее, с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электрической прочности изоляции: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Уровень изоляции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Испытательное напряжение полного грозового импульса: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между контактами разъединителя, предохранителя, выключателя нагрузки (с видимым воздушным промежутком)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 ГОСТ 1516.3-96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Кратковременное (одноминутное) переменное напряжение: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между контактами разъединителя, предохранителя, выключателя нагрузки (с видимым воздушным промежутком);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под дождем (для категории размещения 1)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 ГОСТ 1516.3-96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  <w:lang w:val="en-US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  <w:lang w:val="en-US"/>
              </w:rPr>
            </w:r>
          </w:p>
        </w:tc>
      </w:tr>
      <w:tr>
        <w:trPr>
          <w:trHeight w:val="16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Удельная эффективная длина пути утечки внешней изоляции, см/кВ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2,35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Испытательное напряжение изоляции главных и вспомогательных цепей ТП со стороны НН, в течение 1 мин.,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2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Сопротивление изоляции электрически изолированных цепей шкафов РУНН, МОм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3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силовому трансформатору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ТМГ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охлаждения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естественное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Количество,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– Опросные листы и схемы.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Схема и группа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соединения обмоток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250 кВА схемы соединения Y/Zн-11, 400 кВА и более ∆/Yн-11;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ТП по пп. </w:t>
            </w:r>
            <w:r>
              <w:rPr>
                <w:rFonts w:ascii="Liberation Serif" w:hAnsi="Liberation Serif"/>
                <w:sz w:val="24"/>
                <w:szCs w:val="24"/>
              </w:rPr>
              <w:t>1-7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схема и группа соединения обмоток в соответствии с опросными листами по Приложениям </w:t>
            </w:r>
            <w:r>
              <w:rPr>
                <w:rFonts w:ascii="Liberation Serif" w:hAnsi="Liberation Serif"/>
                <w:sz w:val="24"/>
                <w:szCs w:val="24"/>
              </w:rPr>
              <w:t>1-7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8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Выполнения нейтрали трансформатора на стороне НН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глухозаземленной нейтралью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Вид, диапазон и количество ступеней регулирования напряжения </w:t>
              <w:br/>
              <w:t>на стороне ВН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ПБВ ±2X 2,5%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Потери холостого хода, Вт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п. 27 раздела 2 Постановления правительства РФ от 17.06.2015 № 600.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3.8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Потери короткого замыкания, Вт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п. 27 раздела 2 Постановления правительства РФ от 17.06.2015 № 600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РУВН (УВН):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шкафу РУ (для КТПН):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4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Механический ресурс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разъемных контактных соединений главных цепей, операций ВО;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разъемных контактных соединений вспомогательных цепей, операций ВО;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дверей шкафов РУ, открываний и закрываний;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защитных шторок, открываний и закрываний;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282" w:hanging="282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заземляющего разъединителя, операций ВО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выключателю нагрузки (для КТПН):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4.2.2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выключателя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привода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 установки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РУ ВН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Кол-во, ед./ номинальный ток,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оп</w:t>
            </w:r>
            <w:r>
              <w:rPr>
                <w:rFonts w:ascii="Liberation Serif" w:hAnsi="Liberation Serif"/>
                <w:sz w:val="24"/>
                <w:szCs w:val="24"/>
              </w:rPr>
              <w:t>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4.2.6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Механический ресурс, циклов В-tп-О, операций ,не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kern w:val="2"/>
                <w:sz w:val="24"/>
                <w:szCs w:val="24"/>
              </w:rPr>
              <w:t>Требования к разъединителю: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kern w:val="2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- // -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- // -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- // 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4.3.1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4.3.2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Кол-во, ед./ номинальный ток, А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оп</w:t>
            </w:r>
            <w:r>
              <w:rPr>
                <w:rFonts w:ascii="Liberation Serif" w:hAnsi="Liberation Serif"/>
                <w:sz w:val="24"/>
                <w:szCs w:val="24"/>
              </w:rPr>
              <w:t>росными листами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4.3.3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привода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4.3.4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Управление приводом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Местное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4.3.5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Механический ресурс, циклов В-tп-О, операций ,не менее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ограничителю перенапряжения 6-10 кВ: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  <w:lang w:val="en-US"/>
              </w:rPr>
              <w:t>5</w:t>
            </w:r>
            <w:r>
              <w:rPr>
                <w:rFonts w:eastAsia="Calibri" w:ascii="Liberation Serif" w:hAnsi="Liberation Serif"/>
                <w:sz w:val="24"/>
                <w:szCs w:val="24"/>
              </w:rPr>
              <w:t>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ОПН УХЛ1, 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Количество, 3-х фазный комплект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Liberation Serif;Times New Roma" w:ascii="Liberation Serif" w:hAnsi="Liberation Serif"/>
                <w:kern w:val="2"/>
                <w:sz w:val="24"/>
                <w:szCs w:val="24"/>
              </w:rPr>
              <w:t>Наибольшее длительно допустимое рабочее напряжение, кВ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Liberation Serif;Times New Roma" w:ascii="Liberation Serif" w:hAnsi="Liberation Serif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cs="Liberation Serif;Times New Roma"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РУНН: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6.1</w:t>
            </w:r>
          </w:p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Номинальный ток сборных шин,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номинальным током силового трансформатора следующего габарита относительно указанного в опросных листах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8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ТП между низковольтным выводом силового трансформатора и вводным аппаратом защиты и управления необходимо использовать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КТП - жесткую ошиновку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медные или алюминиевые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шины).</w:t>
            </w:r>
          </w:p>
          <w:p>
            <w:pPr>
              <w:pStyle w:val="Normal"/>
              <w:widowControl w:val="false"/>
              <w:rPr>
                <w:color w:val="16181C"/>
                <w:sz w:val="24"/>
                <w:szCs w:val="24"/>
              </w:rPr>
            </w:pPr>
            <w:r>
              <w:rPr>
                <w:rFonts w:ascii="Liberation Serif" w:hAnsi="Liberation Serif"/>
                <w:color w:val="16181C"/>
                <w:sz w:val="24"/>
                <w:szCs w:val="24"/>
              </w:rPr>
              <w:t>КМТП,  – изолированный провод или кабель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Механический ресурс открывания и закрывания дверей шкафов, операций,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рубильнику: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7.1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Кол-во, ед./ номинальный ток,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7.2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Применить рубильники 0,4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диэлектрической рукоятью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автоматическим выключателям: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8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8.1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Кол-во/номинальный ток,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8.2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Регулировка уставок по току срабатывания для расцепителей в условиях эксплуатации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Да, для выключателей с  номинальным током 160 А и более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трансформаторам тока для измерений: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Кол-во, фаз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1-7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Класс точности трансформаторов тока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S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Межповерочный интервал трансформаторов тока 0,4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менее 8 лет, первичная поверка не ранее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квартала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9.6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shd w:fill="FFFFFF" w:val="clear"/>
              </w:rPr>
              <w:t>Номинальная вторичная нагрузка обмоток учета, ВА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9.7.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Измерительные щитовые амперметры, вольтметры стрелочного исполнения.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класс точности 1,5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поверка или калибровка не ранее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2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квартала 202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6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года.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ограничителю перенапряжения 0,4 кВ: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10.1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ОПН УХЛ1, 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узлам учета электроэнергии: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11.1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Шкаф учета электрической энергии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Жесткой конструкции (согласно п.1.5.29 ПУЭ)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На монтажной панели шкафа учета предусмотреть места для установки приборов учета электроэнергии (1.5.29, 1.5.31 ПУЭ).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В соответствии с приложениями №1-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к настоящим Техническим требованиям </w:t>
            </w:r>
            <w:r>
              <w:rPr>
                <w:rFonts w:ascii="Liberation Serif" w:hAnsi="Liberation Serif"/>
                <w:sz w:val="24"/>
                <w:szCs w:val="24"/>
              </w:rPr>
              <w:t>- Опросные листы и схемы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заполненные опросные листы согласно техническим параметрам Приложений № 1-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 xml:space="preserve"> –Опросные листы и схемы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На монтажной панели шкафа учета выполнить монтаж испытательных коробок (2.8.14.6 ГОСТ14693-90 и 1.5.23 ПУЭ), предназначенных для обеспечения работ с приборами учёта без разрыва токовых цепей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Трансформаторы тока 0,4 кВ устанавливаются комплектом на все 3 фазы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Устанавливаются комплектом на все 3 фазы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Класс точности трансформаторов тока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0,5S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Межповерочный интервал трансформаторов тока 0,4 кВ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менее 8 лет, первичная поверка не ранее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квартала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11.7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Обеспечить монтаж измерительных трансформаторов тока, с учётом прокладки вторичных цепей измерений непосредственно до испытательных коробок 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медным кабелем длиной не более 10 м, S=&gt;2,5 мм² (согласно п.3.4.4 ПУЭ изд.6, ГОСТ 19132-86 Р). Произвести подключение трансформаторов тока к испытательным коробкам. Вторичные цепи промаркировать с двух сторон.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безопасности: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12.1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Степень защищенности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174" w:hanging="174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</w:rPr>
              <w:t>ТП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174" w:hanging="174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</w:rPr>
              <w:t>оборудования категории размещения 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не ниже 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IP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34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не ниже 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IP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54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12.2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Температура нагрева в нормальном режиме нетоковедущих частей ТП, к которым можно прикасаться при эксплуатации (листы приборные, крышки), ℃ ,не более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70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12.3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12.4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Все приборы, аппараты, а также ряды зажимов и соединительная проводка должны быть маркированы в соответствии с п. 5.4.14. ПТЭ и ЭСиС., п. 3.28., 7.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Конструктивное исполнение ТП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Способ присоединения ТП к ЛЭП со стороны ВН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3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Наличие коридора (тамбура) обслуживания в УВН и РУНН категории 1, Да/Нет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Выполнение высоковольтного ввода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Присоединение к шкафам РУНН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ТП должны поставляться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 п. 3.16. 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Оснастить необходимыми блокировками, (блокирующими замками) препятствующими проникновению персонала при поданном напряжении согласно ПТЭ РФ п.5.4.10, узлы ТП: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- привод главных ножей отдельностоящего разъединителя с вводным выключателем 0,4 кВ;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- привод заземляющих ножей выключателя нагрузки с дверцами отсека ВН (при наличии) и дверцами трансформаторного отсека.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3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Вентиляция отсеков (для КТПН)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до 250 кВА.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Сетчатые ограждения (внутренние двери, панели КТПН) должны иметь ячейки размером не более, мм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25х25 мм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Представить чертеж сетчат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  <w:lang w:val="en-US"/>
              </w:rPr>
              <w:t xml:space="preserve">ого </w:t>
            </w: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ограждения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0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Внешние двери выполнить с уплотнителем обеспечивающим плотный контакт между дверью и корпусом.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1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нутренние петли в конструкции дверей.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08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запирания дверей применить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рехточечное запирающее устройство, унифицированные внутренние замки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13.19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предусмотреть монтаж пола в РУВН и РУНН, мм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 рифленого листового железа толщиной не менее 4 мм,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Наличие в КТП маслоприемника в камере трансформатора или под силовым трансформатором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соответствие с ПУЭ, изд. 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Гарантия на защиту от коррозии, при отсутствии механических повреждений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9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во всех отсеках предусмотреть болты заземления, выполненные сварным соединением к раме КТП, для заземления трансформатора и нулевой шпильки трансформатора.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крепление внутренних перегородок выполнить на клепках или болтовых соединениях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РУНН ТП коммутационные аппараты и открытые токоведущие части по стороне 0,4 кВ должны иметь сплошное ограждение от поражения электрическим током в соответствии с ГОСТ Р 50571.4.41-2022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РУВН  КТПН предусмотреть ограждение неизолированных токоведущих частей с возможностью доступа к ним, согласно п. 4.2.88 ПУЭ (изд. 7).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Предусмотреть вертикальное расположение выключателей 0,4 кВ в горизонтальном ряду (рядах) с возможностью присоединения отходящих линий снизу.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13.27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предотвращения попадания влаги в местах крепления проходных изоляторов ВН к крышке короба КТПН с воздушным вводом применить один из способов: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Место крепления исполнить выше поверхности крышки на 5-8 мм (наплыв, штамповка);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 Крышку короба РУ ВН выполнить  из стали толщиной не менее 6 мм.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 или 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Указать способ исполнения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1 или 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00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13.28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Обеспечить герметичное соединение «металлический корпус – фланец проходного изолятора» 6-10 кВ без герметика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Оснастить заходы ВЛ 6-10 кВ на ТП специальными птицезащитными устройствами предотвращающими повреждение птиц (защитные колпаки, противоприсадочные устройства, АПЗУ, ПЗУ)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указать чем оснащается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22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воздушный ввод ВН и выход НН выполнить в отдельных коробах с возможным доступом для замены изоляторов и шин.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соответствии с опросными листами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01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КТПН короба ВН и НН выполнить с учётом ветровых нагрузок (не менее 32 м/с.).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13.32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ТП предусмотреть монтаж необратимых термоиндикаторов в местах контактных соединений: силового трансформатора (на вводах ВН и НН), кабеля (СИП) к линейным отходящим коммутационным аппаратам, кабеля (шин) к главному рубильнику (автоматическому выключателю) 0,4 кВ.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Корпуса ТП должны быть выполнены из стали толщиной, не менее, мм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13.34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Все металлические детали корпуса ТП должны иметь защитное покрытие от коррозии п. 3.13.  ГОСТ 14695-80 «Подстанции трансформаторные комплектные мощностью от 25 до 2500 кВ·А на напряжение до 10 кВ».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13.35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Габариты трансформаторного отсека КТП и ошиновку Выполнить с учётом возможности установки силового трансформатора следующего габарита. Для КТПН предусмотреть возможность замены (перемещения) трансформатора на собственных колесах, входящих в комплект. В рабочем положении трансформатор должен быть жестко закреплен.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665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13.36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комплект поставки для КМТП должны входить металлоконструкции (лестницы, площадки обслуживания с ограждением, швеллер/уголок и метизы) для крепления оборудования на железобетонных стойках типа СВ-105, СВ-110.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14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Климатическое исполнение ТП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УХЛ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14.2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Категория размещения: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174" w:hanging="0"/>
              <w:contextualSpacing/>
              <w:rPr>
                <w:rFonts w:ascii="Liberation Serif" w:hAnsi="Liberation Serif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24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14.3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</w:rPr>
              <w:t>- УХЛ1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плюс 40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14.4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bCs/>
                <w:sz w:val="24"/>
                <w:szCs w:val="24"/>
              </w:rPr>
              <w:t>УХЛ1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Минус 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Высота над уровнем моря, 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до 1000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3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Толщина стенки гололеда, мм,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Допустимая скорость ветра при наличии гололеда, м/с,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14.9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Сейсмостойкость, баллов по шкале MSK-64,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15.1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15.2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 выпуска продукции (оборудования)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Оборудование должно быть не ранее 1 квартала 2026 года, серийного выпуска.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iCs/>
                <w:kern w:val="2"/>
                <w:sz w:val="24"/>
                <w:szCs w:val="24"/>
              </w:rPr>
              <w:t>Указание года выпуска продукции (оборудования)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75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 w:eastAsia="Calibri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Место поставки : </w:t>
            </w:r>
            <w:r>
              <w:rPr>
                <w:rFonts w:ascii="Liberation Serif" w:hAnsi="Liberation Serif"/>
                <w:sz w:val="24"/>
                <w:szCs w:val="24"/>
              </w:rPr>
              <w:t>Для филиала «Хабаровские ЭС»:  680009, Хабаровский край, г. Хабаровск, ул. Промышленная, 13.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 должна иметь табличку по ГОСТ 12969-67, содержащую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условное обозначение (индекс) изделия;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товарный знак;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заводской номер и (или) дату изготовления;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наименование изделия (при необходимости);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напряжение в киловольтах со стороны ВН и НН;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обозначение стандартов или технических условий;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установить две таблички: одну на внешней стороне корпуса ТП, вторую с внутренней стороны в удобном для доступа месте (для МТП, на дверце шкафа РУ-0,4 кВ с внутренней стороны).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Транспортная маркировка грузов - по ГОСТ 14192-96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 транспортировке КТП все технологические отверстия и проемы должны быть закрыты транспортными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Cs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неокрашенные металлические поверхности 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хранения по ГОСТ 15150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8ОЖ3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транспортирования согласно ГОСТ 23216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Средние (С)</w:t>
            </w:r>
          </w:p>
          <w:p>
            <w:pPr>
              <w:pStyle w:val="Normal"/>
              <w:widowControl w:val="false"/>
              <w:ind w:left="72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16.8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сохраняемости, лет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менее 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характери-стик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17.1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Эксплуатация монтаж оборудования 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72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17.2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ТП.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72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Соответствие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3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18.1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Гарантийный срок эксплуатации КТП, МТП, 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Гарантийный срок на поставляемое оборудование — не менее 60 месяцев. Время начала исчисления гарантийного срока – с момента ввода оборудования в эксплуатацию, но не более 72 месяцев с момента поставки, то есть с даты подписания сторонами накладной ТОРГ-12 или УПД.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  <w:tab w:val="left" w:pos="1134" w:leader="none"/>
              </w:tabs>
              <w:spacing w:lineRule="auto" w:line="240" w:before="0" w:after="0"/>
              <w:ind w:left="0" w:hanging="0"/>
              <w:contextualSpacing w:val="false"/>
              <w:jc w:val="both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Гарантия на защиту от коррозии, при отсутствии механических повреждений, не менее 10 лет с момента ввода оборудования в эксплуатацию, но не более 12 лет с даты поставки оборудования.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18.2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18.3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18.4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19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комплектации  ТП: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387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19.1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РУВН;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силовой трансформатор;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РУНН;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шинопроводы, короба, кожухи, предусмотренные конструкцией ТП;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приспособление для подъема и схема автоматических выключателей, если масса последних превышает 30 кг;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шкафы учёта, шкафы автоматизации;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щитовые приборы со сроком поверки не ранние 4 квартала 2025 года;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15" w:hanging="31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монтажные материалы, предусмотренные конструкцией ТП;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325" w:hanging="325"/>
              <w:contextualSpacing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- запасные части и принадлежности по ведомости ЗИП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согласно комплектации производителя.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20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документам, поставляемым вместе с продукцией: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20.1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Документация на трансформаторы по ГОСТ 11677-85, экз.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i/>
                <w:i/>
                <w:color w:val="A6A6A6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 w:eastAsia="Calibri"/>
                <w:i/>
                <w:i/>
                <w:color w:val="A6A6A6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20.2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20.3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Схемы электрические принципиальные и схемы электрических соединений, сборочный чертеж КТП, МТП,  экз.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b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20.4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Эксплуатационная документация по ГОСТ  Р 2.601-2019, экз.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20.5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Ведомость ЗИП в комплектации производителя, экз.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21.1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 всем неоговоренном ТП и встраиваемое оборудование должны соответствовать требованиям ПУЭ ГОСТ 14695-80, ГОСТ 14693-90, ГОСТ 11920-85, ГОСТ 11677-85, ГОСТ 1516.3-96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12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22.1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службы, лет,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22.2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службы до среднего (капитального) ремонта, лет, не менее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Указание характеристик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8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23.1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Участие в монтаже технического представителя завода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Нет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23.2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представителей заказчика в приемо-сдаточных испытаний ТП на заводе-изготовителе.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  <w:tr>
        <w:trPr>
          <w:trHeight w:val="153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sz w:val="24"/>
                <w:szCs w:val="24"/>
              </w:rPr>
              <w:t>23.3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представителя завода изготовителя (поставщика) в проверке качества и комплектности поставляемой ТП на сладах Заказчика.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случае выявления Заказчиком замечаний к поставленному оборудованию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  <w:t>Согласие с требованием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erif" w:hAnsi="Liberation Serif"/>
                <w:i/>
                <w:i/>
                <w:color w:val="A6A6A6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A6A6A6"/>
                <w:sz w:val="24"/>
                <w:szCs w:val="24"/>
              </w:rPr>
            </w:r>
          </w:p>
        </w:tc>
      </w:tr>
    </w:tbl>
    <w:p>
      <w:pPr>
        <w:pStyle w:val="Normal"/>
        <w:spacing w:before="0" w:after="60"/>
        <w:jc w:val="both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sz w:val="24"/>
          <w:szCs w:val="24"/>
        </w:rPr>
        <w:t>Примечание 2: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rPr/>
      </w:pPr>
      <w:r>
        <w:rPr>
          <w:rStyle w:val="Style"/>
          <w:rFonts w:ascii="Liberation Serif" w:hAnsi="Liberation Serif"/>
          <w:i/>
          <w:iCs/>
          <w:color w:val="000000"/>
          <w:sz w:val="24"/>
          <w:szCs w:val="24"/>
        </w:rPr>
        <w:t>*</w:t>
      </w:r>
      <w:r>
        <w:rPr>
          <w:rFonts w:ascii="Liberation Serif" w:hAnsi="Liberation Serif"/>
          <w:i/>
          <w:iCs/>
          <w:color w:val="000000"/>
          <w:sz w:val="24"/>
          <w:szCs w:val="24"/>
        </w:rPr>
        <w:t xml:space="preserve"> Способ подтверждения участником соответствия требованиям указан в таблице в отношении каждой позиции закупаемой продукции.</w:t>
      </w:r>
    </w:p>
    <w:p>
      <w:pPr>
        <w:pStyle w:val="Normal"/>
        <w:spacing w:before="0" w:after="60"/>
        <w:jc w:val="both"/>
        <w:rPr>
          <w:rFonts w:ascii="Liberation Serif" w:hAnsi="Liberation Serif"/>
          <w:i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</w:r>
    </w:p>
    <w:p>
      <w:pPr>
        <w:pStyle w:val="Heading1"/>
        <w:tabs>
          <w:tab w:val="clear" w:pos="0"/>
          <w:tab w:val="left" w:pos="61" w:leader="none"/>
          <w:tab w:val="left" w:pos="113" w:leader="none"/>
          <w:tab w:val="left" w:pos="849" w:leader="none"/>
          <w:tab w:val="left" w:pos="1300" w:leader="none"/>
        </w:tabs>
        <w:ind w:left="0" w:hanging="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ru-RU"/>
        </w:rPr>
        <w:t>3. В составе заявки необходимо предоставить:</w:t>
      </w:r>
    </w:p>
    <w:p>
      <w:pPr>
        <w:pStyle w:val="Normal"/>
        <w:ind w:left="357" w:hanging="357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3.1. Техническое предложение, подготовленное в соответствии с настоящими ТТ и Приложениями №1-35 к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 и Приложениях 1-35 к ТТ. При этом должны указываться точные и не допускающие двусмысленного толкования показатели;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3.2. 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в составе заявки предоставить: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а) Копию Декларации о соответствии на КТП, КМТП, о соответствии требованиям ГОСТ 14695-80, ГОСТ 1516.3-96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принята.)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б) Копию Декларации о соответствии на «силовые трансформаторы» о соответствии требованиям ГОСТ 1516.3-96, ГОСТ 12.2.007.2-75; ГОСТ 12.2.024 – 87, ГОСТ Р 52719-2007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 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в) Копию Декларации о соответствии на «КСО» о соответствии требованиям ГОСТ 12.2.007.4-75; ГОСТ 1516.3-96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Декларации о соответствии, должны иметь электронную регистрацию в едином реестре деклараций на сайте https://fsa.gov.ru/ (требование п.6 ст.24 ФЗ-184), статус действующего документа.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3.3. Габаритные и установочные чертежи, чертежи компоновки оборудования (участник разрабатывает и предоставляет самостоятельно);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3.4. Руководство (инструкцию) по эксплуатации на ТП, РУНН (ЩО), РУВН (КСО), силовые трансформаторы (ТМГ);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3.5. Протоколы испытаний, проведенных в аккредитованной испытательной лаборатории, подтверждающих соответствие оборудования требованиям по сейсмостойкости по шкале MSK-64 (СП 14.13330.2018 «Свод правил строительства в сейсмических районах») на трансформаторные подстанции и силовые трансформаторы;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3.6. Копию паспорта изделия на ранее изготовленную продукцию (ТП);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3.7. Схема электрическая принципиальная (участник разрабатывает и предоставляет самостоятельно);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3.8. Сертификат (свидетельство) об утверждении типа средств измерений на трансформаторы тока, в соответствии с Федеральным Законом от 26.06.2008 г. № 102-ФЗ «Об обеспечении единства измерений», применяемые в сфере государственного регулирования, должны иметь действующее «Свидетельство об утверждении типа».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3.9. Отсканированную копию технических условий (полный текст), в соответствии с которыми изготавливаются ТП, РУНН (ЩО), РУВН (КСО), силовые трансформаторы (ТМГ);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3.10. Техническое описание ТП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3.11. Действующий Сертификат соответствия панелей ЩО требованиям Технического регламента Таможенного союза ТР ТС 004/2011 «О безопасности низковольтного оборудования» с приложением протокола испытаний, на основании которого был выдан сертификат.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Heading1"/>
        <w:keepLines/>
        <w:ind w:left="0" w:hanging="0"/>
        <w:rPr>
          <w:rFonts w:ascii="Liberation Serif" w:hAnsi="Liberation Serif"/>
        </w:rPr>
      </w:pPr>
      <w:r>
        <w:rPr>
          <w:rFonts w:ascii="Liberation Serif" w:hAnsi="Liberation Serif"/>
          <w:iCs/>
          <w:sz w:val="24"/>
          <w:szCs w:val="24"/>
        </w:rPr>
        <w:t>4. ТРЕБОВАНИЯ К ДОКУМЕНТАЦИИ ПО ЦЕНООБРАЗОВАНИЮ НА ЭТАПЕ ЗАКУПКИ</w:t>
      </w:r>
    </w:p>
    <w:p>
      <w:pPr>
        <w:pStyle w:val="Normal"/>
        <w:ind w:left="357" w:hanging="357"/>
        <w:jc w:val="center"/>
        <w:rPr>
          <w:rFonts w:ascii="Liberation Serif" w:hAnsi="Liberation Serif"/>
          <w:iCs/>
          <w:sz w:val="24"/>
          <w:szCs w:val="24"/>
        </w:rPr>
      </w:pPr>
      <w:r>
        <w:rPr>
          <w:rFonts w:ascii="Liberation Serif" w:hAnsi="Liberation Serif"/>
          <w:iCs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x-none" w:eastAsia="x-none"/>
        </w:rPr>
        <w:t>4.1. 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val="x-none" w:eastAsia="x-none"/>
        </w:rPr>
        <w:t>4.2.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 w:eastAsia="Calibri"/>
          <w:b/>
          <w:iCs/>
          <w:sz w:val="24"/>
          <w:szCs w:val="24"/>
          <w:lang w:val="x-none" w:eastAsia="x-none"/>
        </w:rPr>
      </w:pPr>
      <w:r>
        <w:rPr>
          <w:rFonts w:eastAsia="Calibri" w:ascii="Liberation Serif" w:hAnsi="Liberation Serif"/>
          <w:b/>
          <w:iCs/>
          <w:sz w:val="24"/>
          <w:szCs w:val="24"/>
          <w:lang w:val="x-none" w:eastAsia="x-none"/>
        </w:rPr>
        <w:t>5. В составе заявки необходимо предоставить: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4"/>
          <w:szCs w:val="24"/>
        </w:rPr>
        <w:t>5.1.</w:t>
      </w:r>
      <w:r>
        <w:rPr>
          <w:rFonts w:ascii="Liberation Serif" w:hAnsi="Liberation Serif"/>
          <w:sz w:val="24"/>
        </w:rPr>
        <w:t xml:space="preserve">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rPr>
          <w:rFonts w:ascii="Liberation Serif" w:hAnsi="Liberation Serif"/>
          <w:sz w:val="24"/>
          <w:szCs w:val="24"/>
          <w:lang w:val="x-none" w:eastAsia="x-none"/>
        </w:rPr>
      </w:pPr>
      <w:r>
        <w:rPr>
          <w:rFonts w:ascii="Liberation Serif" w:hAnsi="Liberation Serif"/>
          <w:sz w:val="24"/>
          <w:szCs w:val="24"/>
          <w:lang w:val="x-none" w:eastAsia="x-none"/>
        </w:rPr>
      </w:r>
    </w:p>
    <w:p>
      <w:pPr>
        <w:pStyle w:val="Normal"/>
        <w:spacing w:lineRule="auto" w:line="27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  <w:lang w:val="x-none" w:eastAsia="x-none"/>
        </w:rPr>
        <w:t>6. ПРИЛОЖЕНИЕ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1.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КМТП-160/6/0,4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2.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КМТП-160/10/0,4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3.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КМТП-250/6/0,4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4.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КМТП-250/10/0,4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5.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КМТП-250/6/0,4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>6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. 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КМТП-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400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/6/0,4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p>
      <w:pPr>
        <w:pStyle w:val="ListParagraph"/>
        <w:keepNext w:val="true"/>
        <w:keepLines/>
        <w:spacing w:lineRule="auto" w:line="24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>7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. 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>2КТПН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-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1000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/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10</w:t>
      </w:r>
      <w:r>
        <w:rPr>
          <w:rFonts w:cs="Liberation Serif" w:ascii="Liberation Serif" w:hAnsi="Liberation Serif"/>
          <w:bCs/>
          <w:i/>
          <w:iCs/>
          <w:color w:val="000000"/>
          <w:sz w:val="24"/>
          <w:szCs w:val="24"/>
          <w:highlight w:val="white"/>
        </w:rPr>
        <w:t>/0,4</w:t>
      </w:r>
      <w:r>
        <w:rPr>
          <w:rFonts w:ascii="Liberation Serif" w:hAnsi="Liberation Serif"/>
          <w:bCs/>
          <w:i/>
          <w:iCs/>
          <w:color w:val="000000"/>
          <w:sz w:val="24"/>
          <w:szCs w:val="24"/>
          <w:highlight w:val="white"/>
        </w:rPr>
        <w:t xml:space="preserve"> кВ;</w:t>
      </w:r>
    </w:p>
    <w:sectPr>
      <w:headerReference w:type="default" r:id="rId2"/>
      <w:type w:val="nextPage"/>
      <w:pgSz w:orient="landscape" w:w="16838" w:h="11906"/>
      <w:pgMar w:left="1222" w:right="872" w:gutter="0" w:header="680" w:top="1134" w:footer="0" w:bottom="567"/>
      <w:pgNumType w:fmt="decimal"/>
      <w:formProt w:val="false"/>
      <w:textDirection w:val="lrTb"/>
      <w:docGrid w:type="default" w:linePitch="381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4"/>
      <w:numFmt w:val="decimal"/>
      <w:lvlText w:val="8.%2.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8.4.%3."/>
      <w:lvlJc w:val="left"/>
      <w:pPr>
        <w:tabs>
          <w:tab w:val="num" w:pos="851"/>
        </w:tabs>
        <w:ind w:left="851" w:hanging="851"/>
      </w:pPr>
      <w:rPr>
        <w:sz w:val="24"/>
        <w:i w:val="false"/>
        <w:b w:val="false"/>
        <w:szCs w:val="28"/>
        <w:rFonts w:ascii="Verdana" w:hAnsi="Verdana" w:cs="Verdana"/>
      </w:rPr>
    </w:lvl>
    <w:lvl w:ilvl="3">
      <w:start w:val="1"/>
      <w:numFmt w:val="decimal"/>
      <w:lvlText w:val="%1.%2.%3.%4."/>
      <w:lvlJc w:val="left"/>
      <w:pPr>
        <w:tabs>
          <w:tab w:val="num" w:pos="1844"/>
        </w:tabs>
        <w:ind w:left="1844" w:hanging="567"/>
      </w:pPr>
      <w:rPr/>
    </w:lvl>
    <w:lvl w:ilvl="4">
      <w:start w:val="1"/>
      <w:numFmt w:val="lowerLetter"/>
      <w:lvlText w:val="%5)"/>
      <w:lvlJc w:val="left"/>
      <w:pPr>
        <w:tabs>
          <w:tab w:val="num" w:pos="2448"/>
        </w:tabs>
        <w:ind w:left="244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849" w:leader="none"/>
        <w:tab w:val="left" w:pos="1300" w:leader="none"/>
      </w:tabs>
      <w:ind w:left="454" w:hanging="5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 w:customStyle="1">
    <w:name w:val="page number1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Заголовок Знак"/>
    <w:qFormat/>
    <w:rPr>
      <w:b/>
      <w:bCs/>
      <w:sz w:val="24"/>
      <w:szCs w:val="24"/>
      <w:lang w:val="ru-RU" w:eastAsia="ru-RU" w:bidi="ar-SA"/>
    </w:rPr>
  </w:style>
  <w:style w:type="character" w:styleId="Pagenumber11" w:customStyle="1">
    <w:name w:val="page number11"/>
    <w:basedOn w:val="DefaultParagraphFont"/>
    <w:qFormat/>
    <w:rPr/>
  </w:style>
  <w:style w:type="character" w:styleId="33" w:customStyle="1">
    <w:name w:val="Основной текст 3 Знак"/>
    <w:qFormat/>
    <w:rPr>
      <w:sz w:val="16"/>
      <w:szCs w:val="16"/>
    </w:rPr>
  </w:style>
  <w:style w:type="character" w:styleId="Style15" w:customStyle="1">
    <w:name w:val="Тема примечания Знак"/>
    <w:qFormat/>
    <w:rPr>
      <w:b/>
      <w:bCs/>
    </w:rPr>
  </w:style>
  <w:style w:type="character" w:styleId="FootnoteReference1" w:customStyle="1">
    <w:name w:val="Footnote Reference1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Doctitleimportant" w:customStyle="1">
    <w:name w:val="doc__title_important"/>
    <w:basedOn w:val="DefaultParagraphFont"/>
    <w:qFormat/>
    <w:rPr/>
  </w:style>
  <w:style w:type="character" w:styleId="EndnoteReference1" w:customStyle="1">
    <w:name w:val="Endnote Reference1"/>
    <w:qFormat/>
    <w:rPr>
      <w:vertAlign w:val="superscript"/>
    </w:rPr>
  </w:style>
  <w:style w:type="character" w:styleId="Footnotereference11" w:customStyle="1">
    <w:name w:val="footnote reference11"/>
    <w:qFormat/>
    <w:rPr>
      <w:vertAlign w:val="superscript"/>
    </w:rPr>
  </w:style>
  <w:style w:type="character" w:styleId="Viewb" w:customStyle="1">
    <w:name w:val="view_b"/>
    <w:qFormat/>
    <w:rPr/>
  </w:style>
  <w:style w:type="character" w:styleId="Style16" w:customStyle="1">
    <w:name w:val="Нижний колонтитул Знак"/>
    <w:qFormat/>
    <w:rPr/>
  </w:style>
  <w:style w:type="character" w:styleId="Strong">
    <w:name w:val="Strong"/>
    <w:qFormat/>
    <w:rPr>
      <w:b/>
      <w:bCs/>
    </w:rPr>
  </w:style>
  <w:style w:type="character" w:styleId="14" w:customStyle="1">
    <w:name w:val="Пункт Знак1"/>
    <w:qFormat/>
    <w:rPr>
      <w:sz w:val="28"/>
      <w:lang w:val="ru-RU" w:bidi="ar-SA"/>
    </w:rPr>
  </w:style>
  <w:style w:type="character" w:styleId="Style17" w:customStyle="1">
    <w:name w:val="Основной текст с отступом Знак"/>
    <w:qFormat/>
    <w:rPr>
      <w:lang w:val="ru-RU" w:bidi="ar-SA"/>
    </w:rPr>
  </w:style>
  <w:style w:type="character" w:styleId="Pagenumber">
    <w:name w:val="page number"/>
    <w:basedOn w:val="DefaultParagraphFont"/>
    <w:qFormat/>
    <w:rPr/>
  </w:style>
  <w:style w:type="character" w:styleId="S0" w:customStyle="1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My" w:customStyle="1">
    <w:name w:val="my Знак"/>
    <w:qFormat/>
    <w:rPr>
      <w:b/>
      <w:sz w:val="28"/>
      <w:szCs w:val="28"/>
      <w:lang w:val="ru-RU" w:bidi="ar-SA"/>
    </w:rPr>
  </w:style>
  <w:style w:type="character" w:styleId="WW8Num34z0" w:customStyle="1">
    <w:name w:val="WW8Num34z0"/>
    <w:qFormat/>
    <w:rPr/>
  </w:style>
  <w:style w:type="character" w:styleId="WW8Num33z0" w:customStyle="1">
    <w:name w:val="WW8Num33z0"/>
    <w:qFormat/>
    <w:rPr>
      <w:b w:val="false"/>
      <w:i w:val="false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29z0" w:customStyle="1">
    <w:name w:val="WW8Num29z0"/>
    <w:qFormat/>
    <w:rPr/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7z0" w:customStyle="1">
    <w:name w:val="WW8Num27z0"/>
    <w:qFormat/>
    <w:rPr>
      <w:b w:val="false"/>
      <w:i w:val="false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5z1" w:customStyle="1">
    <w:name w:val="WW8Num25z1"/>
    <w:qFormat/>
    <w:rPr>
      <w:b w:val="false"/>
      <w:sz w:val="24"/>
      <w:szCs w:val="24"/>
    </w:rPr>
  </w:style>
  <w:style w:type="character" w:styleId="WW8Num25z0" w:customStyle="1">
    <w:name w:val="WW8Num25z0"/>
    <w:qFormat/>
    <w:rPr/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</w:rPr>
  </w:style>
  <w:style w:type="character" w:styleId="WW8Num23z0" w:customStyle="1">
    <w:name w:val="WW8Num23z0"/>
    <w:qFormat/>
    <w:rPr/>
  </w:style>
  <w:style w:type="character" w:styleId="WW8Num22z0" w:customStyle="1">
    <w:name w:val="WW8Num22z0"/>
    <w:qFormat/>
    <w:rPr/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Verdana" w:hAnsi="Verdana" w:cs="Verdana"/>
      <w:b w:val="false"/>
      <w:i w:val="false"/>
      <w:sz w:val="24"/>
      <w:szCs w:val="28"/>
    </w:rPr>
  </w:style>
  <w:style w:type="character" w:styleId="WW8Num19z0" w:customStyle="1">
    <w:name w:val="WW8Num19z0"/>
    <w:qFormat/>
    <w:rPr>
      <w:b w:val="false"/>
      <w:i w:val="false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>
      <w:b/>
      <w:i w:val="false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4z0" w:customStyle="1">
    <w:name w:val="WW8Num14z0"/>
    <w:qFormat/>
    <w:rPr>
      <w:u w:val="none"/>
    </w:rPr>
  </w:style>
  <w:style w:type="character" w:styleId="WW8Num13z0" w:customStyle="1">
    <w:name w:val="WW8Num13z0"/>
    <w:qFormat/>
    <w:rPr/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1z0" w:customStyle="1">
    <w:name w:val="WW8Num11z0"/>
    <w:qFormat/>
    <w:rPr/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2z1" w:customStyle="1">
    <w:name w:val="WW8Num2z1"/>
    <w:qFormat/>
    <w:rPr>
      <w:b w:val="false"/>
    </w:rPr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>
      <w:rFonts w:ascii="Verdana" w:hAnsi="Verdana" w:cs="Verdana"/>
      <w:b w:val="false"/>
      <w:i w:val="false"/>
      <w:sz w:val="24"/>
      <w:szCs w:val="28"/>
    </w:rPr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  <w:sz w:val="24"/>
      <w:szCs w:val="24"/>
      <w:shd w:fill="FFFF00" w:val="clear"/>
      <w:lang w:eastAsia="ru-RU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23" w:customStyle="1">
    <w:name w:val="Знак примечания2"/>
    <w:qFormat/>
    <w:rPr>
      <w:sz w:val="16"/>
      <w:szCs w:val="16"/>
    </w:rPr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/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</w:rPr>
  </w:style>
  <w:style w:type="paragraph" w:styleId="Style25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lang w:val="x-none" w:eastAsia="x-none"/>
    </w:rPr>
  </w:style>
  <w:style w:type="paragraph" w:styleId="25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</w:rPr>
  </w:style>
  <w:style w:type="paragraph" w:styleId="Style26" w:customStyle="1">
    <w:name w:val="Раздел регламента"/>
    <w:basedOn w:val="Normal"/>
    <w:qFormat/>
    <w:pPr/>
    <w:rPr/>
  </w:style>
  <w:style w:type="paragraph" w:styleId="Style27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/>
  </w:style>
  <w:style w:type="paragraph" w:styleId="Annotationsubject">
    <w:name w:val="annotation subject"/>
    <w:basedOn w:val="Annotationtext"/>
    <w:next w:val="Annotationtext"/>
    <w:qFormat/>
    <w:pPr>
      <w:spacing w:lineRule="auto" w:line="360"/>
      <w:ind w:firstLine="567"/>
      <w:jc w:val="both"/>
    </w:pPr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</w:rPr>
  </w:style>
  <w:style w:type="paragraph" w:styleId="26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27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tabs>
        <w:tab w:val="clear" w:pos="0"/>
        <w:tab w:val="clear" w:pos="849"/>
        <w:tab w:val="clear" w:pos="130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/>
  </w:style>
  <w:style w:type="paragraph" w:styleId="29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0" w:after="15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</w:rPr>
  </w:style>
  <w:style w:type="paragraph" w:styleId="Style37" w:customStyle="1">
    <w:name w:val="Пункт б/н"/>
    <w:basedOn w:val="Normal"/>
    <w:qFormat/>
    <w:pPr>
      <w:tabs>
        <w:tab w:val="clear" w:pos="708"/>
        <w:tab w:val="left" w:pos="1134" w:leader="none"/>
      </w:tabs>
      <w:spacing w:lineRule="auto" w:line="360"/>
      <w:ind w:firstLine="567"/>
      <w:jc w:val="both"/>
    </w:pPr>
    <w:rPr/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111" w:customStyle="1">
    <w:name w:val="index heading1111"/>
    <w:basedOn w:val="Normal"/>
    <w:qFormat/>
    <w:pPr>
      <w:suppressLineNumbers/>
    </w:pPr>
    <w:rPr>
      <w:rFonts w:cs="Lucida Sans"/>
    </w:rPr>
  </w:style>
  <w:style w:type="paragraph" w:styleId="Style41" w:customStyle="1">
    <w:name w:val="Таблицы (моноширинный)"/>
    <w:basedOn w:val="Normal"/>
    <w:qFormat/>
    <w:pPr>
      <w:jc w:val="both"/>
    </w:pPr>
    <w:rPr>
      <w:rFonts w:ascii="Courier New" w:hAnsi="Courier New" w:cs="Courier New"/>
    </w:rPr>
  </w:style>
  <w:style w:type="paragraph" w:styleId="Style42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WenQuanYi Zen Hei Sharp" w:cs="Lohit Devanagari"/>
      <w:color w:val="auto"/>
      <w:kern w:val="0"/>
      <w:sz w:val="32"/>
      <w:szCs w:val="24"/>
      <w:lang w:val="ru-RU" w:eastAsia="en-US" w:bidi="hi-IN"/>
    </w:rPr>
  </w:style>
  <w:style w:type="paragraph" w:styleId="Footnotetext1" w:customStyle="1">
    <w:name w:val="footnote text1"/>
    <w:basedOn w:val="Normal"/>
    <w:qFormat/>
    <w:pPr/>
    <w:rPr/>
  </w:style>
  <w:style w:type="paragraph" w:styleId="ListBullet3">
    <w:name w:val="List Bullet 3"/>
    <w:basedOn w:val="Normal"/>
    <w:qFormat/>
    <w:pPr>
      <w:tabs>
        <w:tab w:val="clear" w:pos="708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-1" w:customStyle="1">
    <w:name w:val="Контракт-пункт"/>
    <w:basedOn w:val="Normal"/>
    <w:qFormat/>
    <w:pPr>
      <w:tabs>
        <w:tab w:val="clear" w:pos="708"/>
        <w:tab w:val="left" w:pos="851" w:leader="none"/>
      </w:tabs>
      <w:spacing w:lineRule="auto" w:line="360"/>
      <w:ind w:left="851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qFormat/>
    <w:pPr/>
    <w:rPr>
      <w:rFonts w:ascii="Tahoma" w:hAnsi="Tahoma" w:cs="Tahoma"/>
    </w:rPr>
  </w:style>
  <w:style w:type="paragraph" w:styleId="Style43" w:customStyle="1">
    <w:name w:val="Пункт договора"/>
    <w:basedOn w:val="Normal"/>
    <w:qFormat/>
    <w:pPr>
      <w:jc w:val="both"/>
    </w:pPr>
    <w:rPr>
      <w:rFonts w:ascii="Arial" w:hAnsi="Arial" w:cs="Arial"/>
    </w:rPr>
  </w:style>
  <w:style w:type="paragraph" w:styleId="111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 w:eastAsia="en-US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WenQuanYi Zen Hei Sharp" w:cs="Courier New"/>
      <w:color w:val="auto"/>
      <w:kern w:val="0"/>
      <w:sz w:val="24"/>
      <w:szCs w:val="24"/>
      <w:lang w:val="ru-RU" w:eastAsia="zh-CN" w:bidi="hi-IN"/>
    </w:rPr>
  </w:style>
  <w:style w:type="paragraph" w:styleId="211" w:customStyle="1">
    <w:name w:val="Основной текст 21"/>
    <w:basedOn w:val="Normal"/>
    <w:qFormat/>
    <w:pPr/>
    <w:rPr>
      <w:sz w:val="22"/>
    </w:rPr>
  </w:style>
  <w:style w:type="paragraph" w:styleId="112" w:customStyle="1">
    <w:name w:val="Обычный1"/>
    <w:qFormat/>
    <w:pPr>
      <w:widowControl w:val="false"/>
      <w:suppressAutoHyphens w:val="true"/>
      <w:bidi w:val="0"/>
      <w:spacing w:lineRule="auto" w:line="420" w:before="460" w:after="0"/>
      <w:ind w:firstLine="720"/>
      <w:jc w:val="left"/>
    </w:pPr>
    <w:rPr>
      <w:rFonts w:ascii="Arial" w:hAnsi="Arial" w:eastAsia="Arial" w:cs="Arial"/>
      <w:color w:val="auto"/>
      <w:kern w:val="0"/>
      <w:sz w:val="28"/>
      <w:szCs w:val="20"/>
      <w:lang w:val="ru-RU" w:eastAsia="zh-CN" w:bidi="ar-SA"/>
    </w:rPr>
  </w:style>
  <w:style w:type="paragraph" w:styleId="HEADERTEXT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2B4279"/>
      <w:kern w:val="0"/>
      <w:sz w:val="24"/>
      <w:szCs w:val="24"/>
      <w:lang w:val="ru-RU" w:eastAsia="zh-CN" w:bidi="ar-SA"/>
    </w:rPr>
  </w:style>
  <w:style w:type="paragraph" w:styleId="ListNumber">
    <w:name w:val="List Number"/>
    <w:basedOn w:val="Normal"/>
    <w:qFormat/>
    <w:pPr>
      <w:spacing w:lineRule="auto" w:line="360" w:before="60" w:after="0"/>
      <w:jc w:val="both"/>
    </w:pPr>
    <w:rPr>
      <w:sz w:val="28"/>
      <w:szCs w:val="24"/>
    </w:rPr>
  </w:style>
  <w:style w:type="paragraph" w:styleId="Style44" w:customStyle="1">
    <w:name w:val="Обычный+ без отступа"/>
    <w:basedOn w:val="Normal"/>
    <w:qFormat/>
    <w:pPr>
      <w:numPr>
        <w:ilvl w:val="0"/>
        <w:numId w:val="6"/>
      </w:numPr>
      <w:spacing w:lineRule="auto" w:line="360" w:before="120" w:after="0"/>
      <w:ind w:left="0" w:hanging="0"/>
      <w:jc w:val="both"/>
    </w:pPr>
    <w:rPr>
      <w:rFonts w:eastAsia="MS Mincho;ＭＳ 明朝"/>
      <w:sz w:val="28"/>
      <w:szCs w:val="28"/>
    </w:rPr>
  </w:style>
  <w:style w:type="paragraph" w:styleId="38" w:customStyle="1">
    <w:name w:val="заголовок 3"/>
    <w:basedOn w:val="Normal"/>
    <w:next w:val="Normal"/>
    <w:qFormat/>
    <w:pPr>
      <w:keepNext w:val="true"/>
      <w:spacing w:lineRule="auto" w:line="360" w:before="120" w:after="0"/>
      <w:ind w:firstLine="720"/>
      <w:jc w:val="center"/>
    </w:pPr>
    <w:rPr>
      <w:szCs w:val="24"/>
    </w:rPr>
  </w:style>
  <w:style w:type="paragraph" w:styleId="113" w:customStyle="1">
    <w:name w:val="Пункт_1"/>
    <w:basedOn w:val="Normal"/>
    <w:qFormat/>
    <w:pPr>
      <w:keepNext w:val="true"/>
      <w:tabs>
        <w:tab w:val="clear" w:pos="708"/>
        <w:tab w:val="left" w:pos="568" w:leader="none"/>
      </w:tabs>
      <w:spacing w:before="480" w:after="240"/>
      <w:ind w:left="567" w:hanging="567"/>
      <w:jc w:val="center"/>
    </w:pPr>
    <w:rPr>
      <w:rFonts w:ascii="Arial" w:hAnsi="Arial" w:cs="Arial"/>
      <w:b/>
      <w:sz w:val="32"/>
      <w:szCs w:val="28"/>
    </w:rPr>
  </w:style>
  <w:style w:type="paragraph" w:styleId="5ABCD" w:customStyle="1">
    <w:name w:val="Пункт_5_ABCD"/>
    <w:basedOn w:val="Normal"/>
    <w:qFormat/>
    <w:pPr>
      <w:tabs>
        <w:tab w:val="clear" w:pos="708"/>
        <w:tab w:val="left" w:pos="1701" w:leader="none"/>
      </w:tabs>
      <w:spacing w:lineRule="auto" w:line="360"/>
      <w:ind w:left="1701" w:hanging="567"/>
      <w:jc w:val="both"/>
    </w:pPr>
    <w:rPr>
      <w:sz w:val="28"/>
    </w:rPr>
  </w:style>
  <w:style w:type="paragraph" w:styleId="41" w:customStyle="1">
    <w:name w:val="Пункт_4"/>
    <w:basedOn w:val="39"/>
    <w:qFormat/>
    <w:pPr>
      <w:tabs>
        <w:tab w:val="clear" w:pos="1694"/>
        <w:tab w:val="left" w:pos="1134" w:leader="none"/>
      </w:tabs>
      <w:ind w:left="1134" w:hanging="1134"/>
    </w:pPr>
    <w:rPr/>
  </w:style>
  <w:style w:type="paragraph" w:styleId="39" w:customStyle="1">
    <w:name w:val="Пункт_3"/>
    <w:basedOn w:val="210"/>
    <w:qFormat/>
    <w:pPr>
      <w:tabs>
        <w:tab w:val="clear" w:pos="1134"/>
        <w:tab w:val="left" w:pos="1694" w:leader="none"/>
      </w:tabs>
      <w:ind w:left="1694" w:hanging="0"/>
    </w:pPr>
    <w:rPr/>
  </w:style>
  <w:style w:type="paragraph" w:styleId="210" w:customStyle="1">
    <w:name w:val="Пункт_2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3"/>
      <w:jc w:val="both"/>
    </w:pPr>
    <w:rPr>
      <w:sz w:val="28"/>
    </w:rPr>
  </w:style>
  <w:style w:type="paragraph" w:styleId="PlainText">
    <w:name w:val="Plain Text"/>
    <w:basedOn w:val="Normal"/>
    <w:qFormat/>
    <w:pPr>
      <w:ind w:firstLine="709"/>
      <w:jc w:val="both"/>
    </w:pPr>
    <w:rPr>
      <w:rFonts w:cs="Courier New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My1" w:customStyle="1">
    <w:name w:val="my"/>
    <w:basedOn w:val="Heading1"/>
    <w:qFormat/>
    <w:pPr>
      <w:keepLines/>
      <w:tabs>
        <w:tab w:val="clear" w:pos="0"/>
        <w:tab w:val="left" w:pos="849" w:leader="none"/>
        <w:tab w:val="left" w:pos="1300" w:leader="none"/>
      </w:tabs>
      <w:spacing w:before="360" w:after="120"/>
      <w:ind w:left="0" w:hanging="0"/>
      <w:jc w:val="center"/>
      <w:outlineLvl w:val="9"/>
    </w:pPr>
    <w:rPr>
      <w:kern w:val="2"/>
    </w:rPr>
  </w:style>
  <w:style w:type="paragraph" w:styleId="114" w:customStyle="1">
    <w:name w:val="Пункт1"/>
    <w:basedOn w:val="Normal"/>
    <w:qFormat/>
    <w:pPr>
      <w:numPr>
        <w:ilvl w:val="0"/>
        <w:numId w:val="7"/>
      </w:numPr>
      <w:snapToGrid w:val="false"/>
      <w:spacing w:lineRule="auto" w:line="360" w:before="240" w:after="0"/>
      <w:jc w:val="center"/>
    </w:pPr>
    <w:rPr>
      <w:rFonts w:ascii="Arial" w:hAnsi="Arial" w:cs="Arial"/>
      <w:b/>
      <w:sz w:val="28"/>
      <w:szCs w:val="28"/>
    </w:rPr>
  </w:style>
  <w:style w:type="paragraph" w:styleId="Style45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napToGrid w:val="false"/>
      <w:spacing w:lineRule="auto" w:line="360"/>
      <w:ind w:left="567" w:hanging="279"/>
      <w:jc w:val="both"/>
    </w:pPr>
    <w:rPr>
      <w:sz w:val="28"/>
    </w:rPr>
  </w:style>
  <w:style w:type="paragraph" w:styleId="Style46" w:customStyle="1">
    <w:name w:val="Пункт Знак"/>
    <w:basedOn w:val="Normal"/>
    <w:qFormat/>
    <w:pPr>
      <w:tabs>
        <w:tab w:val="clear" w:pos="708"/>
        <w:tab w:val="left" w:pos="567" w:leader="none"/>
        <w:tab w:val="left" w:pos="851" w:leader="none"/>
        <w:tab w:val="left" w:pos="1134" w:leader="none"/>
      </w:tabs>
      <w:snapToGrid w:val="false"/>
      <w:spacing w:lineRule="auto" w:line="360"/>
      <w:ind w:left="567" w:hanging="279"/>
      <w:jc w:val="both"/>
    </w:pPr>
    <w:rPr>
      <w:sz w:val="28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2" w:customStyle="1">
    <w:name w:val="Caption111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2" w:customStyle="1">
    <w:name w:val="Caption11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2" w:customStyle="1">
    <w:name w:val="Caption1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3" w:customStyle="1">
    <w:name w:val="Caption3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Abc" w:customStyle="1">
    <w:name w:val="Нумерованный abc"/>
    <w:qFormat/>
  </w:style>
  <w:style w:type="numbering" w:styleId="115" w:customStyle="1">
    <w:name w:val="Стиль1"/>
    <w:qFormat/>
  </w:style>
  <w:style w:type="numbering" w:styleId="212" w:customStyle="1">
    <w:name w:val="Стиль2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Application>AlterOffice/3.4.0.6$Linux_X86_64 LibreOffice_project/ad8c41dce69105450bf791d4900d64b1f82e10d0</Application>
  <AppVersion>15.0000</AppVersion>
  <Pages>31</Pages>
  <Words>5341</Words>
  <Characters>36184</Characters>
  <CharactersWithSpaces>40539</CharactersWithSpaces>
  <Paragraphs>996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2025-07-14T05:31:00Z</dcterms:created>
  <dc:creator>Быстров Олег Геннадьевич</dc:creator>
  <dc:description/>
  <dc:language>ru-RU</dc:language>
  <cp:lastModifiedBy>avramenko_dm</cp:lastModifiedBy>
  <cp:lastPrinted>2025-10-10T11:49:00Z</cp:lastPrinted>
  <dcterms:modified xsi:type="dcterms:W3CDTF">2026-06-08T11:00:27Z</dcterms:modified>
  <cp:revision>135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1134298184</vt:r8>
  </property>
  <property fmtid="{D5CDD505-2E9C-101B-9397-08002B2CF9AE}" pid="3" name="_AuthorEmail">
    <vt:lpwstr>Sokolov-VV@amur.drsk.ru</vt:lpwstr>
  </property>
  <property fmtid="{D5CDD505-2E9C-101B-9397-08002B2CF9AE}" pid="4" name="_AuthorEmailDisplayName">
    <vt:lpwstr>Соколов В.В.</vt:lpwstr>
  </property>
  <property fmtid="{D5CDD505-2E9C-101B-9397-08002B2CF9AE}" pid="5" name="_EmailSubject">
    <vt:lpwstr>Отправка: 2023.09.20 ТТ и ОЛ на закупку 2КТПН 1600 и 1250 для Свободного (1), ТП 2х1250 2_13.2 Свободный (1), ТП 2х1600 2_14 Свободный (1)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