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/>
      </w:pPr>
      <w:r>
        <w:rPr>
          <w:b/>
        </w:rPr>
        <w:t xml:space="preserve">ОКПД2: 29.32.30.390 Поставка 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Владивостокского </w:t>
      </w:r>
      <w:r>
        <w:rPr>
          <w:b/>
        </w:rPr>
        <w:t>транспортного участка</w:t>
      </w:r>
      <w:r>
        <w:rPr>
          <w:b/>
        </w:rPr>
        <w:t xml:space="preserve"> Владивостокского представительства АО "ТК РусГидро"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  <w:sz w:val="24"/>
                <w:szCs w:val="2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</w:t>
            </w:r>
            <w:r>
              <w:rPr>
                <w:rStyle w:val="Style14"/>
                <w:rFonts w:eastAsia="Calibri"/>
                <w:sz w:val="24"/>
                <w:szCs w:val="24"/>
                <w:lang w:eastAsia="x-none"/>
              </w:rPr>
              <w:t xml:space="preserve">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  <w:sz w:val="24"/>
                <w:szCs w:val="2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закупаемой продукции</w:t>
            </w:r>
            <w:r>
              <w:rPr>
                <w:rStyle w:val="Style14"/>
                <w:vanish w:val="false"/>
              </w:rPr>
              <w:tab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</w:rPr>
              <w:t>1</w:t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vanish w:val="false"/>
            </w:rPr>
            <w:t>0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  <w:sz w:val="24"/>
                <w:szCs w:val="24"/>
              </w:rPr>
              <w:t>1</w:t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vanish w:val="false"/>
              <w:sz w:val="24"/>
              <w:szCs w:val="24"/>
            </w:rPr>
            <w:t>0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  <w:t>Требования к объемам и срокам поставки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  <w:sz w:val="24"/>
                <w:szCs w:val="24"/>
              </w:rPr>
              <w:t>1</w:t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vanish w:val="false"/>
              <w:sz w:val="24"/>
              <w:szCs w:val="24"/>
            </w:rPr>
            <w:t>0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срокам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  <w:sz w:val="24"/>
                <w:szCs w:val="24"/>
              </w:rPr>
              <w:t>1</w:t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vanish w:val="false"/>
              <w:sz w:val="24"/>
              <w:szCs w:val="24"/>
            </w:rPr>
            <w:t>0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2. Требования к срокам закупаемой продукции</w:t>
              <w:tab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</w:rPr>
              <w:t>1</w:t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vanish w:val="false"/>
            </w:rPr>
            <w:t>0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  <w:sz w:val="24"/>
                <w:szCs w:val="24"/>
              </w:rPr>
              <w:t>1</w:t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vanish w:val="false"/>
              <w:sz w:val="24"/>
              <w:szCs w:val="24"/>
            </w:rPr>
            <w:t>1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3. Требования к качеству закупаемой продукции</w:t>
              <w:tab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</w:rPr>
              <w:t>1</w:t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vanish w:val="false"/>
            </w:rPr>
            <w:t>1</w:t>
          </w:r>
        </w:p>
        <w:p>
          <w:pPr>
            <w:pStyle w:val="TOC1"/>
            <w:rPr/>
          </w:pPr>
          <w:hyperlink w:anchor="_Toc54643712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Style14"/>
                <w:vanish w:val="false"/>
              </w:rPr>
              <w:tab/>
              <w:t>1</w:t>
            </w:r>
          </w:hyperlink>
          <w:r>
            <w:rPr>
              <w:vanish w:val="false"/>
            </w:rPr>
            <w:t>4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spacing w:before="120" w:after="0"/>
        <w:rPr>
          <w:rFonts w:cs="Calibri Light (Заголовки)"/>
          <w:b/>
          <w:bCs/>
          <w:sz w:val="24"/>
          <w:szCs w:val="24"/>
        </w:rPr>
      </w:pPr>
      <w:r>
        <w:rPr>
          <w:rFonts w:cs="Calibri Light (Заголовки)"/>
          <w:b/>
          <w:bCs/>
          <w:sz w:val="24"/>
          <w:szCs w:val="24"/>
        </w:rPr>
      </w:r>
    </w:p>
    <w:p>
      <w:pPr>
        <w:pStyle w:val="TOC1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TOC1"/>
        <w:rPr>
          <w:rFonts w:eastAsia="Calibri"/>
        </w:rPr>
      </w:pPr>
      <w:r>
        <w:rPr>
          <w:rFonts w:eastAsia="Calibri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54643694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5464369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trHeight w:val="354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Транспортное средство</w:t>
            </w:r>
          </w:p>
        </w:tc>
      </w:tr>
      <w:tr>
        <w:trPr>
          <w:trHeight w:val="24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ПТБ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hanging="0"/>
        <w:jc w:val="both"/>
        <w:rPr>
          <w:i/>
          <w:i/>
          <w:shd w:fill="FFFF99" w:val="clear"/>
        </w:rPr>
      </w:pPr>
      <w:r>
        <w:rPr>
          <w:lang w:val="ru-RU"/>
        </w:rPr>
        <w:t>Наименование закупаемой продукции</w:t>
      </w:r>
    </w:p>
    <w:p>
      <w:pPr>
        <w:pStyle w:val="Heading4"/>
        <w:numPr>
          <w:ilvl w:val="0"/>
          <w:numId w:val="0"/>
        </w:numPr>
        <w:ind w:left="0" w:hanging="0"/>
        <w:jc w:val="both"/>
        <w:rPr>
          <w:i/>
          <w:i/>
          <w:shd w:fill="FFFF99" w:val="clear"/>
        </w:rPr>
      </w:pPr>
      <w:r>
        <w:rPr>
          <w:lang w:val="ru-RU"/>
        </w:rPr>
        <w:t>ОКПД2: 29.32.30.390 Поставка 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Владивостокского транспортного участка Владивостокского представительства АО</w:t>
      </w:r>
      <w:bookmarkStart w:id="3" w:name="_Toc46743507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jc w:val="both"/>
        <w:rPr/>
      </w:pPr>
      <w:bookmarkStart w:id="4" w:name="_Toc54643697"/>
      <w:r>
        <w:rPr/>
        <w:t xml:space="preserve">Цель </w:t>
      </w:r>
      <w:bookmarkEnd w:id="3"/>
      <w:r>
        <w:rPr>
          <w:lang w:val="ru-RU"/>
        </w:rPr>
        <w:t>оказания услуг</w:t>
      </w:r>
      <w:bookmarkEnd w:id="4"/>
      <w:r>
        <w:rPr>
          <w:lang w:val="ru-RU"/>
        </w:rPr>
        <w:t>: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bookmarkStart w:id="5" w:name="_Toc54643699"/>
      <w:r>
        <w:rPr>
          <w:rFonts w:eastAsia="Calibri"/>
          <w:sz w:val="24"/>
          <w:szCs w:val="24"/>
          <w:lang w:eastAsia="x-none"/>
        </w:rPr>
        <w:t>Содержание в исправном техническом состоянии легковых автомобилей Владивостокского транспортного участка Владивостокского представительства АО «ТК РусГидро»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5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4"/>
        <w:gridCol w:w="3969"/>
        <w:gridCol w:w="3118"/>
        <w:gridCol w:w="2126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в отношении которого оказываются услуги (Марка,модель ТС)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Гос.номер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ALPHARD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T004TT25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Е263ММ77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С657ОХ125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PRADO 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C353OH125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К969НТ763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В041ВВ 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Н090КТ750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PRADO 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P769OH125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PRADO 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C086OH125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PRADO 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С335ОН 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LEXUS LX 570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Х291НМ777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Т680ОН125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Т670ОН125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С822ОН125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Т649ОН125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Т546ОН125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Т681ОН125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Т561ОН125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Т505ОН125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С819ОН125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Т678ОН125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Т657ОН125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Т656ОН125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С874ОН125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Т491ОН125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С872ОН125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Т031ОН125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Т659ОН125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Т634ОН125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Т644ОН125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Т652ОН125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PRADO 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C088OH125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Т632ОН125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Т485ОН125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Т025ОН125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Т671ОН125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С871ОН125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С989ОН125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PRADO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Н432СН05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С866ОН125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Т629ОН125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Т493ОН125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UAZ PATRIOT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P363OH125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UAZ PATRIOT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P351OH125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UAZ PATRIOT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P366OH125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UAZ PATRIOT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Х970ХТ125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Тойота LAND CRUISER PRADO120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К341ОР125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Regius Ace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К332ОР125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Regius Ace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Р327ОН125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HYUNDAI GRAND STAREX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Р278ОН125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HYUNDAI GRAND STAREX (D)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Е073ЕЕ125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Hiace (D)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С565ЕС125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Hiace (D)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В781АК 41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Hiace (D)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А672МА 750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KIA BONGO 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М510ВА125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Hiace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А568ВС125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 Владивостокского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NISSAN TERRANO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Р314ОН125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NISSAN TERRANO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О198МС125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NISSAN TERRANO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О199МС125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Lexus LS460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Т846СУ799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Т658ОН125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М211ОУ125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CAMRY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Н609НР750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Hiace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Е001ВК125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Hiace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A566ВС125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М568ОУ125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М207ОУ125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М223ОУ125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М531ОУ125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М520ОУ125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М529ОУ125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Lexus GS 350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Н080КТ750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HIACE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E116BK125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М139ОУ125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Тойота LAND CRUISER PRADO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E584KВ28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HIACE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E207BK125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М221ОУ125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PRADO 150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А757ТН125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CAMRY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Е815КН28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Lexus GS 350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М039ОН777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CAMRY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Н602НР750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М166ОУ125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HIACE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Е048ВК125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NISSAN LEAF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К807МА790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М530ОУ125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CAMRY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Е708РЕ799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УАЗ-315195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E072EE125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УАЗ-315195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M668ВС125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УАЗ-315195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M669ВС125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М528ОУ125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NISSAN LEAF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К896МА790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УАЗ-315195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E074EE125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М831ОУ125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М173ОУ125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PEUGEOT 39023A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М480ОУ125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PRADO 150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Т015ОН125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PRADO 150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Е838МА750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NISSAN e-NV200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P152TH125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NISSAN e-NV201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Х767ТМ125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NISSAN LEAF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Х853ТМ125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NISSAN LEAF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Х860ТН125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CAMRY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Е755РР777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ГАЗ 22177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Е654ОТ 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HYUNDAI Staria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К178СК 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HYUNDAI PALISAD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Р151ХО 27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Lexus GS 350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Р198РХ 19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Volkswagen 7HC Multi Van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В592ХТ126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200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М580НХ 197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Владивостокского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SOLLERS B-BF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А622РР 134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sz w:val="24"/>
          <w:szCs w:val="24"/>
        </w:rPr>
      </w:pPr>
      <w:bookmarkStart w:id="6" w:name="_Toc51339693"/>
      <w:bookmarkStart w:id="7" w:name="_Toc54643702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</w:t>
      </w:r>
      <w:bookmarkEnd w:id="6"/>
      <w:bookmarkEnd w:id="7"/>
      <w:r>
        <w:rPr>
          <w:iCs/>
          <w:sz w:val="24"/>
          <w:szCs w:val="24"/>
        </w:rPr>
        <w:t>закупаемой продукции</w:t>
      </w:r>
    </w:p>
    <w:p>
      <w:pPr>
        <w:pStyle w:val="Heading4"/>
        <w:numPr>
          <w:ilvl w:val="1"/>
          <w:numId w:val="3"/>
        </w:numPr>
        <w:rPr/>
      </w:pPr>
      <w:bookmarkStart w:id="8" w:name="_Toc54643703"/>
      <w:r>
        <w:rPr/>
        <w:t xml:space="preserve">Требования к объемам и срокам </w:t>
      </w:r>
      <w:bookmarkEnd w:id="8"/>
      <w:r>
        <w:rPr>
          <w:lang w:val="ru-RU"/>
        </w:rPr>
        <w:t>поставки закупаемой продукции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2.1.2.</w:t>
        <w:tab/>
        <w:t>Требования к срокам закупаемой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51339697"/>
      <w:bookmarkStart w:id="10" w:name="_Toc50125127"/>
      <w:bookmarkStart w:id="11" w:name="_Toc5464370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1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9"/>
      <w:bookmarkEnd w:id="10"/>
      <w:bookmarkEnd w:id="11"/>
      <w:bookmarkEnd w:id="12"/>
      <w:r>
        <w:rPr>
          <w:sz w:val="24"/>
          <w:szCs w:val="24"/>
          <w:lang w:val="ru-RU"/>
        </w:rPr>
        <w:t>поставки закупаемой продукции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«</w:t>
            </w:r>
            <w:r>
              <w:rPr>
                <w:sz w:val="24"/>
                <w:szCs w:val="24"/>
              </w:rPr>
              <w:t xml:space="preserve">Поставка </w:t>
            </w:r>
            <w:r>
              <w:rPr>
                <w:sz w:val="24"/>
              </w:rPr>
              <w:t xml:space="preserve">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</w:t>
            </w:r>
            <w:r>
              <w:rPr>
                <w:rFonts w:eastAsia="Calibri"/>
                <w:sz w:val="24"/>
                <w:szCs w:val="24"/>
                <w:lang w:eastAsia="x-none"/>
              </w:rPr>
              <w:t>Владивостокского</w:t>
            </w:r>
            <w:r>
              <w:rPr>
                <w:sz w:val="24"/>
              </w:rPr>
              <w:t xml:space="preserve"> транспортного участка Владивостокского представительства АО "ТК РусГидро"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rStyle w:val="Blk"/>
                <w:sz w:val="24"/>
                <w:szCs w:val="24"/>
              </w:rPr>
            </w:pPr>
            <w:r>
              <w:rPr>
                <w:rStyle w:val="Blk"/>
                <w:sz w:val="24"/>
                <w:szCs w:val="24"/>
              </w:rPr>
              <w:t xml:space="preserve">С момента (даты) оплаты авансового платежа, </w:t>
            </w:r>
            <w:r>
              <w:rPr>
                <w:sz w:val="24"/>
                <w:szCs w:val="24"/>
              </w:rPr>
              <w:t>в соответствие со сроками, установленными интернет-магазином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4"/>
                <w:szCs w:val="24"/>
              </w:rPr>
              <w:t>До исчерпания предельной стоимости договора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3" w:name="_Toc54643709"/>
      <w:bookmarkStart w:id="14" w:name="_Toc51339698"/>
      <w:bookmarkStart w:id="15" w:name="_Toc54643708"/>
      <w:bookmarkStart w:id="16" w:name="_Toc46743511"/>
      <w:r>
        <w:rPr/>
        <w:t xml:space="preserve">Требования к </w:t>
      </w:r>
      <w:bookmarkEnd w:id="16"/>
      <w:r>
        <w:rPr>
          <w:lang w:val="ru-RU"/>
        </w:rPr>
        <w:t>качеству</w:t>
      </w:r>
      <w:bookmarkEnd w:id="15"/>
      <w:r>
        <w:rPr>
          <w:lang w:val="ru-RU"/>
        </w:rPr>
        <w:t xml:space="preserve"> закупаемой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14"/>
      <w:r>
        <w:rPr>
          <w:sz w:val="24"/>
          <w:szCs w:val="24"/>
          <w:lang w:val="ru-RU"/>
        </w:rPr>
        <w:t xml:space="preserve">качеству </w:t>
      </w:r>
      <w:bookmarkEnd w:id="13"/>
      <w:r>
        <w:rPr>
          <w:sz w:val="24"/>
          <w:szCs w:val="24"/>
          <w:lang w:val="ru-RU"/>
        </w:rPr>
        <w:t>закупаемой продукции</w:t>
      </w:r>
      <w:r>
        <w:rPr>
          <w:sz w:val="24"/>
          <w:szCs w:val="24"/>
        </w:rPr>
        <w:t xml:space="preserve"> 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sz w:val="24"/>
          <w:szCs w:val="24"/>
        </w:rPr>
        <w:t>Поставка 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Владивостокского транспортного участка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6"/>
        <w:gridCol w:w="5655"/>
        <w:gridCol w:w="2967"/>
        <w:gridCol w:w="2645"/>
        <w:gridCol w:w="2742"/>
      </w:tblGrid>
      <w:tr>
        <w:trPr/>
        <w:tc>
          <w:tcPr>
            <w:tcW w:w="8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56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17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17"/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поставке запасных частей</w:t>
            </w:r>
          </w:p>
        </w:tc>
        <w:tc>
          <w:tcPr>
            <w:tcW w:w="29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поставке запасных частей</w:t>
            </w:r>
          </w:p>
        </w:tc>
        <w:tc>
          <w:tcPr>
            <w:tcW w:w="29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не восстановленной, заводского производства, пригодной к эксплуатации. Не допускается поставка выставочных образцов. Год производства – не ранее 2024 г.</w:t>
            </w:r>
          </w:p>
        </w:tc>
        <w:tc>
          <w:tcPr>
            <w:tcW w:w="29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4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7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Продукцию устанавливается гарантийный срок согласно гарантийному сроку завода-изготовителя и начинает действовать с момента передачи товара Покупателю, подписания товарной накладной.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Комплектность поставки должна обеспечить возможность использования продукции по прямому назначению.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Качество и безопасность поставляемой Продукции должны соответствовать действующим стандартам и условиям, утвержденными на данный вид Продукции, оформленным в соответствии с законодательством Российской Федерации и Договором.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поставки запасных частей</w:t>
            </w:r>
          </w:p>
        </w:tc>
        <w:tc>
          <w:tcPr>
            <w:tcW w:w="29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исполнения по конкретной заявке согласовываются сторонами, но не должен превышать 4 (четырех) рабочих дней.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.2.2.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у Поставщика пункта выдачи продукции в Приморский край, г. Владивосток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 поставкой Поставщик предоставляет документы, подтверждающие качество поставляемой продукции.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1.2.4.</w:t>
            </w:r>
          </w:p>
        </w:tc>
        <w:tc>
          <w:tcPr>
            <w:tcW w:w="565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lang w:eastAsia="en-US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Маркировка, упаковка должны соответствовать требованиям технических регламентов, стандартов, технических условий, устанавливающих обязательные требования к маркировке, и упаковке данного вида Продукции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1.2.5.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59" w:before="0" w:after="1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Приемка Товара осуществляется на основании отгрузочных документов Поставщика. Покупатель обязан принять Товар путем его проверки на соответствие сопроводительным документам, в момент передачи товара. При обнаружении несоответствия Товара сопроводительным документам, а также в случае несоблюдения Поставщиком условия о количестве/качестве Товара, сторонами составляется Акт об установленном расхождении по количеству/качеству, в котором отражаются недостатки передаваемого Товара (Акт ТОРГ-12).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1.2.6.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 В случае получения Продукции в дефектной упаковке Покупатель имеет право не принимать такую Продукцию и вернуть ее Поставщику, за счет Поставщика.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1.2.7.</w:t>
            </w:r>
          </w:p>
        </w:tc>
        <w:tc>
          <w:tcPr>
            <w:tcW w:w="56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В случае получения Продукции с недостатками, которые выявлены в процессе установки на транспортное средство (скрытые недостатки) Покупатель имеет право направить Продавцу претензию и требовать возврат денежных средств за некачественный товар.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1.2.8.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Товар без обязательных сопроводительных документов: накладная (формы ТОРГ 12/УПД), счет-фактуры, сертификат качества, технический паспорт, гарантийный талон - не принимается, ответственность за ее сохранность Покупатель не несет.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1.2.9.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 возникновении потребности в Продукции, Покупатель формирует заявку на приобретение по форме приложения № 1 к техническим требованиям. По средствам личных кабинетов интернет площадок победителей, Покупатель производит сравнение стоимости номенклатуры, необходимой к поставке. Продукция закупается по наиболее выгодной цене.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1.2.10.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Отсутствие обязанности у Покупателя произвести полную выборку цены каждого договора, заключаемом с каждым победителем.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4335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18" w:name="_Toc54643710"/>
      <w:bookmarkStart w:id="19" w:name="_Toc53395937"/>
      <w:bookmarkStart w:id="20" w:name="_Toc5339331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19"/>
      <w:bookmarkEnd w:id="20"/>
      <w:r>
        <w:rPr>
          <w:sz w:val="24"/>
          <w:szCs w:val="24"/>
          <w:lang w:val="ru-RU"/>
        </w:rPr>
        <w:t xml:space="preserve"> на </w:t>
      </w:r>
      <w:bookmarkEnd w:id="18"/>
      <w:r>
        <w:rPr>
          <w:sz w:val="24"/>
          <w:szCs w:val="24"/>
          <w:lang w:val="ru-RU"/>
        </w:rPr>
        <w:t>заключения (исполнения) договора.</w:t>
      </w:r>
    </w:p>
    <w:p>
      <w:pPr>
        <w:pStyle w:val="ListParagraph"/>
        <w:ind w:left="0" w:hanging="0"/>
        <w:jc w:val="both"/>
        <w:rPr/>
      </w:pPr>
      <w:bookmarkStart w:id="21" w:name="_Toc51339699"/>
      <w:bookmarkStart w:id="22" w:name="_Toc46743519"/>
      <w:r>
        <w:rPr>
          <w:bCs/>
        </w:rPr>
        <w:tab/>
      </w:r>
      <w:bookmarkEnd w:id="21"/>
      <w:bookmarkEnd w:id="22"/>
      <w:r>
        <w:rPr>
          <w:rFonts w:eastAsia="Times New Roman"/>
        </w:rPr>
        <w:t>3.1. В цену продукции должны быть включены все затраты, связанные с исполнением обязательств по поставке продукции, в том числе, все налоги, сборы и пошлины, расходы на доставку Продукции до места поставки, погрузку и разгрузку, иные расходы, связанные с исполнением обязательств по Договору</w:t>
      </w:r>
      <w:r>
        <w:rPr>
          <w:iCs/>
          <w:color w:val="000000"/>
          <w:lang w:eastAsia="x-none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e318d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2b0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52BF-F868-4547-A1D2-A9C18991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Application>AlterOffice/3.4.0.9$Linux_X86_64 LibreOffice_project/b8daf9e823b1a5463a2f48435ddc2e8696e7d4fc</Application>
  <AppVersion>15.0000</AppVersion>
  <Pages>14</Pages>
  <Words>2118</Words>
  <Characters>15777</Characters>
  <CharactersWithSpaces>17336</CharactersWithSpaces>
  <Paragraphs>559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2023-04-20T07:37:00Z</dcterms:created>
  <dc:creator>Быстров Олег Геннадьевич</dc:creator>
  <dc:description/>
  <dc:language>ru-RU</dc:language>
  <cp:lastModifiedBy>kovalchukvv@corp.gidroogk.com</cp:lastModifiedBy>
  <cp:lastPrinted>2025-02-10T12:14:38Z</cp:lastPrinted>
  <dcterms:modified xsi:type="dcterms:W3CDTF">2026-06-08T15:34:08Z</dcterms:modified>
  <cp:revision>56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