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Запрос технико-коммерческих предложений в рамках закупки </w:t>
      </w:r>
      <w:r>
        <w:rPr>
          <w:rFonts w:eastAsia="Calibri"/>
          <w:b/>
          <w:sz w:val="26"/>
          <w:szCs w:val="26"/>
        </w:rPr>
        <w:t>ОКПД2 29.32.30.390 Поставка комплектующих для ремонта самоходной техники для нужд Загорского строительного участка Центрального филиала АО «ТК РусГидро»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en-US" w:bidi="ar-SA"/>
        </w:rPr>
        <w:t xml:space="preserve"> 7189-ЭКСП ПРОД-2026-ТК_Центр_фил      </w:t>
      </w:r>
      <w:r>
        <w:rPr>
          <w:rFonts w:eastAsia="Calibri"/>
        </w:rPr>
        <w:t xml:space="preserve">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ascii="Times New Roman" w:hAnsi="Times New Roman"/>
          <w:sz w:val="26"/>
          <w:szCs w:val="26"/>
        </w:rPr>
        <w:t>ОКПД2 29.32.30.390 Поставка комплектующих для ремонта самоходной техники для нужд Загорского строительного участка Центрального филиала АО «ТК РусГидро».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предложений: до 08:00 </w:t>
      </w:r>
      <w:r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sz w:val="28"/>
          <w:szCs w:val="28"/>
        </w:rPr>
        <w:t xml:space="preserve"> </w:t>
      </w:r>
      <w:r>
        <w:rPr>
          <w:rFonts w:eastAsia="Calibri" w:cs="Times New Roman"/>
          <w:sz w:val="24"/>
          <w:szCs w:val="24"/>
        </w:rPr>
        <w:t>либо в виде сканированной электронной копии в адрес ответственного лица: MasterinNN@rushydro.ru.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AlterOffice/3.4.0.9$Linux_X86_64 LibreOffice_project/b8daf9e823b1a5463a2f48435ddc2e8696e7d4fc</Application>
  <AppVersion>15.0000</AppVersion>
  <Pages>2</Pages>
  <Words>477</Words>
  <Characters>3380</Characters>
  <CharactersWithSpaces>3889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2026-06-08T11:03:39Z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