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sz w:val="32"/>
        </w:rPr>
      </w:pPr>
      <w:r>
        <w:rPr>
          <w:rFonts w:eastAsia="Calibri"/>
          <w:b/>
        </w:rPr>
        <w:t>«ОКПД2 26.51.43.120 Поставка устройств калибровки средств измерения температуры для нужд Филиала ПАО "РусГидро" - "Карачаево-Черкесский филиал"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Лот 8-ЭКСППРОД-2026-КЧФ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  <w:r>
              <w:rPr>
                <w:rStyle w:val="Style14"/>
                <w:lang w:val="en-US"/>
              </w:rPr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</w:r>
            <w:r>
              <w:rPr>
                <w:rStyle w:val="Style14"/>
                <w:lang w:val="en-US"/>
              </w:rPr>
              <w:t>1</w:t>
            </w:r>
          </w:hyperlink>
          <w:r>
            <w:rPr/>
            <w:t>4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  <w:tab w:val="left" w:pos="707" w:leader="none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ТПиР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техническое перевооружение и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ГЭС-ГАЭС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гидроэлектростанция- 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НДС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налог на добавленную стоимость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Средства измерения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jc w:val="both"/>
        <w:rPr>
          <w:lang w:eastAsia="x-none"/>
        </w:rPr>
      </w:pPr>
      <w:bookmarkStart w:id="6" w:name="_Toc75446569"/>
      <w:r>
        <w:rPr>
          <w:lang w:eastAsia="x-none"/>
        </w:rPr>
        <w:t>«ОКПД2 26.51.43.120 Поставка устройств калибровки средств измерения температуры для нужд Филиала ПАО "РусГидро" - "Карачаево-Черкесский филиал"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6"/>
    </w:p>
    <w:p>
      <w:pPr>
        <w:pStyle w:val="Normal"/>
        <w:jc w:val="both"/>
        <w:rPr>
          <w:lang w:val="x-none" w:eastAsia="x-none"/>
        </w:rPr>
      </w:pPr>
      <w:r>
        <w:rPr>
          <w:lang w:eastAsia="x-none"/>
        </w:rPr>
        <w:t>Устройства калибровки средств измерения температуры закупаются для нужд Филиала ПАО «РусГидро» - «Карачаево-Черкесский филиал», обеспечивая проведение метрологических работ, в т.ч. согласно Федерального закона от 26 июня 2008 г. N 102-ФЗ "Об обеспечении единства измерений" (актуальная редакция).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75446573"/>
      <w:bookmarkStart w:id="9" w:name="_Toc51339693"/>
      <w:bookmarkStart w:id="10" w:name="_Toc50125126"/>
      <w:bookmarkStart w:id="11" w:name="_Toc46743510"/>
      <w:bookmarkEnd w:id="10"/>
      <w:bookmarkEnd w:id="11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13" w:name="_Toc75446575"/>
      <w:r>
        <w:rPr>
          <w:lang w:val="ru-RU"/>
        </w:rPr>
        <w:t>Перечень и объем закупаемой продукци</w:t>
      </w:r>
      <w:bookmarkEnd w:id="13"/>
      <w:r>
        <w:rPr>
          <w:lang w:val="ru-RU"/>
        </w:rPr>
        <w:t>и</w:t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4" w:name="_Toc75446576"/>
      <w:bookmarkStart w:id="15" w:name="_Toc51339695"/>
      <w:r>
        <w:rPr/>
        <w:t xml:space="preserve">Таблица </w:t>
      </w:r>
      <w:r>
        <w:rPr>
          <w:lang w:val="ru-RU"/>
        </w:rPr>
        <w:t>1.1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15"/>
      <w:r>
        <w:rPr>
          <w:lang w:val="ru-RU"/>
        </w:rPr>
        <w:t>и объем закупаемой продукции</w:t>
      </w:r>
      <w:bookmarkEnd w:id="14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ffff5"/>
        <w:tblW w:w="9949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6585"/>
        <w:gridCol w:w="2661"/>
      </w:tblGrid>
      <w:tr>
        <w:trPr/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п.п.</w:t>
            </w:r>
          </w:p>
        </w:tc>
        <w:tc>
          <w:tcPr>
            <w:tcW w:w="6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 xml:space="preserve">Наименование </w:t>
            </w:r>
          </w:p>
        </w:tc>
        <w:tc>
          <w:tcPr>
            <w:tcW w:w="26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Количество, шт</w:t>
            </w:r>
          </w:p>
        </w:tc>
      </w:tr>
      <w:tr>
        <w:trPr/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x-none" w:bidi="ar-SA"/>
              </w:rPr>
              <w:t>1</w:t>
            </w:r>
          </w:p>
        </w:tc>
        <w:tc>
          <w:tcPr>
            <w:tcW w:w="6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x-none" w:bidi="ar-SA"/>
              </w:rPr>
              <w:t>2</w:t>
            </w:r>
          </w:p>
        </w:tc>
        <w:tc>
          <w:tcPr>
            <w:tcW w:w="26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1</w:t>
            </w:r>
          </w:p>
        </w:tc>
        <w:tc>
          <w:tcPr>
            <w:tcW w:w="65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Калибратор температуры сухоблочный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TK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ETC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-400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G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(или эквивалент)</w:t>
            </w:r>
          </w:p>
        </w:tc>
        <w:tc>
          <w:tcPr>
            <w:tcW w:w="26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bookmarkStart w:id="16" w:name="_Toc7544657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 xml:space="preserve">к срокам поставки продукции 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Cs/>
          <w:i/>
          <w:i/>
          <w:iCs/>
          <w:sz w:val="24"/>
          <w:szCs w:val="24"/>
          <w:shd w:fill="FFFF99" w:val="clear"/>
        </w:rPr>
      </w:pPr>
      <w:bookmarkStart w:id="18" w:name="_Toc75446579"/>
      <w:bookmarkStart w:id="19" w:name="_Toc50125127"/>
      <w:bookmarkStart w:id="20" w:name="_Toc5133969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6"/>
        <w:gridCol w:w="3119"/>
        <w:gridCol w:w="2974"/>
        <w:gridCol w:w="3118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«ОКПД2 26.51.43.120 Поставка устройств калибровки средств измерения температуры для нужд Филиала ПАО "РусГидро" - "Карачаево-Черкесский филиал"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4"/>
                <w:lang w:eastAsia="x-none"/>
              </w:rPr>
              <w:t>с даты заключения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  <w:lang w:eastAsia="x-none"/>
              </w:rPr>
              <w:t>До 21.11.2026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23" w:name="_Toc51339698"/>
      <w:bookmarkStart w:id="24" w:name="_Toc75446581"/>
      <w:bookmarkStart w:id="25" w:name="_Toc46743511"/>
      <w:bookmarkStart w:id="26" w:name="_Toc46743510_Копия_1"/>
      <w:bookmarkEnd w:id="26"/>
      <w:r>
        <w:rPr/>
        <w:t xml:space="preserve">Требования к </w:t>
      </w:r>
      <w:bookmarkEnd w:id="25"/>
      <w:r>
        <w:rPr>
          <w:lang w:val="ru-RU"/>
        </w:rPr>
        <w:t>качеству продукции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3"/>
    </w:p>
    <w:p>
      <w:pPr>
        <w:pStyle w:val="Normal"/>
        <w:jc w:val="both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 Таблицы 1.1): «ОКПД2 26.51.43.120 Поставка устройств калибровки средств измерения температуры для нужд Филиала ПАО "РусГидро" - "Карачаево-Черкесский филиал"</w:t>
      </w:r>
      <w:r>
        <w:rPr>
          <w:rStyle w:val="Style8"/>
          <w:b w:val="false"/>
          <w:iCs/>
          <w:sz w:val="24"/>
          <w:szCs w:val="24"/>
          <w:shd w:fill="auto" w:val="clear"/>
        </w:rPr>
        <w:t xml:space="preserve">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2834"/>
        <w:gridCol w:w="3403"/>
        <w:gridCol w:w="3544"/>
        <w:gridCol w:w="2408"/>
        <w:gridCol w:w="2267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9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Состояние 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поставить все изделия новыми, не восстановленными, не бывшими в употреблении, ремонте, работоспособными, включив в комплект поставки все необходимые для выполнения данного требования компоненты. Поставляемый товар должен отвечать требованиям соответствующих стандартов, технических спецификаций (ТУ, ГОСТ и т.д.).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Диапазон воспроизводимых температур, °C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 +50 до +400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Нестабильность поддержания заданной температуры в течение 30  минут (после достижения режима стабилизации по  внутреннему термометру калибратора), ºС</w:t>
            </w:r>
          </w:p>
        </w:tc>
        <w:tc>
          <w:tcPr>
            <w:tcW w:w="3403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±0,1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Осевая неоднородность температуры по высоте рабочей зоны 40 мм от дна каналов блока сравнения (вертикальный градиент), °С, не более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±0,5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Разность воспроизводимых температур в каналах блока сравнения одного диаметра (горизонтальный градиент), °С,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±0,2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Значение единицы младшего разряда, ºС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0,1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Время нагрева, мин,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8 </w:t>
            </w:r>
          </w:p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(при нагреве от +50 до +400°С)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Время охлаждения, мин,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60 </w:t>
            </w:r>
          </w:p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(при охлаждении от +400 до +50°С)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Напряжение питания, В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 198 до 242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Максимальная потребляемая мощность, Вт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350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Интерфейс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RS-485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Габаритные размеры корпуса калибратора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(длина×ширина×высота), мм,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220×160×110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Габаритные размеры вставного (сменного)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блока сравнения (диаметр×глубина), мм,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Ø30×110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Глубина отверстий блока сравнения, мм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110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Стандартная вставка с отверстиями, мм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Ø4,5/ Ø6,5/ Ø8/ Ø10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Масса калибратора, кг,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2,2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Средняя наработка на отказ, ч,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40 000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Средний срок службы, лет,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Безопасность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поставляемые изделия должны быть безопасными в процессе эксплуатации, хранения, транспортировки.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Исполнение оборудования должно позволять эксплуатацию в при условиях окружающей среды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температура окружающего воздуха, (°С) от +10 до +35;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относительная влажность воздуха,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%, не более 80 (без конденсации)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 xml:space="preserve">Состав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комплекта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Калибратор TKG-ETC-400G;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Кейс для транспортировки;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Вставка с отверстиями: Ø4,5, Ø6,5 Ø8, Ø10;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Зажим для извлечения вставки из калибратора;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Кабель питания;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Паспорт;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178" w:hanging="25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Руководство по эксплуатации.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Конструкция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Конструкция изделий должна обеспечивать их полную работоспособность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Повреждения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следов механических повреждений, коррозии, окислов, деформации и иных повреждений не допускаются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Эквивалент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lineRule="auto" w:line="276"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В случае, если Участником предлагаются эквиваленты требуемого Заказчику оборудования или его составных частей в составе своего предложения, он должен, в обязательном порядке, предоставить подробное техническое описание предлагаемого к поставке эквивалента. Отсутствие в составе Заявки подробного технического описания эквивалента оборудования является причиной отклонения предложения Участника.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lineRule="auto" w:line="276"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Эквивалентное оборудование - это оборудование, которое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В случае предложения эквивалентов, Участнику необходимо обеспечить выполнение следующих условий: для оценки возможности использования предлагаемого эквивалентного оборудования, предложение Участника должно содержать подробную техническую информацию в объеме, соответствующем техническим требованиям, указанным Заказчиком.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lineRule="auto" w:line="276"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Параметрами эквивалентности являются технические характеристики оборудования, указанного к настоящим техническим требованиям. Для оценки возможности использования предлагаемого эквивалентного оборудования, предложение Участника должно содержать техническую информацию в объеме, соответствующем техническим требованиям, указанным Заказчиком в приложении № 1 технических требований.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В случае предложения эквивалентов, на эквивалент должны быть предоставлены методика поверки, сертификат об утверждении типа СИ с описанием типа СИ, сведения о результатах поверки в целях подтверждения поверки должны быть переданы в ФИФ по обеспечению единства измерений в соответствии с порядком создания и ведения ФГИС «Аршин», выписка или отметка о проведении поверки предоставляется на основе распечатки сведений, внесенных в ФИФ ФГИС «Аршин» и проставлением отметки в паспорте на данное СИ, с датой не более одного квартала с даты закупки в 1 экз.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пгт. Правокубанский, Карачаевский муниципальный район, Карачаево-Черкесская Республика, Российская Федерация, 369244.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 поверке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Сведения о результатах поверки в целях подтверждения поверки должны быть переданы в ФИФ по обеспечению единства измерений в соответствии с порядком создания и ведения ФГИС «Аршин», выписка или отметка о проведении поверки предоставляется на основе распечатки сведений, внесенных в ФИФ ФГИС «Аршин» и проставлением отметки в паспорте на данное СИ, с датой не более одного квартала с даты закупки в 1 экз.;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качеству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Sylfaen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Поставляемое Оборудование должно быть пригодными для использования, иметь действующие сертификаты безопасности, технические паспорта и протоколы измерений/испытаний и разрешены для использования на территории РФ, с датой выпуска не позднее даты истечения срока действия описания типа средства измерения;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поставленные изделия должен составлять не менее 12 месяцев с даты поставки (подписания Акта приемки)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СИ и запасные части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со средствами измерения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 Поставщик обязан одновременно с передачей изделий передать Покупателю относящиеся к ним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упаковочн</w:t>
            </w:r>
            <w:bookmarkStart w:id="28" w:name="_GoBack"/>
            <w:bookmarkEnd w:id="2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 или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 либо УПД;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 актуальн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ый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сертификат официального диллера/дистрибьютора или узкоспециализированного поставщика (если не производитель)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9" w:name="_Toc75446583"/>
      <w:bookmarkStart w:id="30" w:name="_Toc53393312"/>
      <w:r>
        <w:rPr>
          <w:lang w:val="ru-RU"/>
        </w:rPr>
        <w:t>Требования к документации по ценообразованию</w:t>
      </w:r>
      <w:bookmarkEnd w:id="30"/>
      <w:r>
        <w:rPr>
          <w:lang w:val="ru-RU"/>
        </w:rPr>
        <w:t xml:space="preserve"> на этапе закупки</w:t>
      </w:r>
      <w:bookmarkEnd w:id="29"/>
    </w:p>
    <w:p>
      <w:pPr>
        <w:pStyle w:val="Normal"/>
        <w:ind w:firstLine="851"/>
        <w:jc w:val="both"/>
        <w:rPr>
          <w:lang w:eastAsia="x-none"/>
        </w:rPr>
      </w:pPr>
      <w:r>
        <w:rPr>
          <w:lang w:eastAsia="x-none"/>
        </w:rPr>
        <w:t>3.1.</w:t>
        <w:tab/>
        <w:t>В обоснование стоимости своей заявки Участник предоставляет Коммерческое предложение по форме Спецификации, приведенной в Требованиях (Приложение № 1 к Техническим требованиям)</w:t>
      </w:r>
    </w:p>
    <w:p>
      <w:pPr>
        <w:pStyle w:val="Normal"/>
        <w:ind w:firstLine="851"/>
        <w:jc w:val="both"/>
        <w:rPr>
          <w:lang w:eastAsia="x-none"/>
        </w:rPr>
      </w:pPr>
      <w:r>
        <w:rPr>
          <w:lang w:eastAsia="x-none"/>
        </w:rPr>
        <w:t>3.2.</w:t>
        <w:tab/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31" w:name="_Toc51339699"/>
      <w:bookmarkStart w:id="32" w:name="_Toc46743519"/>
      <w:bookmarkStart w:id="33" w:name="_Toc75446585"/>
      <w:r>
        <w:rPr>
          <w:iCs/>
        </w:rPr>
        <w:t>Приложения</w:t>
      </w:r>
      <w:bookmarkEnd w:id="31"/>
      <w:bookmarkEnd w:id="32"/>
      <w:bookmarkEnd w:id="33"/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Приложение № 1: </w:t>
      </w:r>
      <w:bookmarkStart w:id="34" w:name="_Hlk87532473"/>
      <w:r>
        <w:rPr>
          <w:bCs/>
          <w:i/>
          <w:iCs/>
          <w:sz w:val="24"/>
          <w:szCs w:val="24"/>
        </w:rPr>
        <w:t>Требования к оформлению и составлению документации по ценообразова</w:t>
      </w:r>
      <w:bookmarkEnd w:id="34"/>
      <w:r>
        <w:rPr>
          <w:bCs/>
          <w:i/>
          <w:iCs/>
          <w:sz w:val="24"/>
          <w:szCs w:val="24"/>
        </w:rPr>
        <w:t>нию;</w:t>
      </w:r>
    </w:p>
    <w:p>
      <w:pPr>
        <w:pStyle w:val="Normal"/>
        <w:jc w:val="right"/>
        <w:rPr>
          <w:sz w:val="24"/>
        </w:rPr>
      </w:pPr>
      <w:bookmarkStart w:id="35" w:name="_Hlk48222348"/>
      <w:r>
        <w:rPr>
          <w:sz w:val="24"/>
        </w:rPr>
        <w:t>Приложение №1 к ТТ</w:t>
      </w:r>
      <w:bookmarkEnd w:id="35"/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Требования </w:t>
        <w:br/>
        <w:t>к оформлению и составлению документации по ценообразованию</w:t>
      </w:r>
    </w:p>
    <w:p>
      <w:pPr>
        <w:pStyle w:val="Normal"/>
        <w:widowControl w:val="false"/>
        <w:jc w:val="center"/>
        <w:rPr>
          <w:b/>
          <w:bCs/>
          <w:i/>
          <w:i/>
          <w:caps/>
          <w:sz w:val="24"/>
          <w:szCs w:val="24"/>
          <w:shd w:fill="FFFF99" w:val="clear"/>
        </w:rPr>
      </w:pPr>
      <w:bookmarkStart w:id="36" w:name="_Hlk48224758"/>
      <w:bookmarkStart w:id="37" w:name="_Ref40301253"/>
      <w:r>
        <w:rPr>
          <w:rFonts w:eastAsia="Calibri"/>
          <w:b/>
          <w:color w:val="000000"/>
        </w:rPr>
        <w:t>Спецификация поставляемого оборудования</w:t>
      </w:r>
      <w:bookmarkEnd w:id="36"/>
      <w:bookmarkEnd w:id="37"/>
    </w:p>
    <w:p>
      <w:pPr>
        <w:pStyle w:val="Normal"/>
        <w:widowControl w:val="false"/>
        <w:ind w:left="9781" w:hanging="0"/>
        <w:jc w:val="both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tbl>
      <w:tblPr>
        <w:tblpPr w:bottomFromText="0" w:horzAnchor="margin" w:leftFromText="180" w:rightFromText="180" w:tblpX="0" w:tblpY="3462" w:topFromText="0" w:vertAnchor="page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5a0" w:noVBand="1" w:noHBand="0" w:lastColumn="1" w:firstColumn="1" w:lastRow="0" w:firstRow="1"/>
      </w:tblPr>
      <w:tblGrid>
        <w:gridCol w:w="416"/>
        <w:gridCol w:w="1114"/>
        <w:gridCol w:w="712"/>
        <w:gridCol w:w="1052"/>
        <w:gridCol w:w="1183"/>
        <w:gridCol w:w="485"/>
        <w:gridCol w:w="759"/>
        <w:gridCol w:w="761"/>
        <w:gridCol w:w="774"/>
        <w:gridCol w:w="511"/>
        <w:gridCol w:w="847"/>
        <w:gridCol w:w="1306"/>
      </w:tblGrid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позиции товара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Тип, марка, артикул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характеристики (описание)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Цена одной единицы товара руб. без НДС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Цена одной единицы товара руб. с НДС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Итоговая стоимость позиции товара руб. с НДС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left="735" w:hanging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Примечание</w:t>
      </w:r>
      <w:r>
        <w:rPr>
          <w:color w:val="000000"/>
          <w:sz w:val="24"/>
          <w:szCs w:val="24"/>
        </w:rPr>
        <w:t>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Normal"/>
        <w:widowControl w:val="false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5526" w:leader="none"/>
        </w:tabs>
        <w:ind w:left="426" w:hanging="0"/>
        <w:jc w:val="both"/>
        <w:rPr/>
      </w:pPr>
      <w:r>
        <w:rPr/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Geneva CY">
    <w:altName w:val="Courier New"/>
    <w:charset w:val="01"/>
    <w:family w:val="roman"/>
    <w:pitch w:val="variable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4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tabs>
        <w:tab w:val="clear" w:pos="708"/>
        <w:tab w:val="left" w:pos="707" w:leader="none"/>
      </w:tabs>
      <w:spacing w:before="120" w:after="60"/>
      <w:ind w:left="5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707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>
    <w:name w:val="page number1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5">
    <w:name w:val="Символ нумерации"/>
    <w:qFormat/>
    <w:rPr/>
  </w:style>
  <w:style w:type="character" w:styleId="Style16">
    <w:name w:val="Нижний колонтитул Знак"/>
    <w:qFormat/>
    <w:rPr>
      <w:rFonts w:ascii="Geneva CY;Courier New" w:hAnsi="Geneva CY;Courier New" w:eastAsia="Geneva;Arial" w:cs="Geneva CY;Courier New"/>
      <w:sz w:val="24"/>
      <w:lang w:val="ru-RU" w:eastAsia="ru-RU"/>
    </w:rPr>
  </w:style>
  <w:style w:type="character" w:styleId="Style17">
    <w:name w:val="Текст выноски Знак"/>
    <w:qFormat/>
    <w:rPr>
      <w:rFonts w:ascii="Lucida Grande;Times New Roman" w:hAnsi="Lucida Grande;Times New Roman" w:eastAsia="Geneva;Arial" w:cs="Lucida Grande;Times New Roman"/>
      <w:sz w:val="18"/>
      <w:szCs w:val="18"/>
      <w:lang w:val="ru-RU" w:eastAsia="ru-RU"/>
    </w:rPr>
  </w:style>
  <w:style w:type="character" w:styleId="PageNumber">
    <w:name w:val="Page Number"/>
    <w:rPr/>
  </w:style>
  <w:style w:type="character" w:styleId="14">
    <w:name w:val="Основной шрифт абзаца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  <w:b w:val="false"/>
    </w:rPr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7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rsid w:val="000b1f5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ru-RU" w:eastAsia="en-US" w:bidi="ar-SA"/>
    </w:rPr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Текст выноски"/>
    <w:basedOn w:val="Normal"/>
    <w:qFormat/>
    <w:pPr/>
    <w:rPr>
      <w:rFonts w:ascii="Lucida Grande;Times New Roman" w:hAnsi="Lucida Grande;Times New Roman" w:cs="Lucida Grande;Times New Roman"/>
      <w:sz w:val="18"/>
      <w:szCs w:val="18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11">
    <w:name w:val="Указатель1"/>
    <w:basedOn w:val="Normal"/>
    <w:qFormat/>
    <w:pPr>
      <w:suppressLineNumbers/>
    </w:pPr>
    <w:rPr/>
  </w:style>
  <w:style w:type="paragraph" w:styleId="112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3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29">
    <w:name w:val="Указатель2"/>
    <w:basedOn w:val="Normal"/>
    <w:qFormat/>
    <w:pPr>
      <w:suppressLineNumbers/>
    </w:pPr>
    <w:rPr/>
  </w:style>
  <w:style w:type="paragraph" w:styleId="210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1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>
    <w:name w:val="Указатель3"/>
    <w:basedOn w:val="Normal"/>
    <w:qFormat/>
    <w:pPr>
      <w:suppressLineNumbers/>
    </w:pPr>
    <w:rPr/>
  </w:style>
  <w:style w:type="paragraph" w:styleId="Style42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84B5-1D2C-469C-9800-A5F7018C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Application>AlterOffice/3.4.0.9$Linux_X86_64 LibreOffice_project/b8daf9e823b1a5463a2f48435ddc2e8696e7d4fc</Application>
  <AppVersion>15.0000</AppVersion>
  <Pages>15</Pages>
  <Words>1469</Words>
  <Characters>9834</Characters>
  <CharactersWithSpaces>11015</CharactersWithSpaces>
  <Paragraphs>287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2023-01-18T10:42:00Z</dcterms:created>
  <dc:creator>Быстров Олег Геннадьевич</dc:creator>
  <dc:description/>
  <dc:language>ru-RU</dc:language>
  <cp:lastModifiedBy>raspertovam@corp.gidroogk.com</cp:lastModifiedBy>
  <cp:lastPrinted>2023-01-18T10:59:00Z</cp:lastPrinted>
  <dcterms:modified xsi:type="dcterms:W3CDTF">2026-06-05T09:54:09Z</dcterms:modified>
  <cp:revision>82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