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5.xml" ContentType="application/vnd.openxmlformats-officedocument.wordprocessingml.footer+xml"/>
  <Override PartName="/word/styles.xml" ContentType="application/vnd.openxmlformats-officedocument.wordprocessingml.styles+xml"/>
  <Override PartName="/customXml/_rels/item1.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itemProps3.xml" ContentType="application/vnd.openxmlformats-officedocument.customXmlProperties+xml"/>
  <Override PartName="/customXml/item3.xml" ContentType="application/xml"/>
  <Override PartName="/customXml/item4.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1.xml" ContentType="application/xml"/>
  <Override PartName="/customXml/item2.xml" ContentType="application/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пгт Талакан</w:t>
        <w:tab/>
        <w:t xml:space="preserve">   «___» _________ 2026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w:t>
      </w:r>
      <w:r>
        <w:rPr>
          <w:spacing w:val="4"/>
          <w:sz w:val="24"/>
          <w:szCs w:val="24"/>
        </w:rPr>
        <w:t>, действующего на основании _____________________,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________________________</w:t>
      </w:r>
      <w:r>
        <w:rPr>
          <w:spacing w:val="10"/>
          <w:sz w:val="24"/>
          <w:szCs w:val="24"/>
        </w:rPr>
        <w:t xml:space="preserve">(_____________) (далее – «Поставщик»), в лице ___________________, действующего на основании __________________, </w:t>
      </w:r>
      <w:r>
        <w:rPr>
          <w:sz w:val="24"/>
          <w:szCs w:val="24"/>
        </w:rPr>
        <w:t xml:space="preserve">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ind w:left="0" w:firstLine="708"/>
        <w:jc w:val="both"/>
        <w:textAlignment w:val="baseline"/>
        <w:rPr>
          <w:sz w:val="24"/>
          <w:szCs w:val="24"/>
          <w:lang w:eastAsia="en-US"/>
        </w:rPr>
      </w:pPr>
      <w:r>
        <w:rPr>
          <w:b/>
          <w:sz w:val="24"/>
          <w:szCs w:val="24"/>
          <w:lang w:eastAsia="en-US"/>
        </w:rPr>
        <w:t xml:space="preserve"> </w:t>
      </w: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 xml:space="preserve"> </w:t>
      </w: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rPr>
        <w:t>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«РусГидро»-«Бурейская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w:t>
      </w:r>
      <w:r>
        <w:rPr>
          <w:rFonts w:eastAsia="Calibri" w:cs="TimesNewRomanPSMT" w:ascii="TimesNewRomanPSMT" w:hAnsi="TimesNewRomanPSMT" w:eastAsiaTheme="minorHAnsi"/>
          <w:sz w:val="24"/>
          <w:szCs w:val="24"/>
          <w:lang w:eastAsia="en-US"/>
        </w:rPr>
        <w:t xml:space="preserve"> </w:t>
      </w:r>
      <w:r>
        <w:rPr>
          <w:rFonts w:eastAsia="Calibri" w:cs="TimesNewRomanPSMT" w:eastAsiaTheme="minorHAnsi"/>
          <w:sz w:val="24"/>
          <w:szCs w:val="24"/>
          <w:lang w:eastAsia="en-US"/>
        </w:rPr>
        <w:t xml:space="preserve">676720, </w:t>
      </w:r>
      <w:r>
        <w:rPr>
          <w:rFonts w:eastAsia="Times New Roman" w:cs="Times New Roman"/>
          <w:iCs/>
          <w:color w:val="000000"/>
          <w:kern w:val="0"/>
          <w:sz w:val="24"/>
          <w:szCs w:val="24"/>
          <w:shd w:fill="auto" w:val="clear"/>
          <w:lang w:val="ru-RU" w:eastAsia="ru-RU" w:bidi="ar-SA"/>
        </w:rPr>
        <w:t>Амурская область, Бурейский муниципальный округ, пгт Новобурейский, склад ТМЦ Базы оборудования филиала «Бурейская ГЭС»</w:t>
      </w:r>
      <w:r>
        <w:rPr>
          <w:bCs/>
          <w:sz w:val="24"/>
          <w:szCs w:val="24"/>
        </w:rPr>
        <w:t xml:space="preserve"> </w:t>
      </w:r>
      <w:r>
        <w:rPr>
          <w:sz w:val="24"/>
          <w:szCs w:val="24"/>
        </w:rPr>
        <w:t xml:space="preserve"> </w:t>
      </w:r>
      <w:r>
        <w:rPr>
          <w:sz w:val="24"/>
          <w:szCs w:val="24"/>
        </w:rPr>
        <w:t>(далее – «Место поставки»).</w:t>
      </w:r>
    </w:p>
    <w:p>
      <w:pPr>
        <w:pStyle w:val="Normal"/>
        <w:numPr>
          <w:ilvl w:val="1"/>
          <w:numId w:val="2"/>
        </w:numPr>
        <w:shd w:val="clear" w:color="auto" w:fill="FFFFFF"/>
        <w:tabs>
          <w:tab w:val="clear" w:pos="709"/>
          <w:tab w:val="left" w:pos="540" w:leader="none"/>
          <w:tab w:val="left" w:pos="1418" w:leader="none"/>
        </w:tabs>
        <w:ind w:left="1851" w:hanging="1142"/>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Начало – </w:t>
      </w:r>
      <w:r>
        <w:rPr>
          <w:rFonts w:eastAsia="Calibri" w:eastAsiaTheme="minorHAnsi"/>
          <w:sz w:val="24"/>
          <w:szCs w:val="24"/>
          <w:lang w:eastAsia="en-US"/>
        </w:rPr>
        <w:t>день, следующий за днем подписания Сторонами договора</w:t>
      </w:r>
      <w:r>
        <w:rPr>
          <w:bCs/>
          <w:sz w:val="24"/>
          <w:szCs w:val="24"/>
        </w:rPr>
        <w:t>.</w:t>
      </w:r>
    </w:p>
    <w:p>
      <w:pPr>
        <w:pStyle w:val="Normal"/>
        <w:numPr>
          <w:ilvl w:val="2"/>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Окончание –  «___»___________ г.</w:t>
      </w:r>
    </w:p>
    <w:p>
      <w:pPr>
        <w:pStyle w:val="Normal"/>
        <w:shd w:val="clear" w:color="auto" w:fill="FFFFFF"/>
        <w:tabs>
          <w:tab w:val="clear" w:pos="709"/>
          <w:tab w:val="left" w:pos="1851" w:leader="none"/>
        </w:tabs>
        <w:ind w:left="709" w:hanging="0"/>
        <w:jc w:val="both"/>
        <w:rPr>
          <w:bCs/>
          <w:sz w:val="24"/>
          <w:szCs w:val="24"/>
        </w:rPr>
      </w:pPr>
      <w:r>
        <w:rPr>
          <w:bCs/>
          <w:sz w:val="24"/>
          <w:szCs w:val="24"/>
        </w:rPr>
        <w:t xml:space="preserve"> </w:t>
      </w:r>
    </w:p>
    <w:p>
      <w:pPr>
        <w:pStyle w:val="Normal"/>
        <w:numPr>
          <w:ilvl w:val="0"/>
          <w:numId w:val="2"/>
        </w:numPr>
        <w:shd w:val="clear" w:color="auto" w:fill="FFFFFF"/>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1134" w:leader="none"/>
        </w:tabs>
        <w:ind w:left="0" w:firstLine="709"/>
        <w:jc w:val="both"/>
        <w:rPr>
          <w:bCs/>
          <w:sz w:val="24"/>
          <w:szCs w:val="24"/>
        </w:rPr>
      </w:pPr>
      <w:r>
        <w:rPr>
          <w:sz w:val="24"/>
          <w:szCs w:val="24"/>
        </w:rPr>
        <w:t xml:space="preserve">    </w:t>
      </w:r>
      <w:r>
        <w:rPr>
          <w:sz w:val="24"/>
          <w:szCs w:val="24"/>
        </w:rPr>
        <w:t xml:space="preserve">Цена Договора в соответствии со Спецификацией (Приложение № 1 к Договору) </w:t>
      </w:r>
      <w:r>
        <w:rPr>
          <w:bCs/>
          <w:sz w:val="24"/>
          <w:szCs w:val="24"/>
        </w:rPr>
        <w:t>является твердой и составляет _______________ (_____________) рубль ___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1418" w:leader="none"/>
        </w:tabs>
        <w:ind w:left="0" w:firstLine="709"/>
        <w:jc w:val="both"/>
        <w:rPr>
          <w:sz w:val="24"/>
          <w:szCs w:val="24"/>
        </w:rPr>
      </w:pPr>
      <w:r>
        <w:rPr>
          <w:sz w:val="24"/>
          <w:szCs w:val="24"/>
        </w:rPr>
        <w:t>Авансовый платеж в размере 100 (сто) процентов от стоимости Товара без учета НДС, кроме того НДС по ставке, установленной статьей 164 НК РФ на дату выплаты авансового платежа, выплачиваются Поставщику в течение 15 (пятнадцати) календарных дней с даты получения Покупателем счета, выставленного Поставщиком, и с учетом пункта 2.4.2. Договора.</w:t>
      </w:r>
    </w:p>
    <w:p>
      <w:pPr>
        <w:pStyle w:val="ListParagraph"/>
        <w:widowControl/>
        <w:numPr>
          <w:ilvl w:val="2"/>
          <w:numId w:val="2"/>
        </w:numPr>
        <w:shd w:val="clear" w:color="auto" w:fill="FFFFFF"/>
        <w:tabs>
          <w:tab w:val="clear" w:pos="709"/>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851" w:leader="none"/>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276" w:leader="none"/>
        </w:tabs>
        <w:ind w:left="0" w:firstLine="709"/>
        <w:jc w:val="both"/>
        <w:rPr>
          <w:sz w:val="24"/>
          <w:szCs w:val="24"/>
        </w:rPr>
      </w:pPr>
      <w:r>
        <w:rPr>
          <w:sz w:val="24"/>
          <w:szCs w:val="24"/>
        </w:rPr>
        <w:t>сертификат качества в 1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товарно-транспортная накладная в 1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накладная ТОРГ-12 в 1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5 (пяти)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9"/>
          <w:tab w:val="left" w:pos="1560"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ind w:left="357" w:hanging="357"/>
        <w:jc w:val="center"/>
        <w:rPr>
          <w:b/>
          <w:sz w:val="24"/>
          <w:szCs w:val="24"/>
        </w:rPr>
      </w:pPr>
      <w:r>
        <w:rPr>
          <w:b/>
          <w:sz w:val="24"/>
          <w:szCs w:val="24"/>
        </w:rPr>
        <w:t>Гарантийный срок</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Гарантийный срок на Товар, поставленный по Договору, равен сроку, установленному производителем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6"/>
      <w:bookmarkStart w:id="4" w:name="OLE_LINK5"/>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а также в случае несвоевременного устранения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418" w:leader="none"/>
          <w:tab w:val="left" w:pos="1701" w:leader="none"/>
        </w:tabs>
        <w:ind w:left="0" w:firstLine="709"/>
        <w:jc w:val="both"/>
        <w:rPr>
          <w:bCs/>
          <w:sz w:val="24"/>
          <w:szCs w:val="24"/>
        </w:rPr>
      </w:pPr>
      <w:r>
        <w:rPr>
          <w:rFonts w:eastAsia="Calibri"/>
          <w:bCs/>
          <w:sz w:val="24"/>
          <w:szCs w:val="24"/>
        </w:rPr>
        <w:t xml:space="preserve">Неустойки в размере 0,1 (ноль целых и одна десятая) </w:t>
      </w:r>
      <w:r>
        <w:rPr>
          <w:bCs/>
          <w:sz w:val="24"/>
          <w:szCs w:val="24"/>
        </w:rPr>
        <w:t xml:space="preserve">процента от цены </w:t>
      </w:r>
      <w:r>
        <w:rPr>
          <w:rFonts w:eastAsia="Calibri"/>
          <w:bCs/>
          <w:sz w:val="24"/>
          <w:szCs w:val="24"/>
        </w:rPr>
        <w:t>Товара</w:t>
      </w:r>
      <w:r>
        <w:rPr>
          <w:bCs/>
          <w:sz w:val="24"/>
          <w:szCs w:val="24"/>
        </w:rPr>
        <w:t xml:space="preserve"> за каждый день просрочки;</w:t>
      </w:r>
    </w:p>
    <w:p>
      <w:pPr>
        <w:pStyle w:val="ListParagraph"/>
        <w:widowControl/>
        <w:numPr>
          <w:ilvl w:val="2"/>
          <w:numId w:val="2"/>
        </w:numPr>
        <w:tabs>
          <w:tab w:val="clear" w:pos="709"/>
          <w:tab w:val="left" w:pos="1418" w:leader="none"/>
          <w:tab w:val="left" w:pos="1701"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418" w:leader="none"/>
          <w:tab w:val="left" w:pos="1701"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Товара за каждый день просрочки – в случае несвоевременного устранения недостатков, не влияющих на возможность эксплуатации (использования) Товара в целом.</w:t>
      </w:r>
    </w:p>
    <w:p>
      <w:pPr>
        <w:pStyle w:val="ListParagraph"/>
        <w:widowControl/>
        <w:numPr>
          <w:ilvl w:val="1"/>
          <w:numId w:val="2"/>
        </w:numPr>
        <w:tabs>
          <w:tab w:val="clear" w:pos="709"/>
          <w:tab w:val="left" w:pos="1134"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2 к Договору.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276"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276"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276"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276"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до полного исполнения ими принятых на себя обязательств.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13.6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13.7.1 – 13.7.2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bookmarkEnd w:id="9"/>
    </w:p>
    <w:p>
      <w:pPr>
        <w:pStyle w:val="Normal"/>
        <w:ind w:firstLine="709"/>
        <w:jc w:val="both"/>
        <w:rPr>
          <w:bCs/>
          <w:sz w:val="24"/>
          <w:szCs w:val="24"/>
        </w:rPr>
      </w:pPr>
      <w:r>
        <w:rPr>
          <w:bCs/>
          <w:sz w:val="24"/>
          <w:szCs w:val="24"/>
        </w:rPr>
        <w:t xml:space="preserve">Приложение № 2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519"/>
        <w:gridCol w:w="435"/>
        <w:gridCol w:w="4625"/>
        <w:gridCol w:w="311"/>
      </w:tblGrid>
      <w:tr>
        <w:trPr/>
        <w:tc>
          <w:tcPr>
            <w:tcW w:w="4954" w:type="dxa"/>
            <w:gridSpan w:val="2"/>
            <w:tcBorders/>
            <w:shd w:color="auto" w:fill="auto" w:val="clear"/>
          </w:tcPr>
          <w:p>
            <w:pPr>
              <w:pStyle w:val="Normal"/>
              <w:widowControl w:val="false"/>
              <w:rPr>
                <w:sz w:val="24"/>
                <w:szCs w:val="24"/>
              </w:rPr>
            </w:pPr>
            <w:r>
              <w:rPr>
                <w:sz w:val="24"/>
                <w:szCs w:val="24"/>
              </w:rPr>
              <w:t>ПОКУПАТЕЛЬ:</w:t>
            </w:r>
          </w:p>
        </w:tc>
        <w:tc>
          <w:tcPr>
            <w:tcW w:w="4936" w:type="dxa"/>
            <w:gridSpan w:val="2"/>
            <w:tcBorders/>
            <w:shd w:color="auto" w:fill="auto" w:val="clear"/>
          </w:tcPr>
          <w:p>
            <w:pPr>
              <w:pStyle w:val="Normal"/>
              <w:widowControl w:val="false"/>
              <w:rPr>
                <w:sz w:val="24"/>
                <w:szCs w:val="24"/>
              </w:rPr>
            </w:pPr>
            <w:r>
              <w:rPr>
                <w:sz w:val="24"/>
                <w:szCs w:val="24"/>
              </w:rPr>
              <w:t>ПОСТАВЩИК:</w:t>
            </w:r>
          </w:p>
        </w:tc>
      </w:tr>
      <w:tr>
        <w:trPr/>
        <w:tc>
          <w:tcPr>
            <w:tcW w:w="4954" w:type="dxa"/>
            <w:gridSpan w:val="2"/>
            <w:tcBorders/>
            <w:shd w:color="auto" w:fill="auto" w:val="clear"/>
          </w:tcPr>
          <w:p>
            <w:pPr>
              <w:pStyle w:val="Normal"/>
              <w:widowControl w:val="false"/>
              <w:rPr>
                <w:b/>
                <w:sz w:val="24"/>
                <w:szCs w:val="24"/>
              </w:rPr>
            </w:pPr>
            <w:r>
              <w:rPr>
                <w:b/>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16"/>
                <w:szCs w:val="16"/>
              </w:rPr>
            </w:pPr>
            <w:r>
              <w:rPr>
                <w:sz w:val="16"/>
                <w:szCs w:val="16"/>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660049, Красноярский край, </w:t>
            </w:r>
          </w:p>
          <w:p>
            <w:pPr>
              <w:pStyle w:val="Normal"/>
              <w:widowControl w:val="false"/>
              <w:rPr>
                <w:sz w:val="24"/>
                <w:szCs w:val="24"/>
              </w:rPr>
            </w:pPr>
            <w:r>
              <w:rPr>
                <w:sz w:val="24"/>
                <w:szCs w:val="24"/>
              </w:rPr>
              <w:t xml:space="preserve">г. Красноярск, ул. Перенсона, </w:t>
            </w:r>
          </w:p>
          <w:p>
            <w:pPr>
              <w:pStyle w:val="Normal"/>
              <w:widowControl w:val="false"/>
              <w:rPr>
                <w:sz w:val="24"/>
                <w:szCs w:val="24"/>
              </w:rPr>
            </w:pPr>
            <w:r>
              <w:rPr>
                <w:sz w:val="24"/>
                <w:szCs w:val="24"/>
              </w:rPr>
              <w:t>зд. 2А, помещ. 1</w:t>
            </w:r>
          </w:p>
          <w:p>
            <w:pPr>
              <w:pStyle w:val="Normal"/>
              <w:widowControl w:val="false"/>
              <w:rPr>
                <w:sz w:val="16"/>
                <w:szCs w:val="16"/>
              </w:rPr>
            </w:pPr>
            <w:r>
              <w:rPr>
                <w:sz w:val="16"/>
                <w:szCs w:val="16"/>
              </w:rPr>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676730, Амурская область, пгт Талакан,</w:t>
            </w:r>
          </w:p>
          <w:p>
            <w:pPr>
              <w:pStyle w:val="Normal"/>
              <w:widowControl w:val="false"/>
              <w:rPr/>
            </w:pPr>
            <w:r>
              <w:rPr>
                <w:sz w:val="24"/>
                <w:szCs w:val="24"/>
              </w:rPr>
              <w:t xml:space="preserve"> </w:t>
            </w:r>
            <w:r>
              <w:rPr>
                <w:sz w:val="24"/>
                <w:szCs w:val="24"/>
              </w:rPr>
              <w:t>а/я 52</w:t>
            </w:r>
          </w:p>
          <w:p>
            <w:pPr>
              <w:pStyle w:val="Normal"/>
              <w:widowControl w:val="false"/>
              <w:rPr>
                <w:sz w:val="24"/>
                <w:szCs w:val="24"/>
              </w:rPr>
            </w:pPr>
            <w:r>
              <w:rPr>
                <w:sz w:val="24"/>
                <w:szCs w:val="24"/>
              </w:rPr>
              <w:t xml:space="preserve">ОГРН 1042401810494, </w:t>
            </w:r>
          </w:p>
          <w:p>
            <w:pPr>
              <w:pStyle w:val="Normal"/>
              <w:widowControl w:val="false"/>
              <w:rPr/>
            </w:pPr>
            <w:r>
              <w:rPr>
                <w:b/>
                <w:sz w:val="24"/>
                <w:szCs w:val="24"/>
              </w:rPr>
              <w:t>ИНН</w:t>
            </w:r>
            <w:r>
              <w:rPr>
                <w:sz w:val="24"/>
                <w:szCs w:val="24"/>
              </w:rPr>
              <w:t xml:space="preserve"> 2460066195 / </w:t>
            </w:r>
            <w:r>
              <w:rPr>
                <w:b/>
                <w:sz w:val="24"/>
                <w:szCs w:val="24"/>
              </w:rPr>
              <w:t>КПП</w:t>
            </w:r>
            <w:r>
              <w:rPr>
                <w:sz w:val="24"/>
                <w:szCs w:val="24"/>
              </w:rPr>
              <w:t xml:space="preserve"> 281302001</w:t>
            </w:r>
          </w:p>
          <w:p>
            <w:pPr>
              <w:pStyle w:val="Normal"/>
              <w:widowControl w:val="false"/>
              <w:rPr/>
            </w:pPr>
            <w:r>
              <w:rPr>
                <w:sz w:val="24"/>
                <w:szCs w:val="24"/>
              </w:rPr>
              <w:t>Расчетный счет: 40702810709020001302</w:t>
            </w:r>
          </w:p>
          <w:p>
            <w:pPr>
              <w:pStyle w:val="Normal"/>
              <w:widowControl w:val="false"/>
              <w:rPr/>
            </w:pPr>
            <w:r>
              <w:rPr>
                <w:sz w:val="24"/>
                <w:szCs w:val="24"/>
              </w:rPr>
              <w:t>Филиал ПАО ВТБ в г. Хабаровске</w:t>
            </w:r>
          </w:p>
          <w:p>
            <w:pPr>
              <w:pStyle w:val="Normal"/>
              <w:widowControl w:val="false"/>
              <w:rPr>
                <w:kern w:val="2"/>
                <w:lang w:eastAsia="zh-CN"/>
              </w:rPr>
            </w:pPr>
            <w:r>
              <w:rPr>
                <w:kern w:val="2"/>
                <w:sz w:val="24"/>
                <w:szCs w:val="24"/>
                <w:lang w:eastAsia="zh-CN"/>
              </w:rPr>
              <w:t>Корр/счет: 30101810400000000727</w:t>
            </w:r>
          </w:p>
          <w:p>
            <w:pPr>
              <w:pStyle w:val="Normal"/>
              <w:widowControl w:val="false"/>
              <w:rPr>
                <w:kern w:val="2"/>
                <w:lang w:eastAsia="zh-CN"/>
              </w:rPr>
            </w:pPr>
            <w:r>
              <w:rPr>
                <w:kern w:val="2"/>
                <w:sz w:val="24"/>
                <w:szCs w:val="24"/>
                <w:lang w:eastAsia="zh-CN"/>
              </w:rPr>
              <w:t>БИК 040813727</w:t>
            </w:r>
          </w:p>
          <w:p>
            <w:pPr>
              <w:pStyle w:val="Normal"/>
              <w:widowControl w:val="false"/>
              <w:rPr>
                <w:kern w:val="2"/>
                <w:lang w:eastAsia="zh-CN"/>
              </w:rPr>
            </w:pPr>
            <w:r>
              <w:rPr>
                <w:rFonts w:eastAsia="Arial Unicode MS"/>
                <w:b/>
                <w:kern w:val="2"/>
                <w:sz w:val="24"/>
                <w:szCs w:val="24"/>
                <w:lang w:eastAsia="zh-CN"/>
              </w:rPr>
              <w:t>Грузополучатель</w:t>
            </w:r>
            <w:r>
              <w:rPr>
                <w:rFonts w:eastAsia="Arial Unicode MS"/>
                <w:kern w:val="2"/>
                <w:sz w:val="24"/>
                <w:szCs w:val="24"/>
                <w:lang w:eastAsia="zh-CN"/>
              </w:rPr>
              <w:t>:</w:t>
            </w:r>
          </w:p>
          <w:p>
            <w:pPr>
              <w:pStyle w:val="Normal"/>
              <w:widowControl w:val="false"/>
              <w:rPr>
                <w:kern w:val="2"/>
                <w:sz w:val="24"/>
                <w:szCs w:val="24"/>
                <w:lang w:eastAsia="zh-CN"/>
              </w:rPr>
            </w:pPr>
            <w:r>
              <w:rPr>
                <w:kern w:val="2"/>
                <w:sz w:val="24"/>
                <w:szCs w:val="24"/>
                <w:lang w:eastAsia="zh-CN"/>
              </w:rPr>
              <w:t xml:space="preserve">Филиал ПАО «РусГидро» - «Бурейская ГЭС»,676730, Амурская область,  </w:t>
            </w:r>
          </w:p>
          <w:p>
            <w:pPr>
              <w:pStyle w:val="Normal"/>
              <w:widowControl w:val="false"/>
              <w:rPr>
                <w:sz w:val="24"/>
                <w:szCs w:val="24"/>
              </w:rPr>
            </w:pPr>
            <w:r>
              <w:rPr>
                <w:kern w:val="2"/>
                <w:sz w:val="24"/>
                <w:szCs w:val="24"/>
                <w:lang w:eastAsia="zh-CN"/>
              </w:rPr>
              <w:t>пгт Талакан</w:t>
            </w:r>
          </w:p>
          <w:p>
            <w:pPr>
              <w:pStyle w:val="Normal"/>
              <w:widowControl w:val="false"/>
              <w:rPr>
                <w:sz w:val="24"/>
                <w:szCs w:val="24"/>
              </w:rPr>
            </w:pPr>
            <w:r>
              <w:rPr>
                <w:sz w:val="24"/>
                <w:szCs w:val="24"/>
              </w:rPr>
            </w:r>
          </w:p>
        </w:tc>
        <w:tc>
          <w:tcPr>
            <w:tcW w:w="4936" w:type="dxa"/>
            <w:gridSpan w:val="2"/>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bookmarkStart w:id="10" w:name="_GoBack"/>
            <w:bookmarkStart w:id="11" w:name="_GoBack"/>
            <w:bookmarkEnd w:id="11"/>
          </w:p>
        </w:tc>
      </w:tr>
      <w:tr>
        <w:trPr/>
        <w:tc>
          <w:tcPr>
            <w:tcW w:w="4519" w:type="dxa"/>
            <w:tcBorders/>
            <w:shd w:color="auto" w:fill="auto" w:val="clear"/>
          </w:tcPr>
          <w:p>
            <w:pPr>
              <w:pStyle w:val="Normal"/>
              <w:widowControl w:val="false"/>
              <w:rPr>
                <w:sz w:val="24"/>
                <w:szCs w:val="24"/>
              </w:rPr>
            </w:pPr>
            <w:r>
              <w:rPr>
                <w:sz w:val="24"/>
                <w:szCs w:val="24"/>
              </w:rPr>
              <w:t>_______________ / ___________</w:t>
            </w:r>
          </w:p>
          <w:p>
            <w:pPr>
              <w:pStyle w:val="Normal"/>
              <w:widowControl w:val="false"/>
              <w:rPr>
                <w:sz w:val="24"/>
                <w:szCs w:val="24"/>
              </w:rPr>
            </w:pPr>
            <w:r>
              <w:rPr>
                <w:sz w:val="24"/>
                <w:szCs w:val="24"/>
              </w:rPr>
            </w:r>
          </w:p>
        </w:tc>
        <w:tc>
          <w:tcPr>
            <w:tcW w:w="5060" w:type="dxa"/>
            <w:gridSpan w:val="2"/>
            <w:tcBorders/>
            <w:shd w:color="auto" w:fill="auto" w:val="clear"/>
          </w:tcPr>
          <w:p>
            <w:pPr>
              <w:pStyle w:val="Normal"/>
              <w:widowControl w:val="false"/>
              <w:rPr>
                <w:sz w:val="24"/>
                <w:szCs w:val="24"/>
              </w:rPr>
            </w:pPr>
            <w:r>
              <w:rPr>
                <w:sz w:val="24"/>
                <w:szCs w:val="24"/>
              </w:rPr>
              <w:t xml:space="preserve">        </w:t>
            </w:r>
            <w:r>
              <w:rPr>
                <w:sz w:val="24"/>
                <w:szCs w:val="24"/>
              </w:rPr>
              <w:t>_______________ / ____________</w:t>
            </w:r>
          </w:p>
        </w:tc>
        <w:tc>
          <w:tcPr>
            <w:tcW w:w="311" w:type="dxa"/>
            <w:tcBorders/>
          </w:tcPr>
          <w:p>
            <w:pPr>
              <w:pStyle w:val="Normal"/>
              <w:widowControl w:val="false"/>
              <w:rPr/>
            </w:pPr>
            <w:r>
              <w:rPr/>
            </w:r>
          </w:p>
        </w:tc>
      </w:tr>
    </w:tbl>
    <w:p>
      <w:pPr>
        <w:sectPr>
          <w:footerReference w:type="default" r:id="rId5"/>
          <w:type w:val="nextPage"/>
          <w:pgSz w:w="11906" w:h="16838"/>
          <w:pgMar w:left="1418" w:right="851" w:gutter="0" w:header="0" w:top="851" w:footer="709" w:bottom="2268"/>
          <w:pgNumType w:fmt="decimal"/>
          <w:formProt w:val="false"/>
          <w:titlePg/>
          <w:textDirection w:val="lrTb"/>
          <w:docGrid w:type="default" w:linePitch="360" w:charSpace="0"/>
        </w:sectPr>
      </w:pPr>
    </w:p>
    <w:p>
      <w:pPr>
        <w:pStyle w:val="Normal"/>
        <w:ind w:left="5103" w:hanging="0"/>
        <w:rPr>
          <w:sz w:val="22"/>
          <w:szCs w:val="22"/>
        </w:rPr>
      </w:pPr>
      <w:r>
        <w:rPr>
          <w:sz w:val="22"/>
          <w:szCs w:val="22"/>
        </w:rPr>
        <w:t>Приложение № 1</w:t>
      </w:r>
    </w:p>
    <w:p>
      <w:pPr>
        <w:pStyle w:val="Normal"/>
        <w:ind w:left="5103" w:hanging="0"/>
        <w:rPr>
          <w:sz w:val="22"/>
          <w:szCs w:val="22"/>
        </w:rPr>
      </w:pPr>
      <w:r>
        <w:rPr>
          <w:sz w:val="22"/>
          <w:szCs w:val="22"/>
        </w:rPr>
        <w:t>к Договору поставки</w:t>
      </w:r>
    </w:p>
    <w:p>
      <w:pPr>
        <w:pStyle w:val="Normal"/>
        <w:ind w:left="5103" w:hanging="0"/>
        <w:rPr>
          <w:sz w:val="22"/>
          <w:szCs w:val="22"/>
        </w:rPr>
      </w:pPr>
      <w:r>
        <w:rPr>
          <w:sz w:val="22"/>
          <w:szCs w:val="22"/>
        </w:rPr>
        <w:t xml:space="preserve">от «____» ________ 2026 г. </w:t>
      </w:r>
    </w:p>
    <w:p>
      <w:pPr>
        <w:pStyle w:val="Normal"/>
        <w:ind w:left="5103" w:hanging="0"/>
        <w:rPr>
          <w:sz w:val="22"/>
          <w:szCs w:val="22"/>
        </w:rPr>
      </w:pPr>
      <w:r>
        <w:rPr>
          <w:sz w:val="22"/>
          <w:szCs w:val="22"/>
        </w:rPr>
        <w:t xml:space="preserve">№ </w:t>
      </w:r>
    </w:p>
    <w:p>
      <w:pPr>
        <w:pStyle w:val="Normal"/>
        <w:widowControl/>
        <w:jc w:val="right"/>
        <w:rPr>
          <w:rFonts w:eastAsia="Calibri"/>
          <w:b/>
          <w:sz w:val="24"/>
          <w:szCs w:val="24"/>
          <w:lang w:eastAsia="en-US"/>
        </w:rPr>
      </w:pPr>
      <w:r>
        <w:rPr>
          <w:rFonts w:eastAsia="Calibri"/>
          <w:b/>
          <w:sz w:val="24"/>
          <w:szCs w:val="24"/>
          <w:lang w:eastAsia="en-US"/>
        </w:rPr>
      </w:r>
    </w:p>
    <w:p>
      <w:pPr>
        <w:pStyle w:val="Normal"/>
        <w:rPr>
          <w:i/>
          <w:i/>
          <w:sz w:val="24"/>
          <w:szCs w:val="24"/>
          <w:highlight w:val="yellow"/>
        </w:rPr>
      </w:pPr>
      <w:r>
        <w:rPr>
          <w:i/>
          <w:sz w:val="24"/>
          <w:szCs w:val="24"/>
          <w:highlight w:val="yellow"/>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989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46"/>
        <w:gridCol w:w="3023"/>
        <w:gridCol w:w="927"/>
        <w:gridCol w:w="744"/>
        <w:gridCol w:w="1142"/>
        <w:gridCol w:w="1185"/>
        <w:gridCol w:w="1047"/>
        <w:gridCol w:w="1274"/>
      </w:tblGrid>
      <w:tr>
        <w:trPr>
          <w:trHeight w:val="1021" w:hRule="atLeast"/>
        </w:trPr>
        <w:tc>
          <w:tcPr>
            <w:tcW w:w="546"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color w:val="000000"/>
              </w:rPr>
            </w:pPr>
            <w:r>
              <w:rPr>
                <w:color w:val="000000"/>
              </w:rPr>
              <w:t xml:space="preserve">№ </w:t>
            </w:r>
            <w:r>
              <w:rPr>
                <w:color w:val="000000"/>
              </w:rPr>
              <w:t>поз.</w:t>
            </w:r>
          </w:p>
        </w:tc>
        <w:tc>
          <w:tcPr>
            <w:tcW w:w="3023"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color w:val="000000"/>
              </w:rPr>
            </w:pPr>
            <w:r>
              <w:rPr>
                <w:color w:val="000000"/>
              </w:rPr>
              <w:t>Наименование Товара</w:t>
            </w:r>
          </w:p>
        </w:tc>
        <w:tc>
          <w:tcPr>
            <w:tcW w:w="92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Единица измерения</w:t>
            </w:r>
          </w:p>
        </w:tc>
        <w:tc>
          <w:tcPr>
            <w:tcW w:w="74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Количество</w:t>
            </w:r>
          </w:p>
        </w:tc>
        <w:tc>
          <w:tcPr>
            <w:tcW w:w="1142"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Цена за единицу, руб. без НДС</w:t>
            </w:r>
          </w:p>
        </w:tc>
        <w:tc>
          <w:tcPr>
            <w:tcW w:w="1185"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Стоимость, руб. без НДС</w:t>
            </w:r>
          </w:p>
        </w:tc>
        <w:tc>
          <w:tcPr>
            <w:tcW w:w="10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НДС (22%), руб.*</w:t>
            </w:r>
          </w:p>
        </w:tc>
        <w:tc>
          <w:tcPr>
            <w:tcW w:w="127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color w:val="000000"/>
              </w:rPr>
            </w:pPr>
            <w:r>
              <w:rPr>
                <w:color w:val="000000"/>
              </w:rPr>
              <w:t>Стоимость, руб., с НДС</w:t>
            </w:r>
          </w:p>
        </w:tc>
      </w:tr>
      <w:tr>
        <w:trPr>
          <w:trHeight w:val="503" w:hRule="atLeast"/>
        </w:trPr>
        <w:tc>
          <w:tcPr>
            <w:tcW w:w="546"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1</w:t>
            </w:r>
          </w:p>
        </w:tc>
        <w:tc>
          <w:tcPr>
            <w:tcW w:w="3023"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rPr>
                <w:color w:val="000000"/>
              </w:rPr>
            </w:pPr>
            <w:r>
              <w:rPr>
                <w:color w:val="000000"/>
              </w:rPr>
            </w:r>
          </w:p>
        </w:tc>
        <w:tc>
          <w:tcPr>
            <w:tcW w:w="92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74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1142"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185"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0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27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r>
      <w:tr>
        <w:trPr>
          <w:trHeight w:val="503" w:hRule="atLeast"/>
        </w:trPr>
        <w:tc>
          <w:tcPr>
            <w:tcW w:w="546"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2</w:t>
            </w:r>
          </w:p>
        </w:tc>
        <w:tc>
          <w:tcPr>
            <w:tcW w:w="3023"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rPr>
                <w:color w:val="000000"/>
              </w:rPr>
            </w:pPr>
            <w:r>
              <w:rPr>
                <w:color w:val="000000"/>
              </w:rPr>
            </w:r>
          </w:p>
        </w:tc>
        <w:tc>
          <w:tcPr>
            <w:tcW w:w="92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74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1142"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185"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0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27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r>
      <w:tr>
        <w:trPr>
          <w:trHeight w:val="503" w:hRule="atLeast"/>
        </w:trPr>
        <w:tc>
          <w:tcPr>
            <w:tcW w:w="546"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3</w:t>
            </w:r>
          </w:p>
        </w:tc>
        <w:tc>
          <w:tcPr>
            <w:tcW w:w="3023"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rPr>
                <w:color w:val="000000"/>
              </w:rPr>
            </w:pPr>
            <w:r>
              <w:rPr>
                <w:color w:val="000000"/>
              </w:rPr>
            </w:r>
          </w:p>
        </w:tc>
        <w:tc>
          <w:tcPr>
            <w:tcW w:w="92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74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1142"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185"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0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27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r>
      <w:tr>
        <w:trPr>
          <w:trHeight w:val="503" w:hRule="atLeast"/>
        </w:trPr>
        <w:tc>
          <w:tcPr>
            <w:tcW w:w="546"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t>4</w:t>
            </w:r>
          </w:p>
        </w:tc>
        <w:tc>
          <w:tcPr>
            <w:tcW w:w="3023"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rPr>
                <w:color w:val="000000"/>
              </w:rPr>
            </w:pPr>
            <w:r>
              <w:rPr>
                <w:color w:val="000000"/>
              </w:rPr>
            </w:r>
          </w:p>
        </w:tc>
        <w:tc>
          <w:tcPr>
            <w:tcW w:w="92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74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center"/>
              <w:rPr/>
            </w:pPr>
            <w:r>
              <w:rPr/>
            </w:r>
          </w:p>
        </w:tc>
        <w:tc>
          <w:tcPr>
            <w:tcW w:w="1142"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185"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047"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c>
          <w:tcPr>
            <w:tcW w:w="1274"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suppressAutoHyphens w:val="false"/>
              <w:jc w:val="right"/>
              <w:rPr/>
            </w:pPr>
            <w:r>
              <w:rPr/>
            </w:r>
          </w:p>
        </w:tc>
      </w:tr>
      <w:tr>
        <w:trPr>
          <w:trHeight w:val="422" w:hRule="atLeast"/>
        </w:trPr>
        <w:tc>
          <w:tcPr>
            <w:tcW w:w="638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center"/>
              <w:rPr>
                <w:sz w:val="22"/>
                <w:szCs w:val="22"/>
              </w:rPr>
            </w:pPr>
            <w:r>
              <w:rPr>
                <w:sz w:val="22"/>
                <w:szCs w:val="22"/>
              </w:rPr>
              <w:t>Итого стоимость всего Товара (с учетом доставки), руб. с НДС:</w:t>
            </w:r>
          </w:p>
        </w:tc>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right"/>
              <w:rPr>
                <w:b/>
                <w:bCs/>
              </w:rPr>
            </w:pPr>
            <w:r>
              <w:rPr>
                <w:b/>
                <w:bCs/>
              </w:rPr>
            </w:r>
          </w:p>
        </w:tc>
        <w:tc>
          <w:tcPr>
            <w:tcW w:w="10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right"/>
              <w:rPr>
                <w:b/>
                <w:bCs/>
              </w:rPr>
            </w:pPr>
            <w:r>
              <w:rPr>
                <w:b/>
                <w:bCs/>
              </w:rPr>
            </w:r>
          </w:p>
        </w:tc>
        <w:tc>
          <w:tcPr>
            <w:tcW w:w="12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false"/>
              <w:jc w:val="right"/>
              <w:rPr>
                <w:b/>
                <w:bCs/>
              </w:rPr>
            </w:pPr>
            <w:r>
              <w:rPr>
                <w:b/>
                <w:bCs/>
              </w:rPr>
            </w:r>
          </w:p>
        </w:tc>
      </w:tr>
    </w:tbl>
    <w:p>
      <w:pPr>
        <w:pStyle w:val="Normal"/>
        <w:jc w:val="center"/>
        <w:rPr>
          <w:i/>
          <w:i/>
          <w:sz w:val="22"/>
          <w:szCs w:val="22"/>
        </w:rPr>
      </w:pPr>
      <w:r>
        <w:rPr>
          <w:i/>
          <w:sz w:val="22"/>
          <w:szCs w:val="22"/>
        </w:rPr>
      </w:r>
    </w:p>
    <w:p>
      <w:pPr>
        <w:pStyle w:val="Normal"/>
        <w:rPr>
          <w:highlight w:val="none"/>
          <w:shd w:fill="FAFAFA" w:val="clear"/>
        </w:rPr>
      </w:pPr>
      <w:r>
        <w:rPr>
          <w:shd w:fill="FAFAFA" w:val="clear"/>
        </w:rPr>
        <w:t>*При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widowControl/>
        <w:rPr>
          <w:rFonts w:eastAsia="Calibri"/>
          <w:b/>
          <w:sz w:val="24"/>
          <w:szCs w:val="24"/>
          <w:lang w:eastAsia="en-US"/>
        </w:rPr>
      </w:pPr>
      <w:r>
        <w:rPr>
          <w:rFonts w:eastAsia="Calibri"/>
          <w:b/>
          <w:sz w:val="24"/>
          <w:szCs w:val="24"/>
          <w:lang w:eastAsia="en-US"/>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w:t>
            </w:r>
          </w:p>
          <w:p>
            <w:pPr>
              <w:pStyle w:val="Normal"/>
              <w:widowControl w:val="false"/>
              <w:ind w:firstLine="33"/>
              <w:rPr>
                <w:b/>
                <w:sz w:val="24"/>
                <w:szCs w:val="24"/>
              </w:rPr>
            </w:pPr>
            <w:r>
              <w:rPr>
                <w:b/>
                <w:sz w:val="24"/>
                <w:szCs w:val="24"/>
              </w:rPr>
            </w:r>
          </w:p>
        </w:tc>
      </w:tr>
    </w:tbl>
    <w:p>
      <w:pPr>
        <w:sectPr>
          <w:footerReference w:type="default" r:id="rId6"/>
          <w:footerReference w:type="first" r:id="rId7"/>
          <w:type w:val="nextPage"/>
          <w:pgSz w:w="11906" w:h="16838"/>
          <w:pgMar w:left="1418" w:right="851" w:gutter="0" w:header="0" w:top="1134" w:footer="709" w:bottom="1134"/>
          <w:pgNumType w:fmt="decimal"/>
          <w:formProt w:val="false"/>
          <w:textDirection w:val="lrTb"/>
          <w:docGrid w:type="default" w:linePitch="360" w:charSpace="0"/>
        </w:sectPr>
      </w:pPr>
    </w:p>
    <w:p>
      <w:pPr>
        <w:pStyle w:val="Normal"/>
        <w:ind w:firstLine="6237"/>
        <w:rPr>
          <w:sz w:val="24"/>
          <w:szCs w:val="24"/>
        </w:rPr>
      </w:pPr>
      <w:r>
        <w:rPr>
          <w:sz w:val="24"/>
          <w:szCs w:val="24"/>
        </w:rPr>
        <w:t>Приложение № 2</w:t>
      </w:r>
    </w:p>
    <w:p>
      <w:pPr>
        <w:pStyle w:val="Normal"/>
        <w:ind w:firstLine="6237"/>
        <w:rPr>
          <w:sz w:val="24"/>
          <w:szCs w:val="24"/>
        </w:rPr>
      </w:pPr>
      <w:r>
        <w:rPr>
          <w:sz w:val="24"/>
          <w:szCs w:val="24"/>
        </w:rPr>
        <w:t>к Договору поставки</w:t>
      </w:r>
    </w:p>
    <w:p>
      <w:pPr>
        <w:pStyle w:val="Normal"/>
        <w:ind w:firstLine="6237"/>
        <w:rPr>
          <w:bCs/>
          <w:sz w:val="24"/>
          <w:szCs w:val="24"/>
        </w:rPr>
      </w:pPr>
      <w:r>
        <w:rPr>
          <w:sz w:val="24"/>
          <w:szCs w:val="24"/>
        </w:rPr>
        <w:t xml:space="preserve">от «____» ________20 _ г. № </w:t>
      </w:r>
    </w:p>
    <w:p>
      <w:pPr>
        <w:pStyle w:val="Normal"/>
        <w:widowControl/>
        <w:shd w:val="clear" w:color="auto" w:fill="FFFFFF"/>
        <w:tabs>
          <w:tab w:val="clear" w:pos="709"/>
          <w:tab w:val="left" w:pos="1418" w:leader="none"/>
        </w:tabs>
        <w:spacing w:before="0" w:after="0"/>
        <w:ind w:firstLine="6237"/>
        <w:contextualSpacing/>
        <w:jc w:val="center"/>
        <w:rPr>
          <w:bCs/>
          <w:sz w:val="24"/>
          <w:szCs w:val="24"/>
        </w:rPr>
      </w:pPr>
      <w:r>
        <w:rPr>
          <w:bCs/>
          <w:sz w:val="24"/>
          <w:szCs w:val="24"/>
        </w:rPr>
      </w:r>
    </w:p>
    <w:p>
      <w:pPr>
        <w:pStyle w:val="Normal"/>
        <w:widowControl/>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Cs/>
          <w:sz w:val="24"/>
          <w:szCs w:val="24"/>
        </w:rPr>
      </w:pPr>
      <w:r>
        <w:rPr>
          <w:bCs/>
          <w:sz w:val="24"/>
          <w:szCs w:val="24"/>
        </w:rPr>
      </w:r>
    </w:p>
    <w:p>
      <w:pPr>
        <w:pStyle w:val="Normal"/>
        <w:rPr>
          <w:b/>
          <w:bCs/>
          <w:sz w:val="24"/>
          <w:szCs w:val="24"/>
        </w:rPr>
      </w:pPr>
      <w:r>
        <w:rPr>
          <w:b/>
          <w:bCs/>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w:t>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w:t>
            </w:r>
          </w:p>
          <w:p>
            <w:pPr>
              <w:pStyle w:val="Normal"/>
              <w:widowControl w:val="false"/>
              <w:ind w:firstLine="33"/>
              <w:rPr>
                <w:b/>
                <w:sz w:val="24"/>
                <w:szCs w:val="24"/>
              </w:rPr>
            </w:pPr>
            <w:r>
              <w:rPr>
                <w:b/>
                <w:sz w:val="24"/>
                <w:szCs w:val="24"/>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8"/>
      <w:footerReference w:type="default" r:id="rId9"/>
      <w:footerReference w:type="first" r:id="rId10"/>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TimesNewRomanPSMT">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19</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customStyle="1">
    <w:name w:val="Символ сноски"/>
    <w:uiPriority w:val="99"/>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customStyle="1">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next w:val="BodyText"/>
    <w:link w:val="Style7"/>
    <w:qFormat/>
    <w:rsid w:val="00886f7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customStyle="1">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b">
    <w:name w:val="Table Grid"/>
    <w:basedOn w:val="a1"/>
    <w:rsid w:val="00886f70"/>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1.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95CAEEA5-E2B6-4B76-A826-4F29FF9531A3}">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D42C446-97F1-472A-ABFD-BCF814B7B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Application>AlterOffice/3.4.0.9$Linux_X86_64 LibreOffice_project/b8daf9e823b1a5463a2f48435ddc2e8696e7d4fc</Application>
  <AppVersion>15.0000</AppVersion>
  <Pages>15</Pages>
  <Words>6485</Words>
  <Characters>45945</Characters>
  <CharactersWithSpaces>52158</CharactersWithSpaces>
  <Paragraphs>286</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2025-01-09T07:52:00Z</dcterms:created>
  <dc:creator>Быстрова Дарья Андреевна</dc:creator>
  <dc:description/>
  <dc:language>ru-RU</dc:language>
  <cp:lastModifiedBy>stepanovayv@corp.gidroogk.com</cp:lastModifiedBy>
  <dcterms:modified xsi:type="dcterms:W3CDTF">2026-03-31T15:21:02Z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