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ОКПД2: 26.30.11.110 </w:t>
      </w:r>
      <w:r>
        <w:rPr>
          <w:rFonts w:eastAsia="Calibri"/>
          <w:b/>
        </w:rPr>
        <w:t>Поставка коммутаторов для нужд Филиала ПАО «РусГидро» - «Северо-Осетинский филиал»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25778425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2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2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28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29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3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Иные требования и сведения общего характера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77843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3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33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77843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35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778436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37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778438">
            <w:r>
              <w:rPr>
                <w:webHidden/>
                <w:rStyle w:val="Style14"/>
                <w:vanish w:val="false"/>
              </w:rPr>
              <w:t>Таблица 3.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778439">
            <w:r>
              <w:rPr>
                <w:webHidden/>
                <w:rStyle w:val="Style14"/>
                <w:iCs/>
                <w:vanish w:val="false"/>
              </w:rPr>
              <w:t>Согласие с требованием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77844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_Toc225778440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25778425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225778426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АСУ ТП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/>
              <w:t>Автоматизированная система управления технологическими процессами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Запасные части и принадлежности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Гидроэлектростанция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225778427"/>
      <w:r>
        <w:rPr/>
        <w:t>Наименование закупаемой продукции</w:t>
      </w:r>
      <w:bookmarkEnd w:id="4"/>
      <w:bookmarkEnd w:id="5"/>
    </w:p>
    <w:p>
      <w:pPr>
        <w:pStyle w:val="Normal"/>
        <w:rPr>
          <w:sz w:val="24"/>
          <w:szCs w:val="24"/>
        </w:rPr>
      </w:pPr>
      <w:r>
        <w:rPr>
          <w:rFonts w:eastAsia="Calibri"/>
          <w:sz w:val="24"/>
          <w:szCs w:val="24"/>
        </w:rPr>
        <w:t>Управляемые модульные сетевые коммутаторы</w:t>
      </w:r>
      <w:r>
        <w:rPr>
          <w:rFonts w:eastAsia="Calibri"/>
          <w:sz w:val="24"/>
          <w:szCs w:val="24"/>
          <w:lang w:val="en-US"/>
        </w:rPr>
        <w:t>.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225778428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Формирование ЗИП для АСУ ТП Эзминской ГЭС.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8" w:name="_Toc225778429"/>
      <w:bookmarkStart w:id="9" w:name="_Toc46743508"/>
      <w:r>
        <w:rPr/>
        <w:t>Существующее положение</w:t>
      </w:r>
      <w:bookmarkEnd w:id="8"/>
      <w:bookmarkEnd w:id="9"/>
      <w:r>
        <w:rPr>
          <w:lang w:val="ru-RU"/>
        </w:rPr>
        <w:t xml:space="preserve">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В </w:t>
      </w:r>
      <w:r>
        <w:rPr>
          <w:sz w:val="24"/>
          <w:szCs w:val="24"/>
        </w:rPr>
        <w:t xml:space="preserve">АСУ ТП Эзминской ГЭС используются сетевые коммутаторы </w:t>
      </w:r>
      <w:r>
        <w:rPr>
          <w:sz w:val="24"/>
          <w:szCs w:val="24"/>
          <w:lang w:val="en-US"/>
        </w:rPr>
        <w:t>TOPAZ</w:t>
      </w:r>
      <w:r>
        <w:rPr>
          <w:sz w:val="24"/>
          <w:szCs w:val="24"/>
        </w:rPr>
        <w:t xml:space="preserve"> серии </w:t>
      </w:r>
      <w:r>
        <w:rPr>
          <w:sz w:val="24"/>
          <w:szCs w:val="24"/>
          <w:lang w:val="en-US"/>
        </w:rPr>
        <w:t>SW</w:t>
      </w:r>
      <w:r>
        <w:rPr>
          <w:sz w:val="24"/>
          <w:szCs w:val="24"/>
        </w:rPr>
        <w:t xml:space="preserve">500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rPr/>
      </w:pPr>
      <w:bookmarkStart w:id="10" w:name="_Toc225778430"/>
      <w:r>
        <w:rPr/>
        <w:t>Иные требования и сведения общего характера</w:t>
      </w:r>
      <w:bookmarkEnd w:id="10"/>
    </w:p>
    <w:p>
      <w:pPr>
        <w:pStyle w:val="Normal"/>
        <w:jc w:val="both"/>
        <w:rPr>
          <w:sz w:val="24"/>
          <w:lang w:eastAsia="x-none"/>
        </w:rPr>
      </w:pPr>
      <w:r>
        <w:rPr>
          <w:sz w:val="24"/>
          <w:lang w:eastAsia="x-none"/>
        </w:rPr>
        <w:t>Сведения общего характера.</w:t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>Заказчик (подразделение Заказчика).</w:t>
      </w:r>
    </w:p>
    <w:p>
      <w:pPr>
        <w:pStyle w:val="Normal"/>
        <w:jc w:val="both"/>
        <w:rPr>
          <w:sz w:val="24"/>
          <w:lang w:eastAsia="x-none"/>
        </w:rPr>
      </w:pPr>
      <w:r>
        <w:rPr>
          <w:sz w:val="24"/>
          <w:lang w:eastAsia="x-none"/>
        </w:rPr>
        <w:t>Наименование филиала: Филиал ПАО «РусГидро» - «Северо-Осетинский филиал»;</w:t>
      </w:r>
    </w:p>
    <w:p>
      <w:pPr>
        <w:pStyle w:val="Normal"/>
        <w:jc w:val="both"/>
        <w:rPr>
          <w:sz w:val="24"/>
          <w:lang w:eastAsia="x-none"/>
        </w:rPr>
      </w:pPr>
      <w:r>
        <w:rPr>
          <w:sz w:val="24"/>
          <w:lang w:eastAsia="x-none"/>
        </w:rPr>
        <w:t>Адрес филиала: РСО-Алания, г. Владикавказ, ул. В. Абаева, 63, 362049.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Подразделение: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-куратор по договору: СПСР;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-технические кураторы: ССИиТС.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BodyText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8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8"/>
          <w:lang w:val="ru-RU" w:eastAsia="x-none" w:bidi="ar-SA"/>
        </w:rPr>
        <w:tab/>
        <w:t>Закупаемая продукция является запасными частями к уже установленному оборудованию и в соответствии с требованиями производителя этого оборудования предложения аналогов не допускаются.</w:t>
      </w:r>
    </w:p>
    <w:p>
      <w:pPr>
        <w:pStyle w:val="BodyText"/>
        <w:widowControl/>
        <w:ind w:left="0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8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8"/>
          <w:lang w:val="ru-RU" w:eastAsia="x-none" w:bidi="ar-SA"/>
        </w:rPr>
        <w:tab/>
        <w:t>В случае невозможности поставки запрашиваемого оборудования в связи со снятием с производства возможна замена на аналог из номенклатуры того же производителя, выпускающегося, как замена для снятого с производства. Совместимость должна быть полной, без ухудшения характеристик.</w:t>
      </w:r>
    </w:p>
    <w:p>
      <w:pPr>
        <w:pStyle w:val="Normal"/>
        <w:jc w:val="both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225778431"/>
      <w:bookmarkStart w:id="12" w:name="_Toc51339693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/>
      </w:pPr>
      <w:bookmarkStart w:id="13" w:name="_Toc22577843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225778433"/>
      <w:r>
        <w:rPr>
          <w:lang w:val="ru-RU"/>
        </w:rPr>
        <w:t>Перечень и объем закупаемой продукции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225778434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6"/>
        <w:gridCol w:w="6130"/>
        <w:gridCol w:w="1419"/>
        <w:gridCol w:w="1416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Сетевые коммутаторы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GOSTtypeB" w:ascii="Times New Roman" w:hAnsi="Times New Roman"/>
                <w:i w:val="false"/>
                <w:iCs w:val="false"/>
                <w:sz w:val="24"/>
                <w:szCs w:val="24"/>
              </w:rPr>
              <w:t xml:space="preserve">Коммутатор L2 PTP модульный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TOPAZ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SW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512-4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GTxSFP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Tx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FxM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LV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DGN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GOSTtypeB" w:ascii="Times New Roman" w:hAnsi="Times New Roman"/>
                <w:i w:val="false"/>
                <w:iCs w:val="false"/>
                <w:sz w:val="24"/>
                <w:szCs w:val="24"/>
              </w:rPr>
              <w:t xml:space="preserve">Коммутатор L2 PTP модульный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TOPAZ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SW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516-4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GTxSFP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-4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Tx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FxM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LV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DGN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GOSTtypeB" w:ascii="Times New Roman" w:hAnsi="Times New Roman"/>
                <w:i w:val="false"/>
                <w:iCs w:val="false"/>
                <w:sz w:val="24"/>
                <w:szCs w:val="24"/>
              </w:rPr>
              <w:t xml:space="preserve">Коммутатор L2 PTP модульный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TOPAZ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SW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528-4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GTxSFP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Tx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FxM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HV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DGN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GOSTtypeB" w:ascii="Times New Roman" w:hAnsi="Times New Roman"/>
                <w:i w:val="false"/>
                <w:iCs w:val="false"/>
                <w:sz w:val="24"/>
                <w:szCs w:val="24"/>
              </w:rPr>
              <w:t xml:space="preserve">Коммутатор L2 PTP модульный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TOPAZ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SW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524-4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GTxSFP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Tx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FxM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HV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DGN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GOSTtypeB" w:ascii="Times New Roman" w:hAnsi="Times New Roman"/>
                <w:i w:val="false"/>
                <w:iCs w:val="false"/>
                <w:sz w:val="24"/>
                <w:szCs w:val="24"/>
              </w:rPr>
              <w:t xml:space="preserve">Коммутатор L2 PTP модульный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TOPAZ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SW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522-6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GTxSFP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Tx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FxM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HV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DGN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225778435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 и оказания сопутствующих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225778436"/>
      <w:bookmarkStart w:id="20" w:name="_Toc51339697"/>
      <w:bookmarkStart w:id="21" w:name="_Toc50125127"/>
      <w:bookmarkStart w:id="22" w:name="_Toc50125126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Сетевые коммутаторы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С января 202</w:t>
            </w:r>
            <w:r>
              <w:rPr>
                <w:iCs/>
                <w:sz w:val="24"/>
                <w:szCs w:val="24"/>
                <w:lang w:val="en-US"/>
              </w:rPr>
              <w:t>7</w:t>
            </w:r>
            <w:r>
              <w:rPr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ноября 2027 г.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Toc46743510"/>
            <w:bookmarkStart w:id="25" w:name="_Toc46743510"/>
            <w:bookmarkEnd w:id="25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6" w:name="_Toc51339698"/>
      <w:bookmarkStart w:id="27" w:name="_Toc225778437"/>
      <w:bookmarkStart w:id="28" w:name="_Toc46743511"/>
      <w:r>
        <w:rPr/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29" w:name="_Toc22577843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9"/>
      <w:r>
        <w:rPr>
          <w:sz w:val="24"/>
          <w:szCs w:val="24"/>
        </w:rPr>
        <w:t xml:space="preserve"> </w:t>
      </w:r>
      <w:bookmarkEnd w:id="26"/>
    </w:p>
    <w:tbl>
      <w:tblPr>
        <w:tblStyle w:val="affff6"/>
        <w:tblW w:w="153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8"/>
        <w:gridCol w:w="3992"/>
        <w:gridCol w:w="2693"/>
        <w:gridCol w:w="2547"/>
        <w:gridCol w:w="3413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1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Поддерживаемые стандарты передачи данных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IEEE 802.3 10BaseT;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IEEE 802.3u 100BASE-TX, 100BASE-FX;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IEEE 802.3z 1000BASE-X;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IEEE 802.3ab 1000BASE-T;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IEEE 802.3x управление потоком;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IEEE 802.3az Ethernet с энергосберегающим режимом;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IEEE 802.1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LLDP – Link Layer Discovery Protocol;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IEEE 802.1D-2004 STP, QoS;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IEEE 802.1d STP;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IEEE 802.1s MSTP;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IEEE 802.1Q тегирование трафика;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IEEE 802.1p приоритизация кадра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Промышленные протоколы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Ethernet/IP;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IEC 61850-8-1;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IEC 61850-9-2;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IEC 60870-5-104;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Modbus/TCP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...</w:t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Управления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IPv4, IPv6 управление;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SNMP v1/v2c/v3;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SSH;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Console – CLI;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Web;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DHCP(Client/Option 82/Relay Agent)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фильтрации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802.1Q;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VLAN Unaware;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Port-Based VLAN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резервирования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STP/RSTP;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MSTP;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PRP*;MRP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синхронизации времени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SNTP;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NTP Server/Client;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IEEE 1588v2 (PTP v2);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IEC 60870-5-104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Управление потоками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ab/>
              <w:t>IEEE 802.3x flow control, back pressure flow control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поддерживаемых MAC-адресов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16000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буфера пакетов, кбит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2 048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MIB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MIB-II, Ethernet-like MIB, P-BRIDGE MIB, Q-BRIDGE MIB, Bridge MIB, RSTP MIB, RMON MIB Group 1, 2, 3, 9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Организация VLAN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основе портов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Максимальное количество VLAN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4096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Классификация трафика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основе информации QoS, содержащейся в поле 802.1p заголовка Ethernet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классов трафика QoS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Определение QoS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, IEEE 802.1p, 802.1Q VID, EthernType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Режимы приоритизации QoS на порт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Weighted (WRR - взвешенный)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Поддержка очередей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SPQ, WFQ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питания</w:t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Два ввода 220В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Информационная безопасность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Аутентификация – Radius;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Authentication Certificate - SSL Certificate/SSH Key Regenerate;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802.1X – Port Based;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Port Security – Static MAC Port Lock;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Способ монтажа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DIN-рейку 35 мм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…</w:t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Габаритные размеры (ШВГ) не более, мм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345 x 123 x 125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Масса, кг, не более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Степень защиты корпуса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IP30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окружающего воздуха, °С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+70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…</w:t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Относительная влажность воздуха при температуре 30 °С и ниже, %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100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Атмосферное давление воздуха, кПа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60 до 106,7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поставляться упакованным в тару, обеспечивающую его полную сохранность от всякого рода повреждений и порчи, с учетом возможной перевозки и длительного хранения. Тара и упаковка входят в цену поставляемого Товара, за исключением случаев, специально оговоренных Поставщиком и Покупателем.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поставляться в фирменной упаковке, защищающей от повреждений и воздействия внешней среды. Упаковка и маркировка Товара должны соответствовать требованиям ГОСТ 23216-78, импортный Товар - международным стандартам упаковки. Каждая единица поставляемого Товара должна быть упакована в стандартную оригинальную заводскую упаковку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Каждая единица поставляемого Товара должна иметь на заводской упаковке четкое указание наименования, производителя и другой предусмотренной производителем информации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 осуществляется до адреса Покупателя, согласно пункта 1.5 настоящих Технических требований, собственными силами Поставщика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Поставщика на поставляемый Товар, указанный в Таблице №2, должен составлять не менее 36 (тридцати шести) календарных месяцев с даты поставки.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Техническая поддержка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весь Товар должна предлагаться сервисная поддержка в рабочее время на весь срок гарантии</w:t>
            </w:r>
          </w:p>
        </w:tc>
        <w:tc>
          <w:tcPr>
            <w:tcW w:w="269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0" w:name="_Toc225778439"/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  <w:bookmarkEnd w:id="30"/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поставляемым Товаром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322" w:hanging="283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сертификаты качества (в случае обязательной сертификации)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322" w:hanging="283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технические паспорта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322" w:hanging="283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руководства по эксплуатации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322" w:hanging="283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упаковочные листы, ярлыки в 1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иные документы (сертификат соответствия, сертификат безопасности,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322" w:hanging="283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322" w:hanging="283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товарно-транспортную накладную формы №1-Т в 2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или универсальный передаточный документ (УПД) в 2 экз.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Средняя наработка на отказ, часов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283000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bookmarkStart w:id="31" w:name="_Toc51339699"/>
      <w:bookmarkStart w:id="32" w:name="_Toc46743519"/>
      <w:bookmarkStart w:id="33" w:name="_Toc51339699"/>
      <w:bookmarkStart w:id="34" w:name="_Toc46743519"/>
      <w:bookmarkEnd w:id="33"/>
      <w:bookmarkEnd w:id="34"/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r>
        <w:rPr/>
        <w:t>Требования к документации по ценообразованию</w:t>
      </w:r>
      <w:r>
        <w:rPr>
          <w:lang w:val="ru-RU"/>
        </w:rPr>
        <w:t xml:space="preserve"> </w:t>
      </w:r>
      <w:r>
        <w:rPr>
          <w:iCs/>
        </w:rPr>
        <w:t>на этапе закупки</w:t>
      </w:r>
      <w:r>
        <w:rPr/>
        <w:t>.</w:t>
      </w:r>
    </w:p>
    <w:p>
      <w:pPr>
        <w:pStyle w:val="ListParagraph"/>
        <w:numPr>
          <w:ilvl w:val="1"/>
          <w:numId w:val="10"/>
        </w:numPr>
        <w:tabs>
          <w:tab w:val="clear" w:pos="708"/>
          <w:tab w:val="left" w:pos="709" w:leader="none"/>
        </w:tabs>
        <w:spacing w:before="0" w:after="120"/>
        <w:ind w:left="0" w:firstLine="284"/>
        <w:contextualSpacing w:val="false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numPr>
          <w:ilvl w:val="1"/>
          <w:numId w:val="10"/>
        </w:numPr>
        <w:spacing w:before="60" w:after="240"/>
        <w:ind w:left="0" w:firstLine="284"/>
        <w:jc w:val="both"/>
        <w:rPr/>
      </w:pPr>
      <w:r>
        <w:rPr>
          <w:bCs/>
          <w:iCs/>
          <w:sz w:val="24"/>
          <w:szCs w:val="24"/>
          <w:lang w:eastAsia="x-none"/>
        </w:rPr>
        <w:t>Вместе с Коммерческим предложением Участник должен предоставить в составе заявки</w:t>
      </w:r>
      <w:r>
        <w:rPr>
          <w:iCs/>
          <w:sz w:val="24"/>
          <w:szCs w:val="24"/>
        </w:rPr>
        <w:t xml:space="preserve"> спецификацию поставляемого товара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r>
        <w:rPr/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r>
        <w:rPr>
          <w:iCs/>
        </w:rPr>
        <w:t>Приложения.</w:t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w="11906" w:h="16838"/>
          <w:pgMar w:left="1134" w:right="851" w:gutter="0" w:header="680" w:top="851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1: Требования к оформлению и составлению документации по ценообразованию.</w:t>
      </w:r>
      <w:r>
        <w:br w:type="page"/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 1 к Техническим требованиям</w:t>
      </w:r>
    </w:p>
    <w:p>
      <w:pPr>
        <w:pStyle w:val="Normal"/>
        <w:spacing w:before="0" w:after="120"/>
        <w:jc w:val="right"/>
        <w:rPr>
          <w:rStyle w:val="Style8"/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rPr>
          <w:iCs/>
          <w:sz w:val="24"/>
          <w:szCs w:val="24"/>
        </w:rPr>
      </w:pPr>
      <w:bookmarkStart w:id="35" w:name="_Ref40301253_Копия_1"/>
      <w:bookmarkStart w:id="36" w:name="_Hlk48224758_Копия_1"/>
      <w:bookmarkEnd w:id="35"/>
      <w:bookmarkEnd w:id="36"/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keepNext w:val="true"/>
        <w:keepLines/>
        <w:spacing w:before="0" w:after="120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939"/>
        <w:gridCol w:w="952"/>
        <w:gridCol w:w="947"/>
        <w:gridCol w:w="1198"/>
        <w:gridCol w:w="1134"/>
        <w:gridCol w:w="962"/>
        <w:gridCol w:w="1136"/>
        <w:gridCol w:w="1068"/>
        <w:gridCol w:w="799"/>
        <w:gridCol w:w="999"/>
        <w:gridCol w:w="856"/>
        <w:gridCol w:w="799"/>
        <w:gridCol w:w="1105"/>
        <w:gridCol w:w="1217"/>
      </w:tblGrid>
      <w:tr>
        <w:trPr>
          <w:trHeight w:val="2415" w:hRule="exac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ind w:right="-9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3"/>
            </w:r>
          </w:p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17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</w:tbl>
    <w:p>
      <w:pPr>
        <w:pStyle w:val="Normal"/>
        <w:keepNext w:val="true"/>
        <w:keepLines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 поставляемого оборудования и материалов</w:t>
      </w:r>
    </w:p>
    <w:p>
      <w:pPr>
        <w:pStyle w:val="Normal"/>
        <w:keepNext w:val="true"/>
        <w:keepLines/>
        <w:spacing w:before="0" w:after="12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keepNext w:val="true"/>
        <w:keepLines/>
        <w:spacing w:before="0" w:after="120"/>
        <w:rPr>
          <w:sz w:val="23"/>
          <w:szCs w:val="23"/>
        </w:rPr>
      </w:pPr>
      <w:r>
        <w:rPr>
          <w:b/>
          <w:sz w:val="23"/>
          <w:szCs w:val="23"/>
          <w:u w:val="single"/>
        </w:rPr>
        <w:t>Примечание</w:t>
      </w:r>
      <w:r>
        <w:rPr>
          <w:sz w:val="23"/>
          <w:szCs w:val="23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  <w:bookmarkStart w:id="37" w:name="_GoBack"/>
      <w:bookmarkStart w:id="38" w:name="_GoBack"/>
      <w:bookmarkEnd w:id="38"/>
    </w:p>
    <w:sectPr>
      <w:headerReference w:type="default" r:id="rId15"/>
      <w:headerReference w:type="first" r:id="rId16"/>
      <w:footerReference w:type="default" r:id="rId17"/>
      <w:footerReference w:type="first" r:id="rId18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600877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3480421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1938494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0857176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695d8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sid w:val="001530fd"/>
    <w:rPr>
      <w:sz w:val="28"/>
      <w:szCs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Caption11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">
    <w:name w:val="index heading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Noto Sans CJK SC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notes" Target="footnotes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804E-DBAA-42EB-9F64-3AC3850E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AlterOffice/2025.3.1.0$Linux_X86_64 LibreOffice_project/431cd1b79110582f53535c95ed0a2449aadc8bf9</Application>
  <AppVersion>15.0000</AppVersion>
  <Pages>13</Pages>
  <Words>1474</Words>
  <Characters>9644</Characters>
  <CharactersWithSpaces>10745</CharactersWithSpaces>
  <Paragraphs>367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 Олег Геннадьевич</dc:creator>
  <dc:description/>
  <dc:language>ru-RU</dc:language>
  <cp:lastModifiedBy>merenovrv@corp.gidroogk.com</cp:lastModifiedBy>
  <dcterms:modified xsi:type="dcterms:W3CDTF">2026-06-05T13:47:51Z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